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4340" w:right="1500" w:hanging="4190"/>
        <w:spacing w:after="0" w:line="360" w:lineRule="auto"/>
        <w:tabs>
          <w:tab w:leader="none" w:pos="4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1-8036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227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23-1210010</w:t>
            </w:r>
          </w:p>
        </w:tc>
      </w:tr>
      <w:tr>
        <w:trPr>
          <w:trHeight w:val="234"/>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87"/>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530 Herman O. West Drive, Exton, PA</w:t>
            </w:r>
          </w:p>
        </w:tc>
        <w:tc>
          <w:tcPr>
            <w:tcW w:w="39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19341-1147</w:t>
            </w:r>
          </w:p>
        </w:tc>
      </w:tr>
      <w:tr>
        <w:trPr>
          <w:trHeight w:val="234"/>
        </w:trPr>
        <w:tc>
          <w:tcPr>
            <w:tcW w:w="53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1283" w:right="459" w:bottom="1440" w:gutter="0" w:footer="0" w:header="0"/>
        </w:sectPr>
      </w:pPr>
    </w:p>
    <w:p>
      <w:pPr>
        <w:spacing w:after="0" w:line="4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60" w:space="720"/>
            <w:col w:w="1520" w:space="720"/>
            <w:col w:w="3900"/>
          </w:cols>
          <w:pgMar w:left="320" w:top="1283" w:right="459" w:bottom="1440" w:gutter="0" w:footer="0" w:header="0"/>
          <w:type w:val="continuous"/>
        </w:sectPr>
      </w:pPr>
    </w:p>
    <w:p>
      <w:pPr>
        <w:spacing w:after="0" w:line="7"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spacing w:after="0" w:line="207" w:lineRule="exact"/>
        <w:tabs>
          <w:tab w:leader="none" w:pos="94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22, 2024, there were 72,422,349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660" w:type="dxa"/>
            <w:vAlign w:val="bottom"/>
            <w:gridSpan w:val="18"/>
            <w:vMerge w:val="restart"/>
          </w:tcPr>
          <w:p>
            <w:pPr>
              <w:spacing w:after="0"/>
              <w:rPr>
                <w:sz w:val="18"/>
                <w:szCs w:val="18"/>
                <w:color w:val="auto"/>
              </w:rPr>
            </w:pPr>
          </w:p>
        </w:tc>
        <w:tc>
          <w:tcPr>
            <w:tcW w:w="9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4"/>
        </w:trPr>
        <w:tc>
          <w:tcPr>
            <w:tcW w:w="3080" w:type="dxa"/>
            <w:vAlign w:val="bottom"/>
            <w:tcBorders>
              <w:bottom w:val="single" w:sz="8" w:color="0000FF"/>
            </w:tcBorders>
            <w:gridSpan w:val="4"/>
            <w:vMerge w:val="continue"/>
          </w:tcPr>
          <w:p>
            <w:pPr>
              <w:spacing w:after="0"/>
              <w:rPr>
                <w:sz w:val="18"/>
                <w:szCs w:val="18"/>
                <w:color w:val="auto"/>
              </w:rPr>
            </w:pPr>
          </w:p>
        </w:tc>
        <w:tc>
          <w:tcPr>
            <w:tcW w:w="6660" w:type="dxa"/>
            <w:vAlign w:val="bottom"/>
            <w:gridSpan w:val="18"/>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(UNAUDITED)</w:t>
            </w:r>
          </w:p>
        </w:tc>
        <w:tc>
          <w:tcPr>
            <w:tcW w:w="36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Income for the Three and Nine Months ended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September 30, 2024 and 2023</w:t>
            </w:r>
          </w:p>
        </w:tc>
        <w:tc>
          <w:tcPr>
            <w:tcW w:w="430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16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for the Three and Nine</w:t>
            </w:r>
          </w:p>
        </w:tc>
        <w:tc>
          <w:tcPr>
            <w:tcW w:w="70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Months ended September 30, 2024 and 2023</w:t>
            </w:r>
          </w:p>
        </w:tc>
        <w:tc>
          <w:tcPr>
            <w:tcW w:w="840" w:type="dxa"/>
            <w:vAlign w:val="bottom"/>
            <w:tcBorders>
              <w:top w:val="single" w:sz="8" w:color="0000FF"/>
              <w:bottom w:val="single" w:sz="8" w:color="0000FF"/>
            </w:tcBorders>
            <w:gridSpan w:val="2"/>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at September 30, 2024 and December 31, 2023</w:t>
            </w:r>
          </w:p>
        </w:tc>
        <w:tc>
          <w:tcPr>
            <w:tcW w:w="50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Cash Flows for the Nine Months ended September 30,</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2024 and 2023</w:t>
            </w:r>
          </w:p>
        </w:tc>
        <w:tc>
          <w:tcPr>
            <w:tcW w:w="5840" w:type="dxa"/>
            <w:vAlign w:val="bottom"/>
            <w:gridSpan w:val="15"/>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8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w:t>
            </w:r>
          </w:p>
        </w:tc>
        <w:tc>
          <w:tcPr>
            <w:tcW w:w="70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RESULTS OF OPERATIONS</w:t>
            </w:r>
          </w:p>
        </w:tc>
        <w:tc>
          <w:tcPr>
            <w:tcW w:w="4200" w:type="dxa"/>
            <w:vAlign w:val="bottom"/>
            <w:tcBorders>
              <w:top w:val="single" w:sz="8" w:color="0000FF"/>
            </w:tcBorders>
            <w:gridSpan w:val="9"/>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720" w:type="dxa"/>
            <w:vAlign w:val="bottom"/>
            <w:gridSpan w:val="5"/>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6960" w:type="dxa"/>
            <w:vAlign w:val="bottom"/>
            <w:gridSpan w:val="19"/>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660" w:type="dxa"/>
            <w:vAlign w:val="bottom"/>
            <w:tcBorders>
              <w:top w:val="single" w:sz="8" w:color="0000FF"/>
            </w:tcBorders>
          </w:tcPr>
          <w:p>
            <w:pPr>
              <w:spacing w:after="0"/>
              <w:rPr>
                <w:sz w:val="18"/>
                <w:szCs w:val="18"/>
                <w:color w:val="auto"/>
              </w:rPr>
            </w:pPr>
          </w:p>
        </w:tc>
        <w:tc>
          <w:tcPr>
            <w:tcW w:w="5180" w:type="dxa"/>
            <w:vAlign w:val="bottom"/>
            <w:gridSpan w:val="14"/>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780" w:type="dxa"/>
            <w:vAlign w:val="bottom"/>
            <w:gridSpan w:val="6"/>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5140" w:type="dxa"/>
            <w:vAlign w:val="bottom"/>
            <w:gridSpan w:val="13"/>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0000FF"/>
                <w:w w:val="99"/>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right="50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INCOME (UNAUDITED) </w:t>
      </w:r>
      <w:r>
        <w:rPr>
          <w:rFonts w:ascii="Times New Roman" w:cs="Times New Roman" w:eastAsia="Times New Roman" w:hAnsi="Times New Roman"/>
          <w:sz w:val="18"/>
          <w:szCs w:val="18"/>
          <w:color w:val="auto"/>
        </w:rPr>
        <w:t>West Pharmaceutical Services, Inc. and Subsidiaries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3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53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746.9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482.2</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264.7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(Note 14)</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55"/>
        </w:trPr>
        <w:tc>
          <w:tcPr>
            <w:tcW w:w="53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equity in net income of affiliated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136.0</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75.5</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ectPr>
          <w:pgSz w:w="11900" w:h="16838" w:orient="portrait"/>
          <w:cols w:equalWidth="0" w:num="1">
            <w:col w:w="11240"/>
          </w:cols>
          <w:pgMar w:left="320" w:top="124" w:right="339" w:bottom="1440" w:gutter="0" w:footer="0" w:header="0"/>
        </w:sectPr>
      </w:pPr>
    </w:p>
    <w:p>
      <w:pPr>
        <w:spacing w:after="0" w:line="43" w:lineRule="exact"/>
        <w:rPr>
          <w:sz w:val="20"/>
          <w:szCs w:val="20"/>
          <w:color w:val="auto"/>
        </w:rPr>
      </w:pPr>
    </w:p>
    <w:p>
      <w:pPr>
        <w:ind w:right="170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20" w:right="400"/>
        <w:spacing w:after="0" w:line="234" w:lineRule="auto"/>
        <w:rPr>
          <w:sz w:val="20"/>
          <w:szCs w:val="20"/>
          <w:color w:val="auto"/>
        </w:rPr>
      </w:pPr>
      <w:r>
        <w:rPr>
          <w:rFonts w:ascii="Times New Roman" w:cs="Times New Roman" w:eastAsia="Times New Roman" w:hAnsi="Times New Roman"/>
          <w:sz w:val="18"/>
          <w:szCs w:val="18"/>
          <w:color w:val="auto"/>
        </w:rPr>
        <w:t>Foreign currency translation adjustments, net of tax of $(2.5), $0.4, $(0.8) and $1.9, respectively</w:t>
      </w:r>
    </w:p>
    <w:p>
      <w:pPr>
        <w:spacing w:after="0" w:line="10" w:lineRule="exact"/>
        <w:rPr>
          <w:sz w:val="20"/>
          <w:szCs w:val="20"/>
          <w:color w:val="auto"/>
        </w:rPr>
      </w:pPr>
    </w:p>
    <w:p>
      <w:pPr>
        <w:ind w:left="220" w:right="120"/>
        <w:spacing w:after="0" w:line="237" w:lineRule="auto"/>
        <w:rPr>
          <w:sz w:val="20"/>
          <w:szCs w:val="20"/>
          <w:color w:val="auto"/>
        </w:rPr>
      </w:pPr>
      <w:r>
        <w:rPr>
          <w:rFonts w:ascii="Times New Roman" w:cs="Times New Roman" w:eastAsia="Times New Roman" w:hAnsi="Times New Roman"/>
          <w:sz w:val="18"/>
          <w:szCs w:val="18"/>
          <w:color w:val="auto"/>
        </w:rPr>
        <w:t>Defined benefit pension and other postretirement plan adjustments, net of tax of $(0.2), $0.0, $(0.3), and $(0.5), respectively</w:t>
      </w:r>
    </w:p>
    <w:p>
      <w:pPr>
        <w:spacing w:after="0" w:line="10" w:lineRule="exact"/>
        <w:rPr>
          <w:sz w:val="20"/>
          <w:szCs w:val="20"/>
          <w:color w:val="auto"/>
        </w:rPr>
      </w:pPr>
    </w:p>
    <w:p>
      <w:pPr>
        <w:ind w:left="220" w:right="340"/>
        <w:spacing w:after="0" w:line="237" w:lineRule="auto"/>
        <w:rPr>
          <w:sz w:val="20"/>
          <w:szCs w:val="20"/>
          <w:color w:val="auto"/>
        </w:rPr>
      </w:pPr>
      <w:r>
        <w:rPr>
          <w:rFonts w:ascii="Times New Roman" w:cs="Times New Roman" w:eastAsia="Times New Roman" w:hAnsi="Times New Roman"/>
          <w:sz w:val="18"/>
          <w:szCs w:val="18"/>
          <w:color w:val="auto"/>
        </w:rPr>
        <w:t>Net gain (loss) on equity affiliate accumulated other comprehensive income, net of tax of $0.0, $0.0, $0.0 and $0.0,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20" w:right="140"/>
        <w:spacing w:after="0" w:line="237" w:lineRule="auto"/>
        <w:rPr>
          <w:sz w:val="20"/>
          <w:szCs w:val="20"/>
          <w:color w:val="auto"/>
        </w:rPr>
      </w:pPr>
      <w:r>
        <w:rPr>
          <w:rFonts w:ascii="Times New Roman" w:cs="Times New Roman" w:eastAsia="Times New Roman" w:hAnsi="Times New Roman"/>
          <w:sz w:val="18"/>
          <w:szCs w:val="18"/>
          <w:color w:val="auto"/>
        </w:rPr>
        <w:t>Net gain (loss) on derivatives, net of tax of $1.1, $0.8, $0.7 and $(0.3),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7"/>
        </w:trPr>
        <w:tc>
          <w:tcPr>
            <w:tcW w:w="1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September 30,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2024</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8"/>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136.0</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643"/>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74.7</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419"/>
        </w:trPr>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8"/>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17"/>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-1515745</wp:posOffset>
            </wp:positionV>
            <wp:extent cx="1825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400"/>
            <w:col w:w="538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416.4</w:t>
            </w:r>
          </w:p>
        </w:tc>
      </w:tr>
      <w:tr>
        <w:trPr>
          <w:trHeight w:val="20"/>
        </w:trPr>
        <w:tc>
          <w:tcPr>
            <w:tcW w:w="5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17"/>
                <w:szCs w:val="17"/>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1,936.4</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1,324.7</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1,413.3</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5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7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payable and other current debt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6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948.5</w:t>
            </w:r>
          </w:p>
        </w:tc>
        <w:tc>
          <w:tcPr>
            <w:tcW w:w="0" w:type="dxa"/>
            <w:vAlign w:val="bottom"/>
          </w:tcPr>
          <w:p>
            <w:pPr>
              <w:spacing w:after="0"/>
              <w:rPr>
                <w:sz w:val="1"/>
                <w:szCs w:val="1"/>
                <w:color w:val="auto"/>
              </w:rPr>
            </w:pPr>
          </w:p>
        </w:tc>
      </w:tr>
      <w:tr>
        <w:trPr>
          <w:trHeight w:val="226"/>
        </w:trPr>
        <w:tc>
          <w:tcPr>
            <w:tcW w:w="7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3.0 million shares authorized; 0 shares issued and outstanding</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par value $0.25 per share; 200.0 million shares authorized; shares issued: September 30, 2024 -</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75.3 million, December 31, 2023 - 75.3 million; shares outstanding: September 30, 2024 - 72.5 million,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December 31, 2023 - 73.5 million</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3,523.4</w:t>
            </w:r>
          </w:p>
        </w:tc>
        <w:tc>
          <w:tcPr>
            <w:tcW w:w="0" w:type="dxa"/>
            <w:vAlign w:val="bottom"/>
          </w:tcPr>
          <w:p>
            <w:pPr>
              <w:spacing w:after="0"/>
              <w:rPr>
                <w:sz w:val="1"/>
                <w:szCs w:val="1"/>
                <w:color w:val="auto"/>
              </w:rPr>
            </w:pPr>
          </w:p>
        </w:tc>
      </w:tr>
      <w:tr>
        <w:trPr>
          <w:trHeight w:val="23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(September 30, 2024 - 2.8 million, December 31, 2023 - 1.8 million)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2,881.0</w:t>
            </w:r>
          </w:p>
        </w:tc>
        <w:tc>
          <w:tcPr>
            <w:tcW w:w="0" w:type="dxa"/>
            <w:vAlign w:val="bottom"/>
          </w:tcPr>
          <w:p>
            <w:pPr>
              <w:spacing w:after="0"/>
              <w:rPr>
                <w:sz w:val="1"/>
                <w:szCs w:val="1"/>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3,675.1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3,829.5</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5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(UNAUDITED) </w:t>
      </w:r>
      <w:r>
        <w:rPr>
          <w:rFonts w:ascii="Times New Roman" w:cs="Times New Roman" w:eastAsia="Times New Roman" w:hAnsi="Times New Roman"/>
          <w:sz w:val="18"/>
          <w:szCs w:val="18"/>
          <w:color w:val="auto"/>
        </w:rPr>
        <w:t>West Pharmaceutical Services, Inc. and Subsidiaries (in millions)</w:t>
      </w:r>
    </w:p>
    <w:p>
      <w:pPr>
        <w:spacing w:after="0" w:line="20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796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 on disposal of plant</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 impairments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7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r>
      <w:tr>
        <w:trPr>
          <w:trHeight w:val="142"/>
        </w:trPr>
        <w:tc>
          <w:tcPr>
            <w:tcW w:w="7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142"/>
        </w:trPr>
        <w:tc>
          <w:tcPr>
            <w:tcW w:w="79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on finance leases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stock-based compensation awards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62"/>
        </w:trPr>
        <w:tc>
          <w:tcPr>
            <w:tcW w:w="7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end of period</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52"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condensed consolidated financial statements included in this report are unaudited and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2024,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2023 (the “</w:t>
      </w:r>
      <w:hyperlink r:id="rId21">
        <w:r>
          <w:rPr>
            <w:rFonts w:ascii="Times New Roman" w:cs="Times New Roman" w:eastAsia="Times New Roman" w:hAnsi="Times New Roman"/>
            <w:sz w:val="18"/>
            <w:szCs w:val="18"/>
            <w:u w:val="single" w:color="auto"/>
            <w:color w:val="0000FF"/>
          </w:rPr>
          <w:t>2023 Annual Report</w:t>
        </w:r>
      </w:hyperlink>
      <w:r>
        <w:rPr>
          <w:rFonts w:ascii="Times New Roman" w:cs="Times New Roman" w:eastAsia="Times New Roman" w:hAnsi="Times New Roman"/>
          <w:sz w:val="18"/>
          <w:szCs w:val="18"/>
          <w:color w:val="auto"/>
        </w:rPr>
        <w:t>”). The results of operations for any interim period are not necessarily indicative of results for the full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Not Yet Adopted</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guidance that seeks to improve reportable segment disclosure requirements, primarily through enhanced disclosures about significant segment expenses and enhancement of interim disclosure requirements. This guidance is effective for fiscal years beginning after December 15, 2023 and interim periods beginning after December 15, 2024. The Company does not expect the adoption to have a material impact on the consolidated financial statements and disclosures.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do not expect the adoption to have a material impact on the consolidated financial statements other than the expanded footnote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90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360" w:type="dxa"/>
            <w:vAlign w:val="bottom"/>
            <w:gridSpan w:val="5"/>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90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98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("HVP") Components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High-Value Product ("HVP") Delivery Devices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Due to the Company's reassessment of product categories, beginning in the second quarter of 2023, certain product types have been moved from HVP Components to HVP Delivery Devices. No adjustments were made to the product categorization prior to the second quarter of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1"/>
        </w:trPr>
        <w:tc>
          <w:tcPr>
            <w:tcW w:w="4980" w:type="dxa"/>
            <w:vAlign w:val="bottom"/>
          </w:tcPr>
          <w:p>
            <w:pPr>
              <w:spacing w:after="0"/>
              <w:rPr>
                <w:sz w:val="18"/>
                <w:szCs w:val="18"/>
                <w:color w:val="auto"/>
              </w:rPr>
            </w:pPr>
          </w:p>
        </w:tc>
        <w:tc>
          <w:tcPr>
            <w:tcW w:w="27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498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 assets and liabilities: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September 30, 2024</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September 30, 2024</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assets are included within other current assets and deferred income is included within other current liabilities and other long-term liabilities. During the nine months ended September 30, 2024, $32.8 million of revenue was recognized that was included in deferred income at the beginning of the year.</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the performance obligations within our contracts are satisfied within one year or less. Performance obligations satisfied beyond one year are not material as of September 30,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center"/>
              <w:ind w:left="45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equity awards, based on the treasury stock method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there were 0.3 million and less than 0.1 million shares, respectively, from stock-based compensation plans not included in the computation of diluted net income per share because their impact was antidilutive. There were 0.3 million and 0.1 million antidilutive shares excluded during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The below table summarizes the details of the Company's repurchases of common stock under this program:</w:t>
      </w: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6"/>
          </w:tcPr>
          <w:p>
            <w:pPr>
              <w:ind w:left="500"/>
              <w:spacing w:after="0" w:line="184" w:lineRule="exact"/>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630"/>
              <w:spacing w:after="0" w:line="184"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753,399</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repurchases ($ in millions)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repurchased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w:t>
            </w:r>
          </w:p>
        </w:tc>
      </w:tr>
      <w:tr>
        <w:trPr>
          <w:trHeight w:val="55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98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Inventory balances were as follows: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21"/>
                <w:szCs w:val="2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3"/>
        </w:trPr>
        <w:tc>
          <w:tcPr>
            <w:tcW w:w="4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1"/>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5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1"/>
        </w:trPr>
        <w:tc>
          <w:tcPr>
            <w:tcW w:w="4280" w:type="dxa"/>
            <w:vAlign w:val="bottom"/>
          </w:tcPr>
          <w:p>
            <w:pPr>
              <w:spacing w:after="0"/>
              <w:rPr>
                <w:sz w:val="18"/>
                <w:szCs w:val="18"/>
                <w:color w:val="auto"/>
              </w:rPr>
            </w:pPr>
          </w:p>
        </w:tc>
        <w:tc>
          <w:tcPr>
            <w:tcW w:w="29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As of December 31, 2023, finance leases were not material. The following table summarizes the finance lease amounts in the condensed consolidated balance sheets as of September 30,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9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100" w:type="dxa"/>
            <w:vAlign w:val="bottom"/>
            <w:tcBorders>
              <w:bottom w:val="single" w:sz="8" w:color="auto"/>
            </w:tcBorders>
          </w:tcPr>
          <w:p>
            <w:pPr>
              <w:spacing w:after="0"/>
              <w:rPr>
                <w:sz w:val="20"/>
                <w:szCs w:val="20"/>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lease liabilities: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weighted average remaining lease term for operating leases was 8.5 years and 9.8 years, respectively. As of September 30, 2024, the weighted average remaining lease term for finance leases was 7.0 years. As of December 31, 2023, finance leases were not material.</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weighted average discount rate for operating leases was 3.84% and 3.55%, respectively. As of September 30, 2024, the weighted average discount rate for finance leases was 4.92%. As of December 31, 2023, finance leases were not material.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as of September 30, 2024 were as follows: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period as of September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7"/>
              </w:rPr>
              <w:t>0.9</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7"/>
              </w:rPr>
              <w:t>0.8</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7"/>
              </w:rPr>
              <w:t>0.5</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w w:val="97"/>
              </w:rPr>
              <w:t>0.1</w:t>
            </w:r>
          </w:p>
        </w:tc>
      </w:tr>
      <w:tr>
        <w:trPr>
          <w:trHeight w:val="223"/>
        </w:trPr>
        <w:tc>
          <w:tcPr>
            <w:tcW w:w="7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7"/>
              </w:rPr>
              <w:t>3.4</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p>
      <w:pPr>
        <w:spacing w:after="0" w:line="25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aggregate carrying amounts of our investments in affiliated companies that are accounted for under the equity method and our investments in affiliated companies that are not accounted for under the equity method: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carrying value of investments in affiliated companies: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affiliates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9"/>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Non-equity method affiliates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 in affiliated companies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1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from affiliates in the condensed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due to affiliates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due from affiliates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affiliate transactions: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1"/>
        </w:trPr>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from (and payments to) affiliates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162"/>
        </w:trPr>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affiliates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3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majority of the purchase transactions listed above relate to a distributorship agreement with Daikyo Seiko, Ltd. ("Daikyo") that allows us to purchase and re-sell Daikyo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5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The interest rates shown in parentheses are as of the corresponding balance sheet date reflected in the table below.</w:t>
      </w:r>
    </w:p>
    <w:tbl>
      <w:tblPr>
        <w:tblLayout w:type="fixed"/>
        <w:tblInd w:w="0" w:type="dxa"/>
        <w:tblCellMar>
          <w:top w:w="0" w:type="dxa"/>
          <w:left w:w="0" w:type="dxa"/>
          <w:bottom w:w="0" w:type="dxa"/>
          <w:right w:w="0" w:type="dxa"/>
        </w:tblCellMar>
      </w:tblPr>
      <w:tr>
        <w:trPr>
          <w:trHeight w:val="182"/>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5"/>
                <w:szCs w:val="15"/>
                <w:color w:val="auto"/>
              </w:rPr>
            </w:pPr>
          </w:p>
        </w:tc>
        <w:tc>
          <w:tcPr>
            <w:tcW w:w="136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July 2, 2027 (6.67%)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December 31, 2024 (6.32%)</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notes, due July 5, 2024 (3.82%)</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7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 2024, the Company entered into the Third Amendment to the Credit Facility Agreement, which amended the Existing Credit Facility Agreement. Among other changes to the existing credit agreement, the Third Amendment established an incremental term loan in the stated principal amount of $130.0 million (the “New Term Loan”), which was fully drawn at closing and matures on July 2, 2027. The entire stated principal amount of the New Term Loan is due at maturity and there is no scheduled amortization prior to such date. Together with cash on hand, proceeds from the New Term Loan were used to repay an outstanding term loan under the Existing Credit Facility Agreement in the principal amount of $79.9 million prior to its December 31, 2024 maturity date and to repay an aggregate principal amount of $53.0 million of the Company’s 3.82% Series B Senior Notes due July 5, 2024 issued under that certain Note Purchase Agreement dated as of July 5, 2012.</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September 30, 2024, the borrowing capacity available under our $500.0 million multi-currency revolving credit facility, including outstanding letters of credit of $2.4 million, was $497.6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2024, we had $130.0 million in borrowings under the New Term Loan which were classified as long-term.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000000"/>
        </w:rPr>
        <w:t>, for a discussion of the foreign currency hedge associated with the New Term Loan.</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2024, we were in compliance with all of our debt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25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September 30, 2024 the notional amount of these forward exchange contracts was Singapore Dollar (“SGD”) 421.9 million and $13.4 million. As of December 31, 2023 the notional amount of these forward exchange contracts was SGD 601.5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September 30, 2024, the total notional amounts of these forward exchange contracts were Euro ("EUR") 143.9 million and $47.1 million. As of December 31, 2023, the total notional amounts of these forward exchange contracts were EUR 278.6 million and SGD 94.0 million.</w:t>
      </w:r>
    </w:p>
    <w:p>
      <w:pPr>
        <w:spacing w:after="0" w:line="21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2024, we had outstanding foreign currency contracts to purchase and sell certain pairs of currencies,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Sell</w:t>
            </w:r>
          </w:p>
        </w:tc>
        <w:tc>
          <w:tcPr>
            <w:tcW w:w="1920" w:type="dxa"/>
            <w:vAlign w:val="bottom"/>
            <w:tcBorders>
              <w:bottom w:val="single" w:sz="8" w:color="auto"/>
            </w:tcBorders>
          </w:tcPr>
          <w:p>
            <w:pPr>
              <w:spacing w:after="0"/>
              <w:rPr>
                <w:sz w:val="20"/>
                <w:szCs w:val="20"/>
                <w:color w:val="auto"/>
              </w:rPr>
            </w:pPr>
          </w:p>
        </w:tc>
      </w:tr>
      <w:tr>
        <w:trPr>
          <w:trHeight w:val="223"/>
        </w:trPr>
        <w:tc>
          <w:tcPr>
            <w:tcW w:w="1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0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Euro</w:t>
            </w:r>
          </w:p>
        </w:tc>
        <w:tc>
          <w:tcPr>
            <w:tcW w:w="19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SGD</w:t>
            </w:r>
          </w:p>
        </w:tc>
      </w:tr>
      <w:tr>
        <w:trPr>
          <w:trHeight w:val="223"/>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26.5</w:t>
            </w:r>
          </w:p>
        </w:tc>
        <w:tc>
          <w:tcPr>
            <w:tcW w:w="2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Yen</w:t>
            </w:r>
          </w:p>
        </w:tc>
        <w:tc>
          <w:tcPr>
            <w:tcW w:w="16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40" w:type="dxa"/>
            <w:vAlign w:val="bottom"/>
          </w:tcPr>
          <w:p>
            <w:pPr>
              <w:spacing w:after="0"/>
              <w:rPr>
                <w:sz w:val="19"/>
                <w:szCs w:val="19"/>
                <w:color w:val="auto"/>
              </w:rPr>
            </w:pPr>
          </w:p>
        </w:tc>
        <w:tc>
          <w:tcPr>
            <w:tcW w:w="2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28.7</w:t>
            </w:r>
          </w:p>
        </w:tc>
        <w:tc>
          <w:tcPr>
            <w:tcW w:w="2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9"/>
                <w:szCs w:val="19"/>
                <w:color w:val="auto"/>
              </w:rPr>
            </w:pPr>
          </w:p>
        </w:tc>
        <w:tc>
          <w:tcPr>
            <w:tcW w:w="2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19.0</w:t>
            </w:r>
          </w:p>
        </w:tc>
        <w:tc>
          <w:tcPr>
            <w:tcW w:w="2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cross-currency swap for $90 million, which we designated as a hedge of our net investment in Daikyo. The cross-currency swap had an original maturity date of December 31, 2024, but was extinguished in July 2024. In July 2024, we entered into a new cross-currency swap for $130 million, which we designated as a hedge of our net investment in Daikyo. As of September 30, 2024, the notional amount of the cross-currency swap is ¥17.0 billion ($130.0 million) and the swap termination date is July 2, 2027. Under the cross-currency swap, we receive fixed USD interest rate payments in return for paying fixed JPY interest rate payments.</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From November 2017 through September 2024, we purchased several series of call options for a total of 1,106,908 barrels of crude oil to mitigate our exposure to such oil-based surcharges and protect operating cash flows with regard to a portion of our forecasted elastomer purchases.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September 30, 2024, we had outstanding contracts to purchase 187,861 barrels of crude oil from September 2024 to March 2026, at a weighted-average strike price of $85.66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25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September 30, 2024 and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on the condensed consolidated statements of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6"/>
                <w:szCs w:val="16"/>
                <w:color w:val="auto"/>
              </w:rPr>
            </w:pPr>
          </w:p>
        </w:tc>
        <w:tc>
          <w:tcPr>
            <w:tcW w:w="1920" w:type="dxa"/>
            <w:vAlign w:val="bottom"/>
            <w:gridSpan w:val="3"/>
          </w:tcPr>
          <w:p>
            <w:pPr>
              <w:jc w:val="center"/>
              <w:ind w:left="2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19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 (intercompany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6.2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excluded from effectiveness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testing</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expense recognized in earnings, pre-tax, for forward point components for the three and nine months ended September 30, 2024 was $1.8 million and $5.3 million, respectively. The income recognized in earnings, pre-tax, for forward point components for the three and nine months ended September 30, 2023 was $0.2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other comprehensive income (“OCI”) and earnings, net of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222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OCI for the</w:t>
            </w:r>
          </w:p>
        </w:tc>
        <w:tc>
          <w:tcPr>
            <w:tcW w:w="22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OCI into Income for the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Loss</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20" w:type="dxa"/>
            <w:vAlign w:val="bottom"/>
            <w:gridSpan w:val="4"/>
          </w:tcPr>
          <w:p>
            <w:pPr>
              <w:jc w:val="center"/>
              <w:ind w:lef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222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Recognized in OCI for the</w:t>
            </w:r>
          </w:p>
        </w:tc>
        <w:tc>
          <w:tcPr>
            <w:tcW w:w="22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OCI into Income for the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Loss</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20" w:type="dxa"/>
            <w:vAlign w:val="bottom"/>
            <w:gridSpan w:val="4"/>
          </w:tcPr>
          <w:p>
            <w:pPr>
              <w:jc w:val="center"/>
              <w:ind w:lef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0" w:type="dxa"/>
            <w:vAlign w:val="bottom"/>
          </w:tcPr>
          <w:p>
            <w:pPr>
              <w:spacing w:after="0"/>
              <w:rPr>
                <w:sz w:val="1"/>
                <w:szCs w:val="1"/>
                <w:color w:val="auto"/>
              </w:rPr>
            </w:pP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Refer to the above table which summarizes the effects of derivative instruments designated as fair value hedges within the other expense (income) line in our condensed consolidated statements of income for the three and nine months ended September 30, 2024 and September 30, 2023. The following table summarizes the effects of derivative instruments designated as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780" w:type="dxa"/>
            <w:vAlign w:val="bottom"/>
            <w:gridSpan w:val="4"/>
          </w:tcPr>
          <w:p>
            <w:pPr>
              <w:jc w:val="center"/>
              <w:ind w:left="330"/>
              <w:spacing w:after="0" w:line="184"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4"/>
          </w:tcPr>
          <w:p>
            <w:pPr>
              <w:jc w:val="center"/>
              <w:ind w:right="250"/>
              <w:spacing w:after="0" w:line="184"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on the condensed consolidated statements of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 (Loss) Gain</w:t>
            </w:r>
          </w:p>
        </w:tc>
        <w:tc>
          <w:tcPr>
            <w:tcW w:w="120" w:type="dxa"/>
            <w:vAlign w:val="bottom"/>
          </w:tcPr>
          <w:p>
            <w:pPr>
              <w:spacing w:after="0"/>
              <w:rPr>
                <w:sz w:val="17"/>
                <w:szCs w:val="17"/>
                <w:color w:val="auto"/>
              </w:rPr>
            </w:pPr>
          </w:p>
        </w:tc>
        <w:tc>
          <w:tcPr>
            <w:tcW w:w="20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Recognized in Income for the</w:t>
            </w: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Recognized in Income for the</w:t>
            </w: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6"/>
                <w:szCs w:val="16"/>
                <w:color w:val="auto"/>
              </w:rPr>
            </w:pPr>
          </w:p>
        </w:tc>
        <w:tc>
          <w:tcPr>
            <w:tcW w:w="2020" w:type="dxa"/>
            <w:vAlign w:val="bottom"/>
            <w:gridSpan w:val="3"/>
          </w:tcPr>
          <w:p>
            <w:pPr>
              <w:jc w:val="center"/>
              <w:ind w:lef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20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50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Forwards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there was no material ineffectiveness related to our hedges.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0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10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9"/>
              </w:rPr>
              <w:t>September 30,</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139.8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1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414.6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that the carrying amounts of our cash and cash equivalents and accounts receivable approximate their fair values due to their near-term maturities.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long-term debt is based on quoted market prices for debt issuances with similar terms and maturities and is classified as Level 2 within the fair value hierarchy. At September 30, 2024, the estimated fair value of long-term debt was $201.6 million compared to a carrying amount of $202.6 million. At December 31, 2023, the estimated fair value of short-term and long-term debt was $204.4 million and the carrying amount was $206.8 million. As of September 30, 2024, all debt is long-term.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25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2024:</w:t>
      </w:r>
    </w:p>
    <w:p>
      <w:pPr>
        <w:sectPr>
          <w:pgSz w:w="11900" w:h="16838" w:orient="portrait"/>
          <w:cols w:equalWidth="0" w:num="1">
            <w:col w:w="11240"/>
          </w:cols>
          <w:pgMar w:left="320" w:top="124" w:right="339" w:bottom="1440" w:gutter="0" w:footer="0" w:header="0"/>
        </w:sect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7" w:lineRule="exact"/>
        <w:rPr>
          <w:sz w:val="20"/>
          <w:szCs w:val="20"/>
          <w:color w:val="auto"/>
        </w:rPr>
      </w:pPr>
    </w:p>
    <w:p>
      <w:pPr>
        <w:ind w:left="100" w:right="46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10" w:lineRule="exact"/>
        <w:rPr>
          <w:sz w:val="20"/>
          <w:szCs w:val="20"/>
          <w:color w:val="auto"/>
        </w:rPr>
      </w:pPr>
    </w:p>
    <w:p>
      <w:pPr>
        <w:ind w:left="100"/>
        <w:spacing w:after="0" w:line="222" w:lineRule="auto"/>
        <w:rPr>
          <w:sz w:val="20"/>
          <w:szCs w:val="20"/>
          <w:color w:val="auto"/>
        </w:rPr>
      </w:pPr>
      <w:r>
        <w:rPr>
          <w:rFonts w:ascii="Times New Roman" w:cs="Times New Roman" w:eastAsia="Times New Roman" w:hAnsi="Times New Roman"/>
          <w:sz w:val="18"/>
          <w:szCs w:val="18"/>
          <w:color w:val="auto"/>
        </w:rPr>
        <w:t>Amounts reclassified out from accumulated other comprehensive income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(loss)</w:t>
      </w:r>
    </w:p>
    <w:p>
      <w:pPr>
        <w:spacing w:after="0" w:line="7" w:lineRule="exact"/>
        <w:rPr>
          <w:sz w:val="20"/>
          <w:szCs w:val="20"/>
          <w:color w:val="auto"/>
        </w:rPr>
      </w:pPr>
    </w:p>
    <w:p>
      <w:pPr>
        <w:ind w:left="100" w:right="16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5"/>
                <w:szCs w:val="15"/>
                <w:color w:val="auto"/>
              </w:rPr>
            </w:pPr>
          </w:p>
        </w:tc>
        <w:tc>
          <w:tcPr>
            <w:tcW w:w="2040" w:type="dxa"/>
            <w:vAlign w:val="bottom"/>
            <w:gridSpan w:val="2"/>
          </w:tcPr>
          <w:p>
            <w:pPr>
              <w:jc w:val="center"/>
              <w:ind w:right="360"/>
              <w:spacing w:after="0" w:line="182" w:lineRule="exact"/>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6"/>
                <w:szCs w:val="16"/>
                <w:color w:val="auto"/>
              </w:rPr>
            </w:pPr>
          </w:p>
        </w:tc>
        <w:tc>
          <w:tcPr>
            <w:tcW w:w="204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398"/>
        </w:trPr>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594"/>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9"/>
        </w:trPr>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-830580</wp:posOffset>
            </wp:positionV>
            <wp:extent cx="713232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0"/>
            <w:col w:w="80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2023:</w:t>
      </w: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40" w:type="dxa"/>
            <w:vAlign w:val="bottom"/>
          </w:tcPr>
          <w:p>
            <w:pPr>
              <w:spacing w:after="0"/>
              <w:rPr>
                <w:sz w:val="15"/>
                <w:szCs w:val="15"/>
                <w:color w:val="auto"/>
              </w:rPr>
            </w:pPr>
          </w:p>
        </w:tc>
        <w:tc>
          <w:tcPr>
            <w:tcW w:w="2040" w:type="dxa"/>
            <w:vAlign w:val="bottom"/>
            <w:gridSpan w:val="2"/>
          </w:tcPr>
          <w:p>
            <w:pPr>
              <w:jc w:val="center"/>
              <w:ind w:right="360"/>
              <w:spacing w:after="0" w:line="182" w:lineRule="exact"/>
              <w:rPr>
                <w:sz w:val="20"/>
                <w:szCs w:val="20"/>
                <w:color w:val="auto"/>
              </w:rPr>
            </w:pPr>
            <w:r>
              <w:rPr>
                <w:rFonts w:ascii="Times New Roman" w:cs="Times New Roman" w:eastAsia="Times New Roman" w:hAnsi="Times New Roman"/>
                <w:sz w:val="18"/>
                <w:szCs w:val="18"/>
                <w:color w:val="auto"/>
                <w:w w:val="99"/>
              </w:rPr>
              <w:t>Defined benefit</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40" w:type="dxa"/>
            <w:vAlign w:val="bottom"/>
          </w:tcPr>
          <w:p>
            <w:pPr>
              <w:spacing w:after="0"/>
              <w:rPr>
                <w:sz w:val="16"/>
                <w:szCs w:val="16"/>
                <w:color w:val="auto"/>
              </w:rPr>
            </w:pPr>
          </w:p>
        </w:tc>
        <w:tc>
          <w:tcPr>
            <w:tcW w:w="204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pension and other</w:t>
            </w:r>
          </w:p>
        </w:tc>
        <w:tc>
          <w:tcPr>
            <w:tcW w:w="180" w:type="dxa"/>
            <w:vAlign w:val="bottom"/>
          </w:tcPr>
          <w:p>
            <w:pPr>
              <w:spacing w:after="0"/>
              <w:rPr>
                <w:sz w:val="16"/>
                <w:szCs w:val="16"/>
                <w:color w:val="auto"/>
              </w:rPr>
            </w:pPr>
          </w:p>
        </w:tc>
        <w:tc>
          <w:tcPr>
            <w:tcW w:w="11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color w:val="auto"/>
              </w:rPr>
              <w:t>currency</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postretirement plans</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155"/>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43"/>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80" w:type="dxa"/>
            <w:vAlign w:val="bottom"/>
          </w:tcPr>
          <w:p>
            <w:pPr>
              <w:spacing w:after="0"/>
              <w:rPr>
                <w:sz w:val="21"/>
                <w:szCs w:val="21"/>
                <w:color w:val="auto"/>
              </w:rPr>
            </w:pPr>
          </w:p>
        </w:tc>
        <w:tc>
          <w:tcPr>
            <w:tcW w:w="11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Amounts reclassified out from</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4"/>
        </w:trPr>
        <w:tc>
          <w:tcPr>
            <w:tcW w:w="31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7"/>
              </w:rPr>
              <w:t>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55"/>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of tax</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from accumulated other comprehensive loss is presented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7"/>
                <w:szCs w:val="17"/>
                <w:color w:val="auto"/>
              </w:rPr>
            </w:pPr>
          </w:p>
        </w:tc>
        <w:tc>
          <w:tcPr>
            <w:tcW w:w="17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1"/>
                <w:szCs w:val="21"/>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1"/>
                <w:szCs w:val="21"/>
                <w:color w:val="auto"/>
              </w:rPr>
            </w:pPr>
          </w:p>
        </w:tc>
        <w:tc>
          <w:tcPr>
            <w:tcW w:w="13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50"/>
        </w:trPr>
        <w:tc>
          <w:tcPr>
            <w:tcW w:w="41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Detail of components</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r>
      <w:tr>
        <w:trPr>
          <w:trHeight w:val="230"/>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29"/>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r>
      <w:tr>
        <w:trPr>
          <w:trHeight w:val="142"/>
        </w:trPr>
        <w:tc>
          <w:tcPr>
            <w:tcW w:w="41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Amortization of defined benefit pension and other</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plans: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23"/>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component is included in the computation of net periodic benefit cost.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changes in shareholders’ equity for the nine months ended September 30, 2024:</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8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98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9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6"/>
              </w:rPr>
              <w:t>Treasury</w:t>
            </w:r>
          </w:p>
        </w:tc>
        <w:tc>
          <w:tcPr>
            <w:tcW w:w="8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580" w:type="dxa"/>
            <w:vAlign w:val="bottom"/>
            <w:vMerge w:val="continue"/>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9"/>
                <w:szCs w:val="19"/>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$ 3,624.1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($0.20 per share)</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$ 3,720.9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Borders>
              <w:top w:val="single" w:sz="8" w:color="CCEEFF"/>
            </w:tcBorders>
            <w:vMerge w:val="continue"/>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(1,010.6)</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$ 3,856.9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Capital in</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88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8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350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$ 2,987.8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($0.19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($0.19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$ 3,415.9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September 30, 2024, there were 1,338,673 shares remaining in the 2016 Plan for future grants.</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we granted 88,588 stock options at a weighted average exercise price of $348.50 per share based on the grant-date fair value of our stock to employees under the 2016 Plan. The weighted average grant date fair value of options granted was $134.33 per share as determined by the Black-Scholes option valuation model using the following weighted average assumptions: a risk-free interest rate of 4.3%; expected life of 6.0 years based on prior experience; stock volatility of 32.0% based on historical data; and a dividend yield of 0.3%. Stock option expense is recognized over the vesting period, net of forfeitures.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we granted 34,188 stock-settled performance share unit (“PSU”) awards at a weighted average grant-date fair value of $348.46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granted 8,302 stock-settled restricted share unit (“RSU”) awards at a weighted average grant-date fair value of $342.74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$5.1 million and $14.4 million for the three and nine months ended September 30, 2024, respectively. For the three and nine months ended September 30, 2023, stock-based compensation expense was $5.9 million and $21.9 million,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Other Expense (Income)</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consists of:</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760" w:type="dxa"/>
            <w:vAlign w:val="bottom"/>
            <w:gridSpan w:val="4"/>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46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w w:val="99"/>
              </w:rPr>
              <w:t>September 30,</w:t>
            </w:r>
          </w:p>
        </w:tc>
        <w:tc>
          <w:tcPr>
            <w:tcW w:w="46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losses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plant</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53" w:lineRule="exact"/>
        <w:rPr>
          <w:sz w:val="20"/>
          <w:szCs w:val="20"/>
          <w:color w:val="auto"/>
        </w:rPr>
      </w:pPr>
    </w:p>
    <w:p>
      <w:pPr>
        <w:ind w:right="1040"/>
        <w:spacing w:after="0" w:line="230" w:lineRule="auto"/>
        <w:rPr>
          <w:sz w:val="20"/>
          <w:szCs w:val="20"/>
          <w:color w:val="auto"/>
        </w:rPr>
      </w:pPr>
      <w:r>
        <w:rPr>
          <w:rFonts w:ascii="Times New Roman" w:cs="Times New Roman" w:eastAsia="Times New Roman" w:hAnsi="Times New Roman"/>
          <w:sz w:val="18"/>
          <w:szCs w:val="18"/>
          <w:color w:val="auto"/>
        </w:rPr>
        <w:t>Contingent consideration represents changes in the fair value of the SmartDose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contingent consideration. Please refer to Note 10, </w:t>
      </w:r>
      <w:r>
        <w:rPr>
          <w:rFonts w:ascii="Times New Roman" w:cs="Times New Roman" w:eastAsia="Times New Roman" w:hAnsi="Times New Roman"/>
          <w:sz w:val="18"/>
          <w:szCs w:val="18"/>
          <w:i w:val="1"/>
          <w:iCs w:val="1"/>
          <w:u w:val="single" w:color="auto"/>
          <w:color w:val="0000FF"/>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Measurements</w:t>
      </w:r>
      <w:r>
        <w:rPr>
          <w:rFonts w:ascii="Times New Roman" w:cs="Times New Roman" w:eastAsia="Times New Roman" w:hAnsi="Times New Roman"/>
          <w:sz w:val="18"/>
          <w:szCs w:val="18"/>
          <w:color w:val="000000"/>
        </w:rPr>
        <w:t>, for additional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2022, the Company approved a restructuring plan to adjust our operating cost base to better respond to the macroeconomic factors influencing our business. These changes were implemented over a period of approximately twenty-four months from the date of approval. The plan is expected to have annualized savings in the range of $17 million to $19 million. As of September 30, 2024, the Company does not expect additional expenses or payments associated with our 2022 restructuring plan. The following table presents activity related to our restructuring obligations related to our 2022 restructuring plan:</w:t>
      </w: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Severance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benefits</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charges</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Charges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Disposal of Plant</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recorded expense of $11.6 million, within other expense (income), as a result of the sale of one of the Company’s manufacturing facilities within the Proprietary Products segment during the second quarter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$32.4 million and $29.4 million for the three months ended September 30, 2024 and 2023, respectively, and the effective tax rate was 19.7% and 15.7%, respectively. The increase in the effective tax rate is primarily due to a decrease in the tax benefit related to stock-based compensation in the three months ended September 30, 2024 as compared to the same period in 2023, partially offset by a shift in the forecasted geographic earnings mix.</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$70.7 million and $87.8 million for the nine months ended September 30, 2024 and 2023, respectively, and the effective tax rate was 16.8% and 16.6%, respectively. The increase in the effective tax rate is primarily due to a decrease in the tax benefit related to stock-based compensation in the nine months ended September 30, 2024, as compared to the same period in 2023, partially offset by a shift in the forecasted geographic earnings mix.</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continues to address the change in tax laws enacted pursuant to the Organization for Economic Cooperation and Development (OECD)’s 15% global minimum tax initiative (Pillar 2). The 2024 forecasted impact of Pillar 2 is not expected to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commitments and contingencies since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5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reportable segments, reconciled to consolidated totals: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601.4</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summarized financial information for our segments: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700" w:type="dxa"/>
            <w:vAlign w:val="bottom"/>
            <w:gridSpan w:val="4"/>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415.5</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546.5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business segment operating profit</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471.6</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599.8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costs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disposal of plant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investment impairment </w:t>
            </w:r>
            <w:r>
              <w:rPr>
                <w:rFonts w:ascii="Times New Roman" w:cs="Times New Roman" w:eastAsia="Times New Roman" w:hAnsi="Times New Roman"/>
                <w:sz w:val="23"/>
                <w:szCs w:val="23"/>
                <w:color w:val="auto"/>
                <w:vertAlign w:val="superscript"/>
              </w:rPr>
              <w:t>(3)</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(5)</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Corporate and Unallocated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consolidated operating profit</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515.1</w:t>
            </w: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Interest (income) expense and other nonoperating expense (income),</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56"/>
        </w:trPr>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equity in net income of affiliated</w:t>
            </w:r>
          </w:p>
        </w:tc>
        <w:tc>
          <w:tcPr>
            <w:tcW w:w="10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13"/>
                <w:szCs w:val="13"/>
                <w:color w:val="auto"/>
              </w:rPr>
            </w:pPr>
          </w:p>
        </w:tc>
        <w:tc>
          <w:tcPr>
            <w:tcW w:w="10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13"/>
                <w:szCs w:val="13"/>
                <w:color w:val="auto"/>
              </w:rPr>
            </w:pPr>
          </w:p>
        </w:tc>
        <w:tc>
          <w:tcPr>
            <w:tcW w:w="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420.6</w:t>
            </w:r>
          </w:p>
        </w:tc>
        <w:tc>
          <w:tcPr>
            <w:tcW w:w="120" w:type="dxa"/>
            <w:vAlign w:val="bottom"/>
          </w:tcPr>
          <w:p>
            <w:pPr>
              <w:spacing w:after="0"/>
              <w:rPr>
                <w:sz w:val="13"/>
                <w:szCs w:val="13"/>
                <w:color w:val="auto"/>
              </w:rPr>
            </w:pPr>
          </w:p>
        </w:tc>
        <w:tc>
          <w:tcPr>
            <w:tcW w:w="9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529.8</w:t>
            </w:r>
          </w:p>
        </w:tc>
        <w:tc>
          <w:tcPr>
            <w:tcW w:w="0" w:type="dxa"/>
            <w:vAlign w:val="bottom"/>
          </w:tcPr>
          <w:p>
            <w:pPr>
              <w:spacing w:after="0"/>
              <w:rPr>
                <w:sz w:val="1"/>
                <w:szCs w:val="1"/>
                <w:color w:val="auto"/>
              </w:rPr>
            </w:pPr>
          </w:p>
        </w:tc>
      </w:tr>
      <w:tr>
        <w:trPr>
          <w:trHeight w:val="221"/>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w:t>
            </w:r>
          </w:p>
        </w:tc>
        <w:tc>
          <w:tcPr>
            <w:tcW w:w="10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88" w:lineRule="exact"/>
        <w:rPr>
          <w:rFonts w:ascii="Times New Roman" w:cs="Times New Roman" w:eastAsia="Times New Roman" w:hAnsi="Times New Roman"/>
          <w:sz w:val="18"/>
          <w:szCs w:val="18"/>
          <w:color w:val="auto"/>
        </w:rPr>
      </w:pPr>
    </w:p>
    <w:p>
      <w:pPr>
        <w:jc w:val="both"/>
        <w:ind w:right="200" w:firstLine="8"/>
        <w:spacing w:after="0" w:line="312" w:lineRule="auto"/>
        <w:tabs>
          <w:tab w:leader="none" w:pos="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nine months ended September 30, 2023, the Company recorded expense of $11.6 million within other expense (income), as a result of the sale of one of the Company’s manufacturing facilities within the Proprietary Products segment. The transaction closed during the second quarter of 2023.</w:t>
      </w:r>
    </w:p>
    <w:p>
      <w:pPr>
        <w:spacing w:after="0" w:line="166" w:lineRule="exact"/>
        <w:rPr>
          <w:rFonts w:ascii="Times New Roman" w:cs="Times New Roman" w:eastAsia="Times New Roman" w:hAnsi="Times New Roman"/>
          <w:sz w:val="17"/>
          <w:szCs w:val="17"/>
          <w:color w:val="auto"/>
        </w:rPr>
      </w:pPr>
    </w:p>
    <w:p>
      <w:pPr>
        <w:ind w:right="8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2023, the Company recorded expense of $3.3 million within other expense (income), as a result of an impairment of one of the Company's cost investments.</w:t>
      </w:r>
    </w:p>
    <w:p>
      <w:pPr>
        <w:spacing w:after="0" w:line="188" w:lineRule="exact"/>
        <w:rPr>
          <w:rFonts w:ascii="Times New Roman" w:cs="Times New Roman" w:eastAsia="Times New Roman" w:hAnsi="Times New Roman"/>
          <w:sz w:val="18"/>
          <w:szCs w:val="18"/>
          <w:color w:val="auto"/>
        </w:rPr>
      </w:pPr>
    </w:p>
    <w:p>
      <w:pPr>
        <w:ind w:right="2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Restructuring and other charges </w:t>
      </w:r>
      <w:r>
        <w:rPr>
          <w:rFonts w:ascii="Times New Roman" w:cs="Times New Roman" w:eastAsia="Times New Roman" w:hAnsi="Times New Roman"/>
          <w:sz w:val="18"/>
          <w:szCs w:val="18"/>
          <w:color w:val="000000"/>
        </w:rPr>
        <w:t>were a benefit</w:t>
      </w:r>
      <w:r>
        <w:rPr>
          <w:rFonts w:ascii="Times New Roman" w:cs="Times New Roman" w:eastAsia="Times New Roman" w:hAnsi="Times New Roman"/>
          <w:sz w:val="18"/>
          <w:szCs w:val="18"/>
          <w:color w:val="252525"/>
        </w:rPr>
        <w:t xml:space="preserve"> of </w:t>
      </w:r>
      <w:r>
        <w:rPr>
          <w:rFonts w:ascii="Times New Roman" w:cs="Times New Roman" w:eastAsia="Times New Roman" w:hAnsi="Times New Roman"/>
          <w:sz w:val="18"/>
          <w:szCs w:val="18"/>
          <w:color w:val="000000"/>
        </w:rPr>
        <w:t>$0.9 million in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2024. The net benefit represents the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impact of two items, the first of which is a $2.5 million benefit recorded within other expense (income) related to revised severance estimates in connection with the Company's </w:t>
      </w:r>
      <w:r>
        <w:rPr>
          <w:rFonts w:ascii="Times New Roman" w:cs="Times New Roman" w:eastAsia="Times New Roman" w:hAnsi="Times New Roman"/>
          <w:sz w:val="18"/>
          <w:szCs w:val="18"/>
          <w:color w:val="252525"/>
        </w:rPr>
        <w:t>2022</w:t>
      </w:r>
      <w:r>
        <w:rPr>
          <w:rFonts w:ascii="Times New Roman" w:cs="Times New Roman" w:eastAsia="Times New Roman" w:hAnsi="Times New Roman"/>
          <w:sz w:val="18"/>
          <w:szCs w:val="18"/>
          <w:color w:val="000000"/>
        </w:rPr>
        <w:t xml:space="preserve"> restructuring plan. This benefit was partially offset by $1.6 million of expense recorded within selling, general and administrative expenses in connection with a plan to optimize the legal structure of the Company and its subsidiaries. The expense consists primarily of consulting fees, legal expenses, and other one-time costs directly attributable to this plan. Restructuring and other charges of $0.1 million for the nine months ended September 30, 2023 represent the net impact of an inventory write down of $0.9 million within cost of goods and services sold and a $0.8 million </w:t>
      </w:r>
      <w:r>
        <w:rPr>
          <w:rFonts w:ascii="Times New Roman" w:cs="Times New Roman" w:eastAsia="Times New Roman" w:hAnsi="Times New Roman"/>
          <w:sz w:val="18"/>
          <w:szCs w:val="18"/>
          <w:color w:val="252525"/>
        </w:rPr>
        <w:t>benefit</w:t>
      </w:r>
      <w:r>
        <w:rPr>
          <w:rFonts w:ascii="Times New Roman" w:cs="Times New Roman" w:eastAsia="Times New Roman" w:hAnsi="Times New Roman"/>
          <w:sz w:val="18"/>
          <w:szCs w:val="18"/>
          <w:color w:val="000000"/>
        </w:rPr>
        <w:t xml:space="preserve"> within other expense (income) </w:t>
      </w:r>
      <w:r>
        <w:rPr>
          <w:rFonts w:ascii="Times New Roman" w:cs="Times New Roman" w:eastAsia="Times New Roman" w:hAnsi="Times New Roman"/>
          <w:sz w:val="18"/>
          <w:szCs w:val="18"/>
          <w:color w:val="252525"/>
        </w:rPr>
        <w:t>for revised severance estimates in connection with its 2022 restructuring plan.</w:t>
      </w:r>
    </w:p>
    <w:p>
      <w:pPr>
        <w:spacing w:after="0" w:line="215" w:lineRule="exact"/>
        <w:rPr>
          <w:rFonts w:ascii="Times New Roman" w:cs="Times New Roman" w:eastAsia="Times New Roman" w:hAnsi="Times New Roman"/>
          <w:sz w:val="18"/>
          <w:szCs w:val="18"/>
          <w:color w:val="auto"/>
        </w:rPr>
      </w:pPr>
    </w:p>
    <w:p>
      <w:pPr>
        <w:ind w:right="88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2024 and September 30, 2023, the Company recorded $0.2 million and $0.6 million, respectively, of amortization expense within operating profit associated with an intangible asset acquired during the second quarter of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14, </w:t>
      </w:r>
      <w:r>
        <w:rPr>
          <w:rFonts w:ascii="Times New Roman" w:cs="Times New Roman" w:eastAsia="Times New Roman" w:hAnsi="Times New Roman"/>
          <w:sz w:val="18"/>
          <w:szCs w:val="18"/>
          <w:i w:val="1"/>
          <w:iCs w:val="1"/>
          <w:u w:val="single" w:color="auto"/>
          <w:color w:val="0000FF"/>
        </w:rPr>
        <w:t>Other Expense (Income)</w:t>
      </w:r>
      <w:r>
        <w:rPr>
          <w:rFonts w:ascii="Times New Roman" w:cs="Times New Roman" w:eastAsia="Times New Roman" w:hAnsi="Times New Roman"/>
          <w:sz w:val="18"/>
          <w:szCs w:val="18"/>
          <w:color w:val="auto"/>
        </w:rPr>
        <w:t>, for further discussion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2023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2023 Annual Report and in Part II, Item 1A of this Form 10-Q.</w:t>
      </w:r>
    </w:p>
    <w:p>
      <w:pPr>
        <w:spacing w:after="0" w:line="21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Throughout this section, references to “Notes” refer to the notes to our condensed consolidated financial statements (unaudited) in Part I, Item 1 of this Form 10-Q, unless otherwise indicated.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5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2024:</w:t>
      </w:r>
    </w:p>
    <w:tbl>
      <w:tblPr>
        <w:tblLayout w:type="fixed"/>
        <w:tblInd w:w="0" w:type="dxa"/>
        <w:tblCellMar>
          <w:top w:w="0" w:type="dxa"/>
          <w:left w:w="0" w:type="dxa"/>
          <w:bottom w:w="0" w:type="dxa"/>
          <w:right w:w="0" w:type="dxa"/>
        </w:tblCellMar>
      </w:tblPr>
      <w:tr>
        <w:trPr>
          <w:trHeight w:val="191"/>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6"/>
              </w:rPr>
              <w:t>(0.01)</w:t>
            </w:r>
          </w:p>
        </w:tc>
      </w:tr>
      <w:tr>
        <w:trPr>
          <w:trHeight w:val="230"/>
        </w:trPr>
        <w:tc>
          <w:tcPr>
            <w:tcW w:w="4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r>
      <w:tr>
        <w:trPr>
          <w:trHeight w:val="178"/>
        </w:trPr>
        <w:tc>
          <w:tcPr>
            <w:tcW w:w="4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Three months ended September 30, 2024 adjusted amounts</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6"/>
              </w:rPr>
              <w:t>(0.01)</w:t>
            </w:r>
          </w:p>
        </w:tc>
      </w:tr>
      <w:tr>
        <w:trPr>
          <w:trHeight w:val="230"/>
        </w:trPr>
        <w:tc>
          <w:tcPr>
            <w:tcW w:w="4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0.03</w:t>
            </w:r>
          </w:p>
        </w:tc>
      </w:tr>
      <w:tr>
        <w:trPr>
          <w:trHeight w:val="178"/>
        </w:trPr>
        <w:tc>
          <w:tcPr>
            <w:tcW w:w="46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Nine months ended September 30, 2024 adjusted amounts (non-</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2024, we recorded a tax benefit of $2.7 million and $19.3 million, respectively, associated with stock-based compensation.</w:t>
      </w:r>
    </w:p>
    <w:p>
      <w:pPr>
        <w:spacing w:after="0" w:line="18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2023:</w:t>
      </w: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r>
      <w:tr>
        <w:trPr>
          <w:trHeight w:val="250"/>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2023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2.14</w:t>
            </w: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46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r>
      <w:tr>
        <w:trPr>
          <w:trHeight w:val="256"/>
        </w:trPr>
        <w:tc>
          <w:tcPr>
            <w:tcW w:w="46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6"/>
              </w:rPr>
              <w:t>(0.04)</w:t>
            </w:r>
          </w:p>
        </w:tc>
      </w:tr>
      <w:tr>
        <w:trPr>
          <w:trHeight w:val="257"/>
        </w:trPr>
        <w:tc>
          <w:tcPr>
            <w:tcW w:w="46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Cost investment impairment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0.05</w:t>
            </w:r>
          </w:p>
        </w:tc>
      </w:tr>
      <w:tr>
        <w:trPr>
          <w:trHeight w:val="178"/>
        </w:trPr>
        <w:tc>
          <w:tcPr>
            <w:tcW w:w="46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Three months ended September 30, 2023 adjusted amounts</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2.16</w:t>
            </w:r>
          </w:p>
        </w:tc>
      </w:tr>
      <w:tr>
        <w:trPr>
          <w:trHeight w:val="21"/>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7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2023 GAAP</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9519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951980" cy="162560"/>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tbl>
      <w:tblPr>
        <w:tblLayout w:type="fixed"/>
        <w:tblInd w:w="20" w:type="dxa"/>
        <w:tblCellMar>
          <w:top w:w="0" w:type="dxa"/>
          <w:left w:w="0" w:type="dxa"/>
          <w:bottom w:w="0" w:type="dxa"/>
          <w:right w:w="0" w:type="dxa"/>
        </w:tblCellMar>
      </w:tblPr>
      <w:tr>
        <w:trPr>
          <w:trHeight w:val="244"/>
        </w:trPr>
        <w:tc>
          <w:tcPr>
            <w:tcW w:w="4660" w:type="dxa"/>
            <w:vAlign w:val="bottom"/>
          </w:tcPr>
          <w:p>
            <w:pPr>
              <w:spacing w:after="0" w:line="244"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1"/>
                <w:szCs w:val="21"/>
                <w:color w:val="auto"/>
              </w:rPr>
            </w:pPr>
          </w:p>
        </w:tc>
      </w:tr>
      <w:tr>
        <w:trPr>
          <w:trHeight w:val="257"/>
        </w:trPr>
        <w:tc>
          <w:tcPr>
            <w:tcW w:w="4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2"/>
                <w:szCs w:val="22"/>
                <w:color w:val="auto"/>
              </w:rPr>
            </w:pPr>
          </w:p>
        </w:tc>
      </w:tr>
      <w:tr>
        <w:trPr>
          <w:trHeight w:val="257"/>
        </w:trPr>
        <w:tc>
          <w:tcPr>
            <w:tcW w:w="4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22"/>
                <w:szCs w:val="22"/>
                <w:color w:val="auto"/>
              </w:rPr>
            </w:pPr>
          </w:p>
        </w:tc>
      </w:tr>
      <w:tr>
        <w:trPr>
          <w:trHeight w:val="257"/>
        </w:trPr>
        <w:tc>
          <w:tcPr>
            <w:tcW w:w="4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 investment impairment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22"/>
                <w:szCs w:val="22"/>
                <w:color w:val="auto"/>
              </w:rPr>
            </w:pPr>
          </w:p>
        </w:tc>
      </w:tr>
      <w:tr>
        <w:trPr>
          <w:trHeight w:val="260"/>
        </w:trPr>
        <w:tc>
          <w:tcPr>
            <w:tcW w:w="4660" w:type="dxa"/>
            <w:vAlign w:val="bottom"/>
          </w:tcPr>
          <w:p>
            <w:pPr>
              <w:spacing w:after="0" w:line="259" w:lineRule="exact"/>
              <w:rPr>
                <w:sz w:val="20"/>
                <w:szCs w:val="20"/>
                <w:color w:val="auto"/>
              </w:rPr>
            </w:pPr>
            <w:r>
              <w:rPr>
                <w:rFonts w:ascii="Times New Roman" w:cs="Times New Roman" w:eastAsia="Times New Roman" w:hAnsi="Times New Roman"/>
                <w:sz w:val="18"/>
                <w:szCs w:val="18"/>
                <w:color w:val="auto"/>
              </w:rPr>
              <w:t xml:space="preserve">Loss on disposal of plant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22"/>
                <w:szCs w:val="22"/>
                <w:color w:val="auto"/>
              </w:rPr>
            </w:pPr>
          </w:p>
        </w:tc>
      </w:tr>
      <w:tr>
        <w:trPr>
          <w:trHeight w:val="203"/>
        </w:trPr>
        <w:tc>
          <w:tcPr>
            <w:tcW w:w="4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Nine months ended September 30, 2023 adjusted amounts (non-</w:t>
            </w:r>
          </w:p>
        </w:tc>
        <w:tc>
          <w:tcPr>
            <w:tcW w:w="100" w:type="dxa"/>
            <w:vAlign w:val="bottom"/>
          </w:tcPr>
          <w:p>
            <w:pPr>
              <w:spacing w:after="0"/>
              <w:rPr>
                <w:sz w:val="17"/>
                <w:szCs w:val="17"/>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5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41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530.7</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-796925</wp:posOffset>
            </wp:positionV>
            <wp:extent cx="69519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51980" cy="16319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-471170</wp:posOffset>
            </wp:positionV>
            <wp:extent cx="6951980"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95198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80"/>
          </w:cols>
          <w:pgMar w:left="320" w:top="124" w:right="439" w:bottom="1440" w:gutter="0" w:footer="0" w:header="0"/>
          <w:type w:val="continuous"/>
        </w:sectPr>
      </w:pP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2023, we recorded a tax benefit of $12.0 million and $31.3 million, respectively, associated with stock-based compensation.</w:t>
      </w:r>
    </w:p>
    <w:p>
      <w:pPr>
        <w:spacing w:after="0" w:line="189" w:lineRule="exact"/>
        <w:rPr>
          <w:sz w:val="20"/>
          <w:szCs w:val="20"/>
          <w:color w:val="auto"/>
        </w:rPr>
      </w:pPr>
    </w:p>
    <w:p>
      <w:pPr>
        <w:ind w:left="660" w:hanging="328"/>
        <w:spacing w:after="0" w:line="254"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Restructuring and other charges were a benefit of $0.9 million in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2024. The net benefit represents the impact of two items, the first of which is a $2.5 million benefit recorded within other expense (income) related to revised severance estimates in connection with the Company's 2022 restructuring plan. This benefit was partially offset by $1.6 million of expense recorded within selling, general and administrative expenses in connection with a plan to optimize the legal structure of the Company and its subsidiaries. The expense consists primarily of consulting fees, legal expenses, and other one-time costs directly attributable to this plan. Restructuring and other charges of $0.1 million for the nine months ended September 30, 2023 represent the net impact of an inventory write down of $0.9 million within cost of goods and services sold and a $0.8 million benefit within other expense (income) for revised severance estimates in connection with its 2022 restructuring plan.</w:t>
      </w:r>
    </w:p>
    <w:p>
      <w:pPr>
        <w:spacing w:after="0" w:line="218" w:lineRule="exact"/>
        <w:rPr>
          <w:rFonts w:ascii="Times New Roman" w:cs="Times New Roman" w:eastAsia="Times New Roman" w:hAnsi="Times New Roman"/>
          <w:sz w:val="18"/>
          <w:szCs w:val="18"/>
          <w:color w:val="252525"/>
        </w:rPr>
      </w:pPr>
    </w:p>
    <w:p>
      <w:pPr>
        <w:ind w:left="660" w:right="40" w:hanging="328"/>
        <w:spacing w:after="0" w:line="261"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2024 and 2023</w:t>
      </w:r>
      <w:r>
        <w:rPr>
          <w:rFonts w:ascii="Times New Roman" w:cs="Times New Roman" w:eastAsia="Times New Roman" w:hAnsi="Times New Roman"/>
          <w:sz w:val="18"/>
          <w:szCs w:val="18"/>
          <w:color w:val="252525"/>
        </w:rPr>
        <w:t xml:space="preserve">, the Company recorded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52525"/>
        </w:rPr>
        <w:t xml:space="preserve"> and </w:t>
      </w:r>
      <w:r>
        <w:rPr>
          <w:rFonts w:ascii="Times New Roman" w:cs="Times New Roman" w:eastAsia="Times New Roman" w:hAnsi="Times New Roman"/>
          <w:sz w:val="18"/>
          <w:szCs w:val="18"/>
          <w:color w:val="000000"/>
        </w:rPr>
        <w:t>$0.6 million</w:t>
      </w:r>
      <w:r>
        <w:rPr>
          <w:rFonts w:ascii="Times New Roman" w:cs="Times New Roman" w:eastAsia="Times New Roman" w:hAnsi="Times New Roman"/>
          <w:sz w:val="18"/>
          <w:szCs w:val="18"/>
          <w:color w:val="252525"/>
        </w:rPr>
        <w:t xml:space="preserve">, respectively, of amortization expense within operating profit associated with an intangible asset acquired during </w:t>
      </w:r>
      <w:r>
        <w:rPr>
          <w:rFonts w:ascii="Times New Roman" w:cs="Times New Roman" w:eastAsia="Times New Roman" w:hAnsi="Times New Roman"/>
          <w:sz w:val="18"/>
          <w:szCs w:val="18"/>
          <w:color w:val="000000"/>
        </w:rPr>
        <w:t>the second quarter of 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2024 and 2023, the Company recorded $0.6 million and $1.6 million, respectively, of amortization expense</w:t>
      </w:r>
      <w:r>
        <w:rPr>
          <w:rFonts w:ascii="Times New Roman" w:cs="Times New Roman" w:eastAsia="Times New Roman" w:hAnsi="Times New Roman"/>
          <w:sz w:val="18"/>
          <w:szCs w:val="18"/>
          <w:color w:val="252525"/>
        </w:rPr>
        <w:t xml:space="preserve"> in association with an acquisition of increased ownership interest in Daikyo.</w:t>
      </w:r>
    </w:p>
    <w:p>
      <w:pPr>
        <w:spacing w:after="0" w:line="206" w:lineRule="exact"/>
        <w:rPr>
          <w:rFonts w:ascii="Times New Roman" w:cs="Times New Roman" w:eastAsia="Times New Roman" w:hAnsi="Times New Roman"/>
          <w:sz w:val="18"/>
          <w:szCs w:val="18"/>
          <w:color w:val="252525"/>
        </w:rPr>
      </w:pPr>
    </w:p>
    <w:p>
      <w:pPr>
        <w:ind w:left="660" w:right="60" w:hanging="328"/>
        <w:spacing w:after="0" w:line="282"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2023</w:t>
      </w:r>
      <w:r>
        <w:rPr>
          <w:rFonts w:ascii="Times New Roman" w:cs="Times New Roman" w:eastAsia="Times New Roman" w:hAnsi="Times New Roman"/>
          <w:sz w:val="18"/>
          <w:szCs w:val="18"/>
          <w:color w:val="252525"/>
        </w:rPr>
        <w:t xml:space="preserve">, the Company recorded a benefit of $3.8 million </w:t>
      </w:r>
      <w:r>
        <w:rPr>
          <w:rFonts w:ascii="Times New Roman" w:cs="Times New Roman" w:eastAsia="Times New Roman" w:hAnsi="Times New Roman"/>
          <w:sz w:val="18"/>
          <w:szCs w:val="18"/>
          <w:color w:val="000000"/>
        </w:rPr>
        <w:t>within other nonoperating expense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(income) </w:t>
      </w:r>
      <w:r>
        <w:rPr>
          <w:rFonts w:ascii="Times New Roman" w:cs="Times New Roman" w:eastAsia="Times New Roman" w:hAnsi="Times New Roman"/>
          <w:sz w:val="18"/>
          <w:szCs w:val="18"/>
          <w:color w:val="252525"/>
        </w:rPr>
        <w:t>as a result of a favorable legal settlement related to a matter not included in our normal operations.</w:t>
      </w:r>
    </w:p>
    <w:p>
      <w:pPr>
        <w:spacing w:after="0" w:line="188" w:lineRule="exact"/>
        <w:rPr>
          <w:rFonts w:ascii="Times New Roman" w:cs="Times New Roman" w:eastAsia="Times New Roman" w:hAnsi="Times New Roman"/>
          <w:sz w:val="18"/>
          <w:szCs w:val="18"/>
          <w:color w:val="252525"/>
        </w:rPr>
      </w:pPr>
    </w:p>
    <w:p>
      <w:pPr>
        <w:ind w:left="660" w:right="40" w:hanging="328"/>
        <w:spacing w:after="0" w:line="282" w:lineRule="auto"/>
        <w:tabs>
          <w:tab w:leader="none" w:pos="654"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2023, the Company recorded expense of $3.3 million within other expense (income), as a result of an impairment of one of the Company's cost investments.</w:t>
      </w:r>
    </w:p>
    <w:p>
      <w:pPr>
        <w:spacing w:after="0" w:line="188" w:lineRule="exact"/>
        <w:rPr>
          <w:rFonts w:ascii="Times New Roman" w:cs="Times New Roman" w:eastAsia="Times New Roman" w:hAnsi="Times New Roman"/>
          <w:sz w:val="18"/>
          <w:szCs w:val="18"/>
          <w:color w:val="252525"/>
        </w:rPr>
      </w:pPr>
    </w:p>
    <w:p>
      <w:pPr>
        <w:ind w:left="660" w:right="2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During the </w:t>
      </w:r>
      <w:r>
        <w:rPr>
          <w:rFonts w:ascii="Times New Roman" w:cs="Times New Roman" w:eastAsia="Times New Roman" w:hAnsi="Times New Roman"/>
          <w:sz w:val="18"/>
          <w:szCs w:val="18"/>
          <w:color w:val="000000"/>
        </w:rPr>
        <w:t>nine months ended September 30, 2023</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recorded expense of $11.6 million within other expense (income), as a result of</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sale of one of the Company’s manufacturing facilities within the Proprietary Products segment. The transaction closed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Percentages in the following tables and throughout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may reflect rounding adjustments.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three months ended September 30, 2024 and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4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As-Reported</w:t>
            </w: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net sales decreased by $0.5 million, or 0.1%, for the three months ended September 30, 2024, as compared to the same period in 2023, including a favorable foreign currency translation impact of $2.9 million. Excluding foreign currency translation effects, consolidated net sales for the three months ended September 30, 2024 decreased by $3.4 million, or 0.5%, as compared to the same period in 2023.</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decreased by $1.1 million, or 0.2%, for the three months ended September 30,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2023, including a favorable foreign currency translation impact of $2.2 million. Excluding foreign currency translation effects, net sales for the three months ended September 30, 2024 decreased by $3.3 million, or 0.5%, as compared to the same period in 2023, due to a decline in sales of certain high-value product offerings due to customer inventory management, primarily FluroTec® products, NovaBrand products, Westar® components and Daikyo® components. These reductions were partially offset by an increase in sales of self-injection device platforms, approximately $19 million in customer incentives in connection with volumes achieved during the three months ended September 30, 2024, as compared to the same period in 2023, and increased sales prices.</w:t>
      </w:r>
    </w:p>
    <w:p>
      <w:pPr>
        <w:spacing w:after="0" w:line="21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increased by $0.6 million, or 0.4%,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including a favorable foreign currency translation impact of $0.7 million. Excluding foreign currency translation effects, net sales for the three months ended September 30, 2024 decreased by $0.1 million, or 0.1%, as compared to the same period in 2023, due primarily to a decrease in sales of healthcare diagnostic devices, offset by growth in self-injection devices for obesity and diabetes.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Nine Months Ended</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48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in millions)</w:t>
            </w: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As-Reported</w:t>
            </w: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8"/>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Consolidated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Consolidated net sales decreased by $73.4 million, or 3.3%, for the nine months ended September 30, 2024, as compared to the same period in 2023, including a favorable foreign currency translation impact of $0.2 million. Excluding foreign currency translation effects and removal of the 2023 sales impact related to one of our plants that was disposed of in the second quarter of 2023 of $4.3 million, consolidated net sales for the nine months ended September 30, 2024 decreased by $69.3 million, or 3.1%, as compared to the same period in 2023.</w:t>
      </w:r>
    </w:p>
    <w:p>
      <w:pPr>
        <w:spacing w:after="0" w:line="20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w:t>
      </w:r>
      <w:r>
        <w:rPr>
          <w:rFonts w:ascii="Times New Roman" w:cs="Times New Roman" w:eastAsia="Times New Roman" w:hAnsi="Times New Roman"/>
          <w:sz w:val="18"/>
          <w:szCs w:val="18"/>
          <w:color w:val="auto"/>
        </w:rPr>
        <w:t>– Proprietary Products net sales decreased by $83.0 million, or 4.6%, for the nine months ended September 30, 2024,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2023, including an unfavorable foreign currency translation impact of $0.4 million. Excluding foreign currency translation effects and removal of the 2023 sales impact related to one of our plants that was disposed of in the second quarter of 2023 of $4.3 million, net sales for the nine months ended September 30, 2024 decreased by $78.3 million, or 4.4%, as compared to the same period in 2023, due to a decline in sales of certain high-value product offerings due to customer inventory management, primarily Westar® components, FluroTec® products and Daikyo® components. These reductions were partially offset by an increase in sales of self-injection device platforms and NovaBrand products, as well as increased sales prices.</w:t>
      </w:r>
    </w:p>
    <w:p>
      <w:pPr>
        <w:spacing w:after="0" w:line="20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w:t>
      </w:r>
      <w:r>
        <w:rPr>
          <w:rFonts w:ascii="Times New Roman" w:cs="Times New Roman" w:eastAsia="Times New Roman" w:hAnsi="Times New Roman"/>
          <w:sz w:val="18"/>
          <w:szCs w:val="18"/>
          <w:color w:val="auto"/>
        </w:rPr>
        <w:t>– Contract-Manufactured Products net sales increased by $9.6 million, or 2.3%,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including a favorable foreign currency translation impact of $0.6 million. Excluding foreign currency translation effects, net sales for the nine months ended September 30, 2024 increased by $9.0 million, or 2.2%, as compared to the same period in 2023, primarily due to an increase in sales of components associated with injection-related devices and sales price increases.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ind w:left="56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6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Borders>
              <w:bottom w:val="single" w:sz="8" w:color="auto"/>
            </w:tcBorders>
          </w:tcPr>
          <w:p>
            <w:pPr>
              <w:spacing w:after="0"/>
              <w:rPr>
                <w:sz w:val="20"/>
                <w:szCs w:val="20"/>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780.6</w:t>
            </w: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851.0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gross profit margin</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35.4 %</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38.4 %</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Consolidated gross profit decreased by $23.6 million, or 8.2%, for the three months ended September 30, 2024, as compared to the same period in 2023, including a favorable foreign currency translation impact of $1.0 million for the three months ended September 30, 2024, as compared to the same period in 2023. Consolidated gross profit margin decreased by 3.2 margin points for the three months ended September 30, 2024, as compared to the same period in 2023.</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gross profit decreased by $126.1 million, or 14.8% for the nine months ended September 30, 2024, as compared to the same period in 2023, including a favorable foreign currency translation impact of $0.1 million for the nine months ended September 30, 2024, as compared to the same period in 2023. Consolidated gross profit margin decreased by 4.6 margin points for the nine months ended September 30, 2024, as compared to the same period in 2023.</w:t>
      </w:r>
    </w:p>
    <w:p>
      <w:pPr>
        <w:spacing w:after="0" w:line="18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Proprietary Products - </w:t>
      </w:r>
      <w:r>
        <w:rPr>
          <w:rFonts w:ascii="Times New Roman" w:cs="Times New Roman" w:eastAsia="Times New Roman" w:hAnsi="Times New Roman"/>
          <w:sz w:val="17"/>
          <w:szCs w:val="17"/>
          <w:color w:val="auto"/>
        </w:rPr>
        <w:t>Proprietary Products gross profit decreased by $25.7 million, or 9.8%, for the three months ended September 30, 2024,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same period in 2023, including a favorable foreign currency translation impact of $0.9 million. Proprietary Products gross profit margin decreased by 4.2 margin points for the three months ended September 30, 2024, as compared to the same periods in 2023, primarily due to a shift in sales mix from HVP Components to HVP Delivery Devices, which have lower profitability. Profit was additionally impacted by lower plant absorption at our HVP Component plants from reduced customer demand. These headwinds were partially offset by approximately $19 million in customer incentives in connection with volumes achieved during the three months ended September 30, 2024, as compared to the same period in 2023, and increased sales prices.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Proprietary Products gross profit decreased by $130.8 million, or 16.8%, for the nine months ended September 30, 2024, as compared to the same period in 2023. Proprietary Products gross profit margin decreased by 5.5 margin points for the nine months ended September 30, 2024, as compared to the same period in 2023, primarily due to lower plant absorption from reduced customer demand and an unfavorable shift in mix of products sold from HVP Components to HVP Delivery Devices. These headwinds were partially offset by increased sales prices and approximately $22 million in customer incentives in connection with volumes achieved during the nine months ended September 30, 2024, as compared to the same period in 2023.</w:t>
      </w:r>
    </w:p>
    <w:p>
      <w:pPr>
        <w:spacing w:after="0" w:line="2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gross profit increased by $2.1 million, or 7.8%,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including a favorable foreign currency translation impact of $0.1 million. Contract-Manufactured Products gross profit margin increased by 1.3 margin points for the three months ended September 30, 2024, as compared to the same period in 2023, primarily due to production efficiencies.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Contract-Manufactured Products gross profit increased by $3.8 million, or 5.3%, for the nine months ended September 30, 2024, as compared to the same period in 2023. Contract-Manufactured Products gross profit margin increased by 0.5 margin points for the nine months ended September 30, 2024, as compared to the same period in 2023, primarily due to increased sales prices.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consolidated R&amp;D costs: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4980" w:type="dxa"/>
            <w:vAlign w:val="bottom"/>
          </w:tcPr>
          <w:p>
            <w:pPr>
              <w:spacing w:after="0"/>
              <w:rPr>
                <w:sz w:val="17"/>
                <w:szCs w:val="17"/>
                <w:color w:val="auto"/>
              </w:rPr>
            </w:pPr>
          </w:p>
        </w:tc>
        <w:tc>
          <w:tcPr>
            <w:tcW w:w="2740" w:type="dxa"/>
            <w:vAlign w:val="bottom"/>
            <w:gridSpan w:val="4"/>
          </w:tcPr>
          <w:p>
            <w:pPr>
              <w:jc w:val="center"/>
              <w:ind w:left="41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Consolidated R&amp;D costs decreased by $0.9 million, or 5.5%, for the three months ended September 30, 2024, as compared to the same period in 2023. Consolidated R&amp;D costs increased $0.6 million, or 1.2%, for the nine months ended September 30, 2024 as compared to the same period of 2023. Efforts remain focused on the continued investment in elastomeric packaging components, formulation development, drug containment systems, self-injection systems and drug administration consumable.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R&amp;D costs incurred in the three and nine months ended September 30, 2024 and 2023 related to Proprietary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 and unallocated items:</w:t>
      </w:r>
    </w:p>
    <w:p>
      <w:pPr>
        <w:spacing w:after="0" w:line="38" w:lineRule="exact"/>
        <w:rPr>
          <w:sz w:val="20"/>
          <w:szCs w:val="20"/>
          <w:color w:val="auto"/>
        </w:rPr>
      </w:pPr>
    </w:p>
    <w:p>
      <w:pPr>
        <w:ind w:left="5620"/>
        <w:spacing w:after="0"/>
        <w:tabs>
          <w:tab w:leader="none" w:pos="8960" w:val="left"/>
        </w:tabs>
        <w:rPr>
          <w:sz w:val="20"/>
          <w:szCs w:val="20"/>
          <w:color w:val="auto"/>
        </w:rPr>
      </w:pPr>
      <w:r>
        <w:rPr>
          <w:rFonts w:ascii="Times New Roman" w:cs="Times New Roman" w:eastAsia="Times New Roman" w:hAnsi="Times New Roman"/>
          <w:sz w:val="18"/>
          <w:szCs w:val="18"/>
          <w:color w:val="auto"/>
        </w:rPr>
        <w:t>Three Months Ended</w:t>
      </w:r>
      <w:r>
        <w:rPr>
          <w:sz w:val="20"/>
          <w:szCs w:val="20"/>
          <w:color w:val="auto"/>
        </w:rPr>
        <w:tab/>
      </w:r>
      <w:r>
        <w:rPr>
          <w:rFonts w:ascii="Times New Roman" w:cs="Times New Roman" w:eastAsia="Times New Roman" w:hAnsi="Times New Roman"/>
          <w:sz w:val="18"/>
          <w:szCs w:val="18"/>
          <w:color w:val="auto"/>
        </w:rPr>
        <w:t>Nine Months Ended</w:t>
      </w:r>
    </w:p>
    <w:p>
      <w:pPr>
        <w:ind w:left="5860"/>
        <w:spacing w:after="0"/>
        <w:tabs>
          <w:tab w:leader="none" w:pos="916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ectPr>
          <w:pgSz w:w="11900" w:h="16838" w:orient="portrait"/>
          <w:cols w:equalWidth="0" w:num="1">
            <w:col w:w="11240"/>
          </w:cols>
          <w:pgMar w:left="320" w:top="124"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Proprietary Products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Contract-Manufactured Products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SG&amp;A as a % of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18"/>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r>
      <w:tr>
        <w:trPr>
          <w:trHeight w:val="234"/>
        </w:trPr>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-814070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-513715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-196215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40"/>
          </w:cols>
          <w:pgMar w:left="320" w:top="124" w:right="339" w:bottom="1440" w:gutter="0" w:footer="0" w:header="0"/>
          <w:type w:val="continuous"/>
        </w:sectPr>
      </w:pP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Consolidated SG&amp;A costs decreased by $5.5 million, or 6.2%, for the three months ended September 30, 2024, as compared to the same period in 2023, due primarily to lower annual incentive compensation and decreased costs related to professional services, offset by increased salary and wages.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Consolidated SG&amp;A costs decreased by $10.2 million, or 3.9%, for the nine months ended September 30, 2024, as compared to the same period in 2023, including a favorable foreign currency translation impact of $0.2 million, due primarily to a decrease in expense related to stock-based compensation and lower annual incentive compensation, offset by increased salary and wages.</w:t>
      </w:r>
    </w:p>
    <w:p>
      <w:pPr>
        <w:spacing w:after="0" w:line="19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decreased by $4.8 million, or 7.8%, for the three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Proprietary Products SG&amp;A costs decreased primarily due to lower annual incentive compensation and decreased costs related to professional services.</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Proprietary Products SG&amp;A costs decreased by $3.4 million, or 1.9%, for the nine months ended September 30, 2024, as compared to the same period in 2023, including a favorable foreign currency translation impact of $0.2 million. Proprietary Products SG&amp;A costs decreased primarily due to lower annual incentive compensation.</w:t>
      </w:r>
    </w:p>
    <w:p>
      <w:pPr>
        <w:spacing w:after="0" w:line="19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SG&amp;A costs increased by $0.7 million, or 11.7%,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and increased by $1.0 million, or 5.5%, for the nine months ended September 30, 2024, as compared to the same period in 2023, due primarily to increased salary and wages.</w:t>
      </w:r>
    </w:p>
    <w:p>
      <w:pPr>
        <w:spacing w:after="0" w:line="198"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SG&amp;A costs decreased by $1.4 million, or 6.5%, for the three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primarily due to lower annual incentive compensation and a decrease in expense related to stock-based compensation, offset by increased salary and wages.</w:t>
      </w:r>
    </w:p>
    <w:p>
      <w:pPr>
        <w:spacing w:after="0" w:line="20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Corporate SG&amp;A costs decreased by $7.8 million, or 11.4%, for the nine months ended September 30, 2024, as compared to the same period in 2023, primarily due to a decrease in expense related to stock-based compensation and lower annual incentive compensation, offset by increased salary and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and expense items, consolidated and by reportable segment, corporate and unallocated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c>
          <w:tcPr>
            <w:tcW w:w="460" w:type="dxa"/>
            <w:vAlign w:val="bottom"/>
          </w:tcPr>
          <w:p>
            <w:pPr>
              <w:spacing w:after="0"/>
              <w:rPr>
                <w:sz w:val="17"/>
                <w:szCs w:val="17"/>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0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w w:val="99"/>
              </w:rPr>
              <w:t>September 30,</w:t>
            </w:r>
          </w:p>
        </w:tc>
        <w:tc>
          <w:tcPr>
            <w:tcW w:w="460" w:type="dxa"/>
            <w:vAlign w:val="bottom"/>
            <w:tcBorders>
              <w:bottom w:val="single" w:sz="8" w:color="auto"/>
            </w:tcBorders>
          </w:tcPr>
          <w:p>
            <w:pPr>
              <w:spacing w:after="0"/>
              <w:rPr>
                <w:sz w:val="21"/>
                <w:szCs w:val="2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40" w:type="dxa"/>
            <w:vAlign w:val="bottom"/>
          </w:tcPr>
          <w:p>
            <w:pPr>
              <w:spacing w:after="0"/>
              <w:rPr>
                <w:sz w:val="19"/>
                <w:szCs w:val="19"/>
                <w:color w:val="auto"/>
              </w:rPr>
            </w:pPr>
          </w:p>
        </w:tc>
        <w:tc>
          <w:tcPr>
            <w:tcW w:w="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expense (income)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5.6</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expense and income items consist of a loss on disposal of plant, asset impairments, foreign exchange transaction gains and losses, contingent consideration and miscellaneous income and charges.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other expense (income) changed by $1.2 million for the three months ended September 30, 2024, as compared to the same period in 2023 and changed by $11.7 million for the nine months ended September 30, 2024, as compared to the same period in 2023, due to the factors described below.</w:t>
      </w:r>
    </w:p>
    <w:p>
      <w:pPr>
        <w:spacing w:after="0" w:line="18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other expense (income) changed by $3.4 million for the three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primarily due to increased losses on foreign exchange transactions, increased asset impairments and increased contingent consideration expense being recorded in the three months ended September 30, 2024, as compared to the same period in 2023.</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Proprietary Products other expense (income) changed by $3.0 million for the nine months ended September 30, 2024, as compared to the same period in 2023, primarily due to increased losses on foreign exchange transactions and increased contingent consideration expense, offset by a decrease in asset impairments being recorded in the nine months ended September 30, 2024, as compared to the same period in 2023.</w:t>
      </w:r>
    </w:p>
    <w:p>
      <w:pPr>
        <w:spacing w:after="0" w:line="19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other expense (income) changed by $0.6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and remained consistent for the nine months ended September 30, 2024, as compared to the same period in 2023.</w:t>
      </w:r>
    </w:p>
    <w:p>
      <w:pPr>
        <w:spacing w:after="0" w:line="19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items changed by $5.2 million for the three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primarily due to the Company recording expense related to impairment of one of the Company's cost investments of $3.3 million in the three months ended September 30, 2023 that did not occur in the same period in 2024. Additionally, the Company recorded a benefit of $2.5 million related to revised severance estimates in connection with the Company's 2022 restructuring plan in the three months ended September 30, 2024 that did not occur in the same period in 2023.</w:t>
      </w:r>
    </w:p>
    <w:p>
      <w:pPr>
        <w:spacing w:after="0" w:line="2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Corporate and unallocated items changed by $14.7 million for the nine months ended September 30, 2024, as compared to the same period in 2023, primarily due to the Company recording expense of $11.6 million as a result of the sale of one of the Company’s manufacturing facilities within the Proprietary Products segment and the Company recording expense related to impairment of one of the Company's cost investments of $3.3 million in the nine months ended September 30, 2023. Neither of these items occurred in the same period in 2024. Additionally, the Company recorded a benefit of $2.5 million related to revised severance estimates in connection with the Company's 2022 restructuring plan in the nine months ended September 30, 2024, as compared to a benefit of $0.8 million recorded in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adjusted operating profit, consolidated and by reportable segment, corporate and unallocated items: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7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158.2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161.3</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177.3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21.5 %</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Consolidated operating profit decreased by $16.0 million, or 9.0%, for the three months ended September 30, 2024, as compared to the same period in 2023, including a favorable foreign currency translation impact of $0.9 million for the three months ended September 30, 2024, as compared to the same period in 2023.</w:t>
      </w:r>
    </w:p>
    <w:p>
      <w:pPr>
        <w:spacing w:after="0" w:line="20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Consolidated operating profit decreased by $104.8 million, or 20.3%, for the nine months ended September 30, 2024, as compared to the same period in 2023, including a favorable foreign currency translation impact of $0.3 million for the nine months ended September 30, 2024, as compared to the same period in 2023.</w:t>
      </w:r>
    </w:p>
    <w:p>
      <w:pPr>
        <w:spacing w:after="0" w:line="19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decreased by $23.4 million, or 12.9%, for the three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including a favorable foreign currency translation impact of $0.8 million, due to the factors described above, most notably lower gross profit driven by lower sales volume and an unfavorable mix of products sold.</w:t>
      </w:r>
    </w:p>
    <w:p>
      <w:pPr>
        <w:spacing w:after="0" w:line="20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Proprietary Products operating profit decreased by $131.0 million, or 24.0%, for the nine months ended September 30, 2024, as compared to the same period in 2023, including a favorable foreign currency translation impact of $0.2 million, due to the factors described above, most notably lower gross profit driven by lower sales volume and an unfavorable mix of products sold.</w:t>
      </w:r>
    </w:p>
    <w:p>
      <w:pPr>
        <w:spacing w:after="0" w:line="19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operating profit increased by $0.8 million, or 3.8%,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including a favorable foreign currency translation impact of $0.1 million, due to the factors described above, most notably the increased sales prices.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Contract-Manufactured Products operating profit increased by $2.8 million, or 5.3%, for the nine months ended September 30, 2024, as compared to the same period in 2023, including a favorable foreign currency translation impact of $0.1 million, due to the factors described above, most notably the increased sales prices.</w:t>
      </w:r>
    </w:p>
    <w:p>
      <w:pPr>
        <w:spacing w:after="0" w:line="19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 </w:t>
      </w:r>
      <w:r>
        <w:rPr>
          <w:rFonts w:ascii="Times New Roman" w:cs="Times New Roman" w:eastAsia="Times New Roman" w:hAnsi="Times New Roman"/>
          <w:sz w:val="18"/>
          <w:szCs w:val="18"/>
          <w:color w:val="auto"/>
        </w:rPr>
        <w:t>Excluding the unallocated items, Corporate costs decreased by $2.4 million, or 11.0%,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due to the factors described above, most notably the lower annual incentive compensation and the decrease in expense related to stock-based compensation.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Excluding the unallocated items, Corporate costs decreased by $7.5 million, or 10.9%, for the nine months ended September 30, 2024, as compared to the same period in 2023, due to the factors described above, most notably the decrease in expense related to stock-based compensation and lower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unallocated items, please refer to the Financial Performance Summary section above for detail.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 and Interest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(4.3)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9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$2.2 million, for the three months ended September 30, 2024, as compared to the same period in 2023, and decreased by $4.0 million, for the nine months ended September 30, 2024, as compared to the same period in 2023, due to an increase in capitalized interest.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income decreased by $4.2 million for the three months ended September 30, 2024, as compared to the same period in 2023, and decreased by $3.8 million for the nine months ended September 30, 2024, as compared to the same period in 2023, due primarily to the Company having a lower average cash balance during 2024, as compared to the same periods in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$32.4 million and $29.4 million for the three months ended September 30, 2024 and 2023, respectively, and the effective tax rate was 19.7% and 15.7%, respectively. The increase in the effective tax rate is primarily due to a decrease in the tax benefit related to stock-based compensation in the three months ended September 30, 2024 as compared to the same period in 2023, partially offset by a shift in the forecasted geographic earnings mix.</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$70.7 million and $87.8 million for the nine months ended September 30, 2024 and 2023, respectively, and the effective tax rate was 16.8% and 16.6%, respectively. The increase in the effective tax rate is primarily due to a decrease in the tax benefit related to stock-based compensation in the nine months ended September 30, 2024, as compared to the same period in 2023, partially offset by a shift in the forecasted geographic earnings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affiliated companies increased by $0.2 million for the three months ended September 30, 2024, as compared to the same period in 2023.</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affiliated companies decreased by $1.7 million for the nine months ended September 30, 2024, as compared to the same period in 2023, due to less favorable operating results at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nine months ended September 30: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537.4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(259.9)</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(270.1)</w:t>
            </w:r>
          </w:p>
        </w:tc>
      </w:tr>
    </w:tbl>
    <w:p>
      <w:pPr>
        <w:spacing w:after="0" w:line="315" w:lineRule="exact"/>
        <w:rPr>
          <w:sz w:val="20"/>
          <w:szCs w:val="20"/>
          <w:color w:val="auto"/>
        </w:rPr>
      </w:pPr>
    </w:p>
    <w:p>
      <w:pPr>
        <w:jc w:val="both"/>
        <w:ind w:right="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 </w:t>
      </w:r>
      <w:r>
        <w:rPr>
          <w:rFonts w:ascii="Times New Roman" w:cs="Times New Roman" w:eastAsia="Times New Roman" w:hAnsi="Times New Roman"/>
          <w:sz w:val="18"/>
          <w:szCs w:val="18"/>
          <w:color w:val="auto"/>
        </w:rPr>
        <w:t>Net cash provided by operating activities decreased by $74.1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compared to the same period in 2023, primarily due to a decline in operating results, offset by favorable working capital management.</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increased by $14.0 million for the nine months ended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2023, due to an increase in capital expenditures for additional manufacturing capacity to meet future customer demand.</w:t>
      </w:r>
    </w:p>
    <w:p>
      <w:pPr>
        <w:spacing w:after="0" w:line="182"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Net Cash Used in Financing Activities – </w:t>
      </w:r>
      <w:r>
        <w:rPr>
          <w:rFonts w:ascii="Times New Roman" w:cs="Times New Roman" w:eastAsia="Times New Roman" w:hAnsi="Times New Roman"/>
          <w:sz w:val="17"/>
          <w:szCs w:val="17"/>
          <w:color w:val="auto"/>
        </w:rPr>
        <w:t>Net cash used in financing activities increased by $283.6 million for the nine months ended September 30,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compared to the same period in 2023, primarily due to an increase in purchases under our share repurchase program in 2024, as compared to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September 30, 2024 consisted of cash held in depository accounts with banks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around the world and cash invested in high-quality, short-term investments. The cash and cash equivalents balance at September 30, 2024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$80.3 million of cash held by subsidiaries within the U.S., and $410.6 million of cash held by subsidiaries outside of the U.S.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we purchased 1,409,786 shares of our common stock under the share repurchase program at a cost of $506.5 million,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price of $359.24 per share.</w:t>
      </w:r>
    </w:p>
    <w:p>
      <w:pPr>
        <w:spacing w:after="0" w:line="23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September 30, 2024 decreased by $230.5 million, or 18.2%, as compared to December 31, 2023, which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foreign currency translation impact of $6.2 million. Excluding the impact of currency exchange rates, cash and cash equivalents, total current liabilities and inventories decreased by $365.0 million, $158.0 million and $34.0 million, respectively, while accounts receivable increased by $12.5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decrease in cash and cash equivalents was due to capital expenditures and share repurchases, offset by cash from operations during the nine months ended September 30, 2024. The decrease in total current liabilities was primarily due to the Company amending its Credit Facility Agreement during the nine months ended September 30, 2024. As part of this amendment, all current notes payable and debt amounts were repaid. Please refer to Note 8,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color w:val="auto"/>
        </w:rPr>
        <w:t>, for further discussion. Additionally, a decline in accounts payable and the payout of the 2023 annual incentive plan accrual during the nine months ended September 30, 2024 contributed to the decrease in total current liabilities.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inventories and the increase in accounts receivable were both due to increased net sales leading up to the September 30, 2024 balance sheet date as compared to the December 31, 2023 balance sheet date.</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$4.2 million decrease in total debt at September 30, 2024, as compared to December 31, 2023, is due to the net activity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repayments and borrowings as mentioned in Note 8,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Our sources of liquidity include our multi-currency revolving credit facility. At September 30, 2024, we had no outstanding borrowings under the multi-currency revolving credit facility. At September 30, 2024, the borrowing capacity available under the multi-currency revolving credit facility, including outstanding letters of credit of $2.4 million, was $497.6 million. We do not expect any significant limitations on our ability to access this source of funds.</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September 30, 2024, we were in compliance with all of our debt covenants.</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summary of future material cash payments resulting from commitments and contractual obligations was provided in our 2023 Annual Report. During the three months ended September 30, 2024, there were no material changes outside of the ordinary course of business to our commitments and contractual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30, 2024, we had no off-balance sheet financing arrangements other than unconditional purchase obligations incurred in the ordinary course of business and outstanding letters of credit related to various insurance programs, as noted in our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disclosed in Part II, Item 7 of our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were no new accounting standards adopted during the three months ended September 30, 2024, see Note 2, </w:t>
      </w:r>
      <w:r>
        <w:rPr>
          <w:rFonts w:ascii="Times New Roman" w:cs="Times New Roman" w:eastAsia="Times New Roman" w:hAnsi="Times New Roman"/>
          <w:sz w:val="18"/>
          <w:szCs w:val="18"/>
          <w:i w:val="1"/>
          <w:iCs w:val="1"/>
          <w:u w:val="single" w:color="auto"/>
          <w:color w:val="0000FF"/>
        </w:rPr>
        <w:t>New Accounting Standards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w:t>
      </w:r>
    </w:p>
    <w:p>
      <w:pPr>
        <w:spacing w:after="0" w:line="117"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demand and our ability to meet that demand;</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providers in our businesses, including customers’ in-house operations, and from lower-cost producers in emerging markets, which can impact unit volume, price and profitability;</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changing inventory requirements and manufacturing plans that alter existing orders or ordering patterns for the products we supply to them;</w:t>
      </w:r>
    </w:p>
    <w:p>
      <w:pPr>
        <w:spacing w:after="0" w:line="5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regulatory approval and commercial success of customer products that incorporate our products and systems;</w:t>
      </w:r>
    </w:p>
    <w:p>
      <w:pPr>
        <w:spacing w:after="0" w:line="1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71"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or mix, of the products sold in any reporting period, including lower-than-expected sales growth of our high-value proprietary product offerings;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production efficiencies and overhead absorption;</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suppliers and partners, some of which are single-source suppliers of critical materials and products, including our Japanese partner and affiliate, Daikyo;</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highly-skilled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0" w:right="72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53"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implementation of price increases necessary to offset rising production costs, including raw material prices, particularly petroleum-based raw materials;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progress of development, regulatory approval and marketing of new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licenses in any jurisdiction in which we do business;</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strength of USD in relation to other currencies, particularly the Euro, SGD, the Danish Krone, Yen, Colombian Peso, Brazilian Real, and the South Korean Won;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2023 Annual Report as well as Part II, section 1A of this quarterly report.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Except as required by law or regulation, we undertake no obligation to publicly update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market risk or the information provided in Part II, Item 7A of our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2024, our disclosure controls and procedures are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the risk factors disclosed in Part I, Item 1A of our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The following table shows information with respect to purchases of our common stock made during the three months ended September 30, 2024 by us or any of our “affiliated purchasers” as defined in Rule 10b-18(a)(3) under the Exchange Act:</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36" w:lineRule="exact"/>
        <w:rPr>
          <w:sz w:val="20"/>
          <w:szCs w:val="20"/>
          <w:color w:val="auto"/>
        </w:rPr>
      </w:pPr>
    </w:p>
    <w:p>
      <w:pPr>
        <w:ind w:left="20" w:right="40"/>
        <w:spacing w:after="0" w:line="281" w:lineRule="auto"/>
        <w:rPr>
          <w:sz w:val="20"/>
          <w:szCs w:val="20"/>
          <w:color w:val="auto"/>
        </w:rPr>
      </w:pPr>
      <w:r>
        <w:rPr>
          <w:rFonts w:ascii="Times New Roman" w:cs="Times New Roman" w:eastAsia="Times New Roman" w:hAnsi="Times New Roman"/>
          <w:sz w:val="18"/>
          <w:szCs w:val="18"/>
          <w:color w:val="auto"/>
        </w:rPr>
        <w:t>July 1 - 31, 2024 August 1 - 31, 2024 September 1 - 30, 2024</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22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Approximate dollar value of</w:t>
            </w:r>
          </w:p>
        </w:tc>
        <w:tc>
          <w:tcPr>
            <w:tcW w:w="0" w:type="dxa"/>
            <w:vAlign w:val="bottom"/>
          </w:tcPr>
          <w:p>
            <w:pPr>
              <w:spacing w:after="0"/>
              <w:rPr>
                <w:sz w:val="1"/>
                <w:szCs w:val="1"/>
                <w:color w:val="auto"/>
              </w:rPr>
            </w:pPr>
          </w:p>
        </w:tc>
      </w:tr>
      <w:tr>
        <w:trPr>
          <w:trHeight w:val="184"/>
        </w:trPr>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220" w:type="dxa"/>
            <w:vAlign w:val="bottom"/>
          </w:tcPr>
          <w:p>
            <w:pPr>
              <w:spacing w:after="0"/>
              <w:rPr>
                <w:sz w:val="16"/>
                <w:szCs w:val="16"/>
                <w:color w:val="auto"/>
              </w:rPr>
            </w:pPr>
          </w:p>
        </w:tc>
        <w:tc>
          <w:tcPr>
            <w:tcW w:w="20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9"/>
              </w:rPr>
              <w:t>shares that may yet be</w:t>
            </w:r>
          </w:p>
        </w:tc>
        <w:tc>
          <w:tcPr>
            <w:tcW w:w="0" w:type="dxa"/>
            <w:vAlign w:val="bottom"/>
          </w:tcPr>
          <w:p>
            <w:pPr>
              <w:spacing w:after="0"/>
              <w:rPr>
                <w:sz w:val="1"/>
                <w:szCs w:val="1"/>
                <w:color w:val="auto"/>
              </w:rPr>
            </w:pPr>
          </w:p>
        </w:tc>
      </w:tr>
      <w:tr>
        <w:trPr>
          <w:trHeight w:val="180"/>
        </w:trPr>
        <w:tc>
          <w:tcPr>
            <w:tcW w:w="2280" w:type="dxa"/>
            <w:vAlign w:val="bottom"/>
            <w:gridSpan w:val="2"/>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23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announced plans or programs</w:t>
            </w:r>
          </w:p>
        </w:tc>
        <w:tc>
          <w:tcPr>
            <w:tcW w:w="22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purchased under the plans or</w:t>
            </w:r>
          </w:p>
        </w:tc>
        <w:tc>
          <w:tcPr>
            <w:tcW w:w="0" w:type="dxa"/>
            <w:vAlign w:val="bottom"/>
          </w:tcPr>
          <w:p>
            <w:pPr>
              <w:spacing w:after="0"/>
              <w:rPr>
                <w:sz w:val="1"/>
                <w:szCs w:val="1"/>
                <w:color w:val="auto"/>
              </w:rPr>
            </w:pPr>
          </w:p>
        </w:tc>
      </w:tr>
      <w:tr>
        <w:trPr>
          <w:trHeight w:val="229"/>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(1)</w:t>
            </w:r>
          </w:p>
        </w:tc>
        <w:tc>
          <w:tcPr>
            <w:tcW w:w="34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share (1)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programs (1)</w:t>
            </w:r>
          </w:p>
        </w:tc>
        <w:tc>
          <w:tcPr>
            <w:tcW w:w="0" w:type="dxa"/>
            <w:vAlign w:val="bottom"/>
          </w:tcPr>
          <w:p>
            <w:pPr>
              <w:spacing w:after="0"/>
              <w:rPr>
                <w:sz w:val="1"/>
                <w:szCs w:val="1"/>
                <w:color w:val="auto"/>
              </w:rPr>
            </w:pPr>
          </w:p>
        </w:tc>
      </w:tr>
      <w:tr>
        <w:trPr>
          <w:trHeight w:val="21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55,907</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89,800,000</w:t>
            </w:r>
          </w:p>
        </w:tc>
        <w:tc>
          <w:tcPr>
            <w:tcW w:w="0" w:type="dxa"/>
            <w:vAlign w:val="bottom"/>
          </w:tcPr>
          <w:p>
            <w:pPr>
              <w:spacing w:after="0"/>
              <w:rPr>
                <w:sz w:val="1"/>
                <w:szCs w:val="1"/>
                <w:color w:val="auto"/>
              </w:rPr>
            </w:pPr>
          </w:p>
        </w:tc>
      </w:tr>
      <w:tr>
        <w:trPr>
          <w:trHeight w:val="229"/>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72,100,000</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55,200,000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55,200,000</w:t>
            </w:r>
          </w:p>
        </w:tc>
        <w:tc>
          <w:tcPr>
            <w:tcW w:w="0" w:type="dxa"/>
            <w:vAlign w:val="bottom"/>
          </w:tcPr>
          <w:p>
            <w:pPr>
              <w:spacing w:after="0"/>
              <w:rPr>
                <w:sz w:val="1"/>
                <w:szCs w:val="1"/>
                <w:color w:val="auto"/>
              </w:rPr>
            </w:pPr>
          </w:p>
        </w:tc>
      </w:tr>
      <w:tr>
        <w:trPr>
          <w:trHeight w:val="21"/>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-334010</wp:posOffset>
            </wp:positionV>
            <wp:extent cx="711517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-633730</wp:posOffset>
            </wp:positionV>
            <wp:extent cx="711517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40"/>
          </w:cols>
          <w:pgMar w:left="320" w:top="124" w:right="359" w:bottom="1440" w:gutter="0" w:footer="0" w:header="0"/>
          <w:type w:val="continuous"/>
        </w:sectPr>
      </w:pPr>
    </w:p>
    <w:p>
      <w:pPr>
        <w:spacing w:after="0" w:line="119" w:lineRule="exact"/>
        <w:rPr>
          <w:sz w:val="20"/>
          <w:szCs w:val="20"/>
          <w:color w:val="auto"/>
        </w:rPr>
      </w:pPr>
    </w:p>
    <w:p>
      <w:pPr>
        <w:ind w:left="34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12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20" w:type="dxa"/>
            <w:vAlign w:val="bottom"/>
            <w:gridSpan w:val="18"/>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Our Amended and Restated Articles of Incorporation, effective April 24, 2024 (incorporated by reference to Exhibit 3.1 to the Company's</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10-Q report for the quarter ended June 30, 2024, filed July 25, 2024)</w:t>
              </w:r>
              <w:r>
                <w:rPr>
                  <w:rFonts w:ascii="Times New Roman" w:cs="Times New Roman" w:eastAsia="Times New Roman" w:hAnsi="Times New Roman"/>
                  <w:sz w:val="18"/>
                  <w:szCs w:val="18"/>
                  <w:u w:val="single" w:color="auto"/>
                  <w:color w:val="0000FF"/>
                </w:rPr>
                <w:t>.</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8"/>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Our Amended and Restated Bylaws, effective October 23, 2023 (incorporated by reference to Exhibit 3.2 to the Company's Form 10-Q</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report for the quarter ended September 30, 2023, filed October 26, 2023).</w:t>
              </w:r>
            </w:hyperlink>
          </w:p>
        </w:tc>
        <w:tc>
          <w:tcPr>
            <w:tcW w:w="4420" w:type="dxa"/>
            <w:vAlign w:val="bottom"/>
            <w:tcBorders>
              <w:top w:val="single" w:sz="8" w:color="0000FF"/>
            </w:tcBorders>
            <w:gridSpan w:val="6"/>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Form of stock certificate for common stock (incorporated by reference to Exhibit 4 to the Company's 1998 Form 10-K, filed May 6, 1999).</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Articles 5, 7, 8 and 9 of our Amended and Restated Articles of Incorporation, effective April 24, 2024 (incorporated by reference to Exhibit</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Form 10-Q report for the quarter ended June 30, 2024, filed July 25, 2024)</w:t>
              </w:r>
              <w:r>
                <w:rPr>
                  <w:rFonts w:ascii="Times New Roman" w:cs="Times New Roman" w:eastAsia="Times New Roman" w:hAnsi="Times New Roman"/>
                  <w:sz w:val="18"/>
                  <w:szCs w:val="18"/>
                  <w:u w:val="single" w:color="auto"/>
                  <w:color w:val="0000FF"/>
                </w:rPr>
                <w:t>.</w:t>
              </w:r>
            </w:hyperlink>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Articles I and IV of our Bylaws, as amended through October 23, 2023 (incorporated by reference to Exhibit 3.2 to the Company's Form 10-</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Q report for the quarter ended September 30, 2023, filed October 26, 2023).</w:t>
              </w:r>
            </w:hyperlink>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23"/>
                <w:szCs w:val="23"/>
                <w:color w:val="auto"/>
                <w:vertAlign w:val="superscript"/>
              </w:rPr>
              <w:t>(1)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20" w:type="dxa"/>
            <w:vAlign w:val="bottom"/>
            <w:gridSpan w:val="18"/>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Third Amendment and Incremental Facility Amendment, dated as of July 2, 2024, among the Company, as borrower's representative, each</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of the lenders party thereto and Bank of America, N.A., as the administrative agent (incorporated by reference from our Form 8-k, filed July</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8, 2024)</w:t>
              </w:r>
              <w:r>
                <w:rPr>
                  <w:rFonts w:ascii="Times New Roman" w:cs="Times New Roman" w:eastAsia="Times New Roman" w:hAnsi="Times New Roman"/>
                  <w:sz w:val="18"/>
                  <w:szCs w:val="18"/>
                  <w:color w:val="000000"/>
                </w:rPr>
                <w:t>.</w:t>
              </w:r>
            </w:hyperlink>
          </w:p>
        </w:tc>
        <w:tc>
          <w:tcPr>
            <w:tcW w:w="20" w:type="dxa"/>
            <w:vAlign w:val="bottom"/>
            <w:tcBorders>
              <w:top w:val="single" w:sz="8" w:color="0000FF"/>
            </w:tcBorders>
          </w:tcPr>
          <w:p>
            <w:pPr>
              <w:spacing w:after="0"/>
              <w:rPr>
                <w:sz w:val="17"/>
                <w:szCs w:val="17"/>
                <w:color w:val="auto"/>
              </w:rPr>
            </w:pPr>
          </w:p>
        </w:tc>
        <w:tc>
          <w:tcPr>
            <w:tcW w:w="4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5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Section 302 of the Sarbanes-Oxley Act of 2002.</w:t>
            </w:r>
          </w:p>
        </w:tc>
        <w:tc>
          <w:tcPr>
            <w:tcW w:w="25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580" w:type="dxa"/>
            <w:vAlign w:val="bottom"/>
            <w:gridSpan w:val="5"/>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18 U.S.C. Section 1350, as Adopted Pursuant to Section 906 of the Sarbanes-Oxley</w:t>
            </w:r>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9"/>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355" w:lineRule="exact"/>
        <w:rPr>
          <w:rFonts w:ascii="Times New Roman" w:cs="Times New Roman" w:eastAsia="Times New Roman" w:hAnsi="Times New Roman"/>
          <w:sz w:val="18"/>
          <w:szCs w:val="18"/>
          <w:color w:val="auto"/>
        </w:rPr>
      </w:pPr>
    </w:p>
    <w:p>
      <w:pPr>
        <w:ind w:right="20" w:firstLine="8"/>
        <w:spacing w:after="0" w:line="540"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80"/>
          </w:cols>
          <w:pgMar w:left="320" w:top="124" w:right="6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September 30, 2024,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West Pharmaceutical Services, Inc. (the “Company”) for the period ended September 30, 2024, as filed with the Securities and Exchange Commission on the date hereof (the “Report”), I, Bernard J. Birkett, Senior Vice President, Chief Financial Officer of the Company, certify, pursuant to 18 U.S.C. Section 1350, as adopted pursuant to Section 906 of the Sarbanes-Oxley Act of 2002, that:</w:t>
      </w:r>
    </w:p>
    <w:p>
      <w:pPr>
        <w:spacing w:after="0" w:line="50"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decimal"/>
      <w:start w:val="104"/>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21" Type="http://schemas.openxmlformats.org/officeDocument/2006/relationships/hyperlink" Target="https://www.sec.gov/ix?doc=/Archives/edgar/data/0000105770/000010577024000015/wst-20231231.htm" TargetMode="External"/><Relationship Id="rId68" Type="http://schemas.openxmlformats.org/officeDocument/2006/relationships/hyperlink" Target="https://www.sec.gov/ix?doc=/Archives/edgar/data/105770/000010577024000066/wst-20240630.htm" TargetMode="External"/><Relationship Id="rId69" Type="http://schemas.openxmlformats.org/officeDocument/2006/relationships/hyperlink" Target="https://www.sec.gov/Archives/edgar/data/105770/000010577023000068/amendedrestatedbylawsoct20.htm" TargetMode="External"/><Relationship Id="rId70" Type="http://schemas.openxmlformats.org/officeDocument/2006/relationships/hyperlink" Target="https://www.sec.gov/Archives/edgar/data/105770/0000105770-99-000016-index.html" TargetMode="External"/><Relationship Id="rId71" Type="http://schemas.openxmlformats.org/officeDocument/2006/relationships/hyperlink" Target="https://www.sec.gov/ix?doc=/Archives/edgar/data/105770/000010577024000055/wst-202407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2024-10-24T15:43:55Z</dcterms:created>
  <dcterms:modified xsi:type="dcterms:W3CDTF">2024-10-24T15:43:55Z</dcterms:modified>
</cp:coreProperties>
</file>