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 May 4, 2026 </w:t>
      </w:r>
    </w:p>
    <w:p>
      <w:pPr>
        <w:pStyle w:val="TextBody"/>
        <w:bidi w:val="0"/>
        <w:spacing w:before="0" w:after="0"/>
        <w:jc w:val="center"/>
        <w:rPr/>
      </w:pPr>
      <w:r>
        <w:rPr/>
        <w:drawing>
          <wp:inline distT="0" distB="0" distL="0" distR="0">
            <wp:extent cx="207645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6450" cy="838200"/>
                    </a:xfrm>
                    <a:prstGeom prst="rect">
                      <a:avLst/>
                    </a:prstGeom>
                  </pic:spPr>
                </pic:pic>
              </a:graphicData>
            </a:graphic>
          </wp:inline>
        </w:drawing>
      </w:r>
      <w:bookmarkStart w:id="0" w:name="i-1"/>
      <w:bookmarkEnd w:id="0"/>
    </w:p>
    <w:tbl>
      <w:tblPr>
        <w:tblW w:w="3945" w:type="dxa"/>
        <w:jc w:val="center"/>
        <w:tblInd w:w="0" w:type="dxa"/>
        <w:tblLayout w:type="fixed"/>
        <w:tblCellMar>
          <w:top w:w="28" w:type="dxa"/>
          <w:left w:w="28" w:type="dxa"/>
          <w:bottom w:w="28" w:type="dxa"/>
          <w:right w:w="28" w:type="dxa"/>
        </w:tblCellMar>
      </w:tblPr>
      <w:tblGrid>
        <w:gridCol w:w="1264"/>
        <w:gridCol w:w="1110"/>
        <w:gridCol w:w="1571"/>
      </w:tblGrid>
      <w:tr>
        <w:trPr/>
        <w:tc>
          <w:tcPr>
            <w:tcW w:w="126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WEST PHARMACEUTICAL SERVICES, INC.</w:t>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897" w:type="dxa"/>
        <w:jc w:val="center"/>
        <w:tblInd w:w="0" w:type="dxa"/>
        <w:tblLayout w:type="fixed"/>
        <w:tblCellMar>
          <w:top w:w="28" w:type="dxa"/>
          <w:left w:w="28" w:type="dxa"/>
          <w:bottom w:w="28" w:type="dxa"/>
          <w:right w:w="28" w:type="dxa"/>
        </w:tblCellMar>
      </w:tblPr>
      <w:tblGrid>
        <w:gridCol w:w="1193"/>
        <w:gridCol w:w="1047"/>
        <w:gridCol w:w="1060"/>
        <w:gridCol w:w="109"/>
        <w:gridCol w:w="109"/>
        <w:gridCol w:w="109"/>
        <w:gridCol w:w="762"/>
        <w:gridCol w:w="762"/>
        <w:gridCol w:w="770"/>
        <w:gridCol w:w="109"/>
        <w:gridCol w:w="109"/>
        <w:gridCol w:w="10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1-8036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23-1210010</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530 Herman O. West Drive, Exton,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19341-1147</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20"/>
        <w:jc w:val="center"/>
        <w:rPr/>
      </w:pPr>
      <w:r>
        <w:rPr>
          <w:color w:val="000000"/>
        </w:rPr>
        <w:t> </w:t>
      </w: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610-594-2900 </w:t>
      </w:r>
    </w:p>
    <w:tbl>
      <w:tblPr>
        <w:tblW w:w="4500" w:type="dxa"/>
        <w:jc w:val="center"/>
        <w:tblInd w:w="0" w:type="dxa"/>
        <w:tblLayout w:type="fixed"/>
        <w:tblCellMar>
          <w:top w:w="28" w:type="dxa"/>
          <w:left w:w="28" w:type="dxa"/>
          <w:bottom w:w="28" w:type="dxa"/>
          <w:right w:w="28" w:type="dxa"/>
        </w:tblCellMar>
      </w:tblPr>
      <w:tblGrid>
        <w:gridCol w:w="1439"/>
        <w:gridCol w:w="1267"/>
        <w:gridCol w:w="1794"/>
      </w:tblGrid>
      <w:tr>
        <w:trPr/>
        <w:tc>
          <w:tcPr>
            <w:tcW w:w="143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(Former name or address, if changed since last report.)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8" w:type="dxa"/>
        <w:jc w:val="left"/>
        <w:tblInd w:w="0" w:type="dxa"/>
        <w:tblLayout w:type="fixed"/>
        <w:tblCellMar>
          <w:top w:w="28" w:type="dxa"/>
          <w:left w:w="28" w:type="dxa"/>
          <w:bottom w:w="28" w:type="dxa"/>
          <w:right w:w="28" w:type="dxa"/>
        </w:tblCellMar>
      </w:tblPr>
      <w:tblGrid>
        <w:gridCol w:w="1263"/>
        <w:gridCol w:w="1109"/>
        <w:gridCol w:w="1122"/>
        <w:gridCol w:w="499"/>
        <w:gridCol w:w="499"/>
        <w:gridCol w:w="501"/>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$0.25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WST</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West Pharmaceutical Services, Inc. (the “Company”) held its 2026 Annual Meeting of Shareholders virtually on May 4, 2026. The four proposals that were voted on at the Annual Meeting are described in detail in the Company’s 2026 Proxy Statement. As of the record date, February 27, 2026, there were 72,081,610 shares of the Company’s common stock outstanding. A total of 66,193,322 shares, representing 91.83% of the Company’s common stock outstanding, were represented at the Annual Meeting. The final voting results for each proposal presented at the Annual Meeting are set forth below.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Proposal 1:</w:t>
      </w:r>
      <w:r>
        <w:rPr>
          <w:color w:val="000000"/>
        </w:rPr>
        <w:t xml:space="preserve"> </w:t>
      </w:r>
      <w:r>
        <w:rPr>
          <w:rFonts w:ascii="Times New Roman;serif" w:hAnsi="Times New Roman;serif"/>
          <w:b w:val="false"/>
          <w:color w:val="000000"/>
          <w:sz w:val="20"/>
        </w:rPr>
        <w:t>The eleven nominees, as set forth below and in the Company’s 2026 Proxy Statement, were elected as directors, each to serve until the 2027 Annual Meeting of Shareholders.</w:t>
      </w:r>
    </w:p>
    <w:p>
      <w:pPr>
        <w:pStyle w:val="TextBody"/>
        <w:bidi w:val="0"/>
        <w:spacing w:before="0" w:after="0"/>
        <w:jc w:val="left"/>
        <w:rPr/>
      </w:pPr>
      <w:r>
        <w:rPr/>
      </w:r>
    </w:p>
    <w:tbl>
      <w:tblPr>
        <w:tblW w:w="6303" w:type="dxa"/>
        <w:jc w:val="left"/>
        <w:tblInd w:w="0" w:type="dxa"/>
        <w:tblLayout w:type="fixed"/>
        <w:tblCellMar>
          <w:top w:w="28" w:type="dxa"/>
          <w:left w:w="28" w:type="dxa"/>
          <w:bottom w:w="28" w:type="dxa"/>
          <w:right w:w="28" w:type="dxa"/>
        </w:tblCellMar>
      </w:tblPr>
      <w:tblGrid>
        <w:gridCol w:w="678"/>
        <w:gridCol w:w="597"/>
        <w:gridCol w:w="600"/>
        <w:gridCol w:w="344"/>
        <w:gridCol w:w="344"/>
        <w:gridCol w:w="348"/>
        <w:gridCol w:w="309"/>
        <w:gridCol w:w="309"/>
        <w:gridCol w:w="313"/>
        <w:gridCol w:w="259"/>
        <w:gridCol w:w="259"/>
        <w:gridCol w:w="263"/>
        <w:gridCol w:w="492"/>
        <w:gridCol w:w="492"/>
        <w:gridCol w:w="696"/>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A. Buthman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62,394,975</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1,521,106</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34,356</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2,242,885</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F. Feehery</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61,427,391</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2,489,202</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33,844</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2,242,885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Friel</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62,396,755</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1,521,677</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32,005</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2,242,885</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M. Green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58,892,532</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4,573,928</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483,977</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2,242,885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Janet B. Haugen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61,934,409</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1,987,189</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28,839</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2,242,885</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Molly E. Joseph</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61,545,956</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2,341,355</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63,126</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2,242,885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Deborah L. V. Keller</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57,992,162</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5,599,392</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358,883</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2,242,885</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 P. Lai-Goldman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61,523,642</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2,395,041</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31,754</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2,242,885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H. Lockhart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63,432,380</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470,840</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47,217</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2,242,885</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A. Michels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60,240,141</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3,670,807</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39,489</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2,242,885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Paolo Pucci</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62,930,048</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981,152</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39,237</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2,242,885</w:t>
            </w:r>
          </w:p>
        </w:tc>
      </w:tr>
    </w:tbl>
    <w:p>
      <w:pPr>
        <w:pStyle w:val="TextBody"/>
        <w:bidi w:val="0"/>
        <w:spacing w:lineRule="auto" w:line="268" w:before="0" w:after="0"/>
        <w:jc w:val="left"/>
        <w:rPr/>
      </w:pPr>
      <w:r>
        <w:rPr>
          <w:rFonts w:ascii="Times New Roman;serif" w:hAnsi="Times New Roman;serif"/>
          <w:b/>
          <w:color w:val="000000"/>
          <w:sz w:val="20"/>
        </w:rPr>
        <w:t xml:space="preserve">Proposal 2: </w:t>
      </w:r>
      <w:r>
        <w:rPr>
          <w:rFonts w:ascii="Times New Roman;serif" w:hAnsi="Times New Roman;serif"/>
          <w:b w:val="false"/>
          <w:color w:val="000000"/>
          <w:sz w:val="20"/>
        </w:rPr>
        <w:t>The non-binding advisory vote to approve the compensation of the Company’s named executive officers was approved as set forth below.</w:t>
      </w:r>
    </w:p>
    <w:p>
      <w:pPr>
        <w:pStyle w:val="TextBody"/>
        <w:bidi w:val="0"/>
        <w:spacing w:before="0" w:after="0"/>
        <w:jc w:val="left"/>
        <w:rPr/>
      </w:pPr>
      <w:r>
        <w:rPr/>
      </w:r>
    </w:p>
    <w:tbl>
      <w:tblPr>
        <w:tblW w:w="4413" w:type="dxa"/>
        <w:jc w:val="left"/>
        <w:tblInd w:w="0" w:type="dxa"/>
        <w:tblLayout w:type="fixed"/>
        <w:tblCellMar>
          <w:top w:w="28" w:type="dxa"/>
          <w:left w:w="28" w:type="dxa"/>
          <w:bottom w:w="28" w:type="dxa"/>
          <w:right w:w="28" w:type="dxa"/>
        </w:tblCellMar>
      </w:tblPr>
      <w:tblGrid>
        <w:gridCol w:w="380"/>
        <w:gridCol w:w="332"/>
        <w:gridCol w:w="339"/>
        <w:gridCol w:w="309"/>
        <w:gridCol w:w="309"/>
        <w:gridCol w:w="313"/>
        <w:gridCol w:w="250"/>
        <w:gridCol w:w="250"/>
        <w:gridCol w:w="251"/>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60,107,802</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3,762,206</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80,429</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2,242,885</w:t>
            </w:r>
          </w:p>
        </w:tc>
      </w:tr>
    </w:tbl>
    <w:p>
      <w:pPr>
        <w:pStyle w:val="TextBody"/>
        <w:bidi w:val="0"/>
        <w:spacing w:lineRule="auto" w:line="268" w:before="0" w:after="0"/>
        <w:jc w:val="left"/>
        <w:rPr/>
      </w:pPr>
      <w:r>
        <w:rPr>
          <w:rFonts w:ascii="Times New Roman;serif" w:hAnsi="Times New Roman;serif"/>
          <w:b/>
          <w:color w:val="000000"/>
          <w:sz w:val="20"/>
        </w:rPr>
        <w:t>Proposal 3:</w:t>
      </w:r>
      <w:r>
        <w:rPr>
          <w:color w:val="000000"/>
        </w:rPr>
        <w:t xml:space="preserve"> </w:t>
      </w:r>
      <w:r>
        <w:rPr>
          <w:rFonts w:ascii="Times New Roman;serif" w:hAnsi="Times New Roman;serif"/>
          <w:b w:val="false"/>
          <w:color w:val="000000"/>
          <w:sz w:val="20"/>
        </w:rPr>
        <w:t>The appointment of PricewaterhouseCoopers LLP as the Company’s independent registered public accounting firm for the 2026 fiscal year was ratified as set forth below.</w:t>
      </w:r>
    </w:p>
    <w:p>
      <w:pPr>
        <w:pStyle w:val="TextBody"/>
        <w:bidi w:val="0"/>
        <w:spacing w:before="0" w:after="0"/>
        <w:jc w:val="left"/>
        <w:rPr/>
      </w:pPr>
      <w:r>
        <w:rPr/>
      </w:r>
    </w:p>
    <w:tbl>
      <w:tblPr>
        <w:tblW w:w="2808" w:type="dxa"/>
        <w:jc w:val="left"/>
        <w:tblInd w:w="0" w:type="dxa"/>
        <w:tblLayout w:type="fixed"/>
        <w:tblCellMar>
          <w:top w:w="28" w:type="dxa"/>
          <w:left w:w="28" w:type="dxa"/>
          <w:bottom w:w="28" w:type="dxa"/>
          <w:right w:w="28" w:type="dxa"/>
        </w:tblCellMar>
      </w:tblPr>
      <w:tblGrid>
        <w:gridCol w:w="380"/>
        <w:gridCol w:w="332"/>
        <w:gridCol w:w="339"/>
        <w:gridCol w:w="309"/>
        <w:gridCol w:w="309"/>
        <w:gridCol w:w="313"/>
        <w:gridCol w:w="241"/>
        <w:gridCol w:w="241"/>
        <w:gridCol w:w="344"/>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58,509,119</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7,556,514</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127,689</w:t>
            </w:r>
          </w:p>
        </w:tc>
      </w:tr>
    </w:tbl>
    <w:p>
      <w:pPr>
        <w:pStyle w:val="TextBody"/>
        <w:bidi w:val="0"/>
        <w:spacing w:lineRule="auto" w:line="268" w:before="0" w:after="0"/>
        <w:jc w:val="left"/>
        <w:rPr/>
      </w:pPr>
      <w:r>
        <w:rPr>
          <w:rFonts w:ascii="Times New Roman;serif" w:hAnsi="Times New Roman;serif"/>
          <w:b/>
          <w:color w:val="000000"/>
          <w:sz w:val="20"/>
        </w:rPr>
        <w:t xml:space="preserve">Proposal 4: </w:t>
      </w:r>
      <w:r>
        <w:rPr>
          <w:rFonts w:ascii="Times New Roman;serif" w:hAnsi="Times New Roman;serif"/>
          <w:b w:val="false"/>
          <w:color w:val="000000"/>
          <w:sz w:val="20"/>
        </w:rPr>
        <w:t>The shareholder proposal regarding an Independent Board Chair Policy was not approved as set forth below.</w:t>
      </w:r>
    </w:p>
    <w:p>
      <w:pPr>
        <w:pStyle w:val="TextBody"/>
        <w:bidi w:val="0"/>
        <w:spacing w:before="0" w:after="0"/>
        <w:jc w:val="left"/>
        <w:rPr/>
      </w:pPr>
      <w:r>
        <w:rPr/>
      </w:r>
    </w:p>
    <w:tbl>
      <w:tblPr>
        <w:tblW w:w="4548" w:type="dxa"/>
        <w:jc w:val="left"/>
        <w:tblInd w:w="0" w:type="dxa"/>
        <w:tblLayout w:type="fixed"/>
        <w:tblCellMar>
          <w:top w:w="28" w:type="dxa"/>
          <w:left w:w="28" w:type="dxa"/>
          <w:bottom w:w="28" w:type="dxa"/>
          <w:right w:w="28" w:type="dxa"/>
        </w:tblCellMar>
      </w:tblPr>
      <w:tblGrid>
        <w:gridCol w:w="380"/>
        <w:gridCol w:w="332"/>
        <w:gridCol w:w="339"/>
        <w:gridCol w:w="344"/>
        <w:gridCol w:w="344"/>
        <w:gridCol w:w="348"/>
        <w:gridCol w:w="259"/>
        <w:gridCol w:w="259"/>
        <w:gridCol w:w="263"/>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29,592,488</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34,245,125</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112,824</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2,242,885</w:t>
            </w:r>
          </w:p>
        </w:tc>
      </w:tr>
    </w:tbl>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43"/>
        <w:gridCol w:w="343"/>
        <w:gridCol w:w="345"/>
        <w:gridCol w:w="2585"/>
        <w:gridCol w:w="2585"/>
        <w:gridCol w:w="36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36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883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883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883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832"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Current Report on Form 8-K, dated May 4, 2026,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6958" w:type="dxa"/>
        <w:jc w:val="left"/>
        <w:tblInd w:w="0" w:type="dxa"/>
        <w:tblLayout w:type="fixed"/>
        <w:tblCellMar>
          <w:top w:w="28" w:type="dxa"/>
          <w:left w:w="28" w:type="dxa"/>
          <w:bottom w:w="28" w:type="dxa"/>
          <w:right w:w="28" w:type="dxa"/>
        </w:tblCellMar>
      </w:tblPr>
      <w:tblGrid>
        <w:gridCol w:w="591"/>
        <w:gridCol w:w="520"/>
        <w:gridCol w:w="523"/>
        <w:gridCol w:w="1559"/>
        <w:gridCol w:w="1559"/>
        <w:gridCol w:w="220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Date: May 5, 2026</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Norman D. Finch Jr.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Norman D. Finch Jr.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78"/>
        <w:gridCol w:w="332"/>
        <w:gridCol w:w="335"/>
        <w:gridCol w:w="109"/>
        <w:gridCol w:w="109"/>
        <w:gridCol w:w="109"/>
        <w:gridCol w:w="2586"/>
        <w:gridCol w:w="2586"/>
        <w:gridCol w:w="3661"/>
      </w:tblGrid>
      <w:tr>
        <w:trPr/>
        <w:tc>
          <w:tcPr>
            <w:tcW w:w="3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3" w:type="dxa"/>
            <w:gridSpan w:val="3"/>
            <w:tcBorders/>
            <w:vAlign w:val="center"/>
          </w:tcPr>
          <w:p>
            <w:pPr>
              <w:pStyle w:val="TableContents"/>
              <w:bidi w:val="0"/>
              <w:spacing w:before="0" w:after="283"/>
              <w:jc w:val="left"/>
              <w:rPr>
                <w:sz w:val="4"/>
                <w:szCs w:val="4"/>
              </w:rPr>
            </w:pPr>
            <w:r>
              <w:rPr>
                <w:sz w:val="4"/>
                <w:szCs w:val="4"/>
              </w:rPr>
            </w:r>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3" w:type="dxa"/>
            <w:gridSpan w:val="3"/>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Current Report on Form 8-K, dated May 4, 2026, formatted in Inline XBRL.</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4104</Characters>
  <CharactersWithSpaces>4686</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