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7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480" w:hanging="330"/>
        <w:spacing w:after="0" w:line="232" w:lineRule="auto"/>
        <w:tabs>
          <w:tab w:leader="none" w:pos="480" w:val="left"/>
        </w:tabs>
        <w:numPr>
          <w:ilvl w:val="0"/>
          <w:numId w:val="2"/>
        </w:numPr>
        <w:rPr>
          <w:rFonts w:ascii="MS PGothic" w:cs="MS PGothic" w:eastAsia="MS PGothic" w:hAnsi="MS PGothic"/>
          <w:sz w:val="4"/>
          <w:szCs w:val="4"/>
          <w:color w:val="auto"/>
        </w:rPr>
      </w:pPr>
      <w:r>
        <w:rPr>
          <w:rFonts w:ascii="Arial" w:cs="Arial" w:eastAsia="Arial" w:hAnsi="Arial"/>
          <w:sz w:val="4"/>
          <w:szCs w:val="4"/>
          <w:b w:val="1"/>
          <w:bCs w:val="1"/>
          <w:color w:val="auto"/>
        </w:rPr>
        <w:t>TRANSITION REPORT PURSUANT TO SECTION 13 OR 15(d) OF THE SECURITIES EXCHANGE ACT OF 1934</w:t>
      </w:r>
    </w:p>
    <w:p>
      <w:pPr>
        <w:spacing w:after="0" w:line="284"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9"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23-1210010</w:t>
            </w:r>
          </w:p>
        </w:tc>
      </w:tr>
      <w:tr>
        <w:trPr>
          <w:trHeight w:val="230"/>
        </w:trPr>
        <w:tc>
          <w:tcPr>
            <w:tcW w:w="53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391"/>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19341-0645</w:t>
            </w:r>
          </w:p>
        </w:tc>
      </w:tr>
      <w:tr>
        <w:trPr>
          <w:trHeight w:val="230"/>
        </w:trPr>
        <w:tc>
          <w:tcPr>
            <w:tcW w:w="5320" w:type="dxa"/>
            <w:vAlign w:val="bottom"/>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890"/>
              <w:spacing w:after="0"/>
              <w:rPr>
                <w:sz w:val="20"/>
                <w:szCs w:val="20"/>
                <w:color w:val="auto"/>
              </w:rPr>
            </w:pPr>
            <w:r>
              <w:rPr>
                <w:rFonts w:ascii="Arial" w:cs="Arial" w:eastAsia="Arial" w:hAnsi="Arial"/>
                <w:sz w:val="18"/>
                <w:szCs w:val="18"/>
                <w:color w:val="auto"/>
                <w:w w:val="94"/>
              </w:rPr>
              <w:t>(Zip Code)</w:t>
            </w:r>
          </w:p>
        </w:tc>
      </w:tr>
    </w:tbl>
    <w:p>
      <w:pPr>
        <w:spacing w:after="0" w:line="306"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287" w:right="459" w:bottom="1440" w:gutter="0" w:footer="0" w:header="0"/>
        </w:sectPr>
      </w:pPr>
    </w:p>
    <w:p>
      <w:pPr>
        <w:spacing w:after="0" w:line="46"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4260" w:space="720"/>
            <w:col w:w="1520" w:space="720"/>
            <w:col w:w="3900"/>
          </w:cols>
          <w:pgMar w:left="320" w:top="1287" w:right="459" w:bottom="1440" w:gutter="0" w:footer="0" w:header="0"/>
          <w:type w:val="continuous"/>
        </w:sectPr>
      </w:pPr>
    </w:p>
    <w:p>
      <w:pPr>
        <w:spacing w:after="0" w:line="11" w:lineRule="exact"/>
        <w:rPr>
          <w:sz w:val="24"/>
          <w:szCs w:val="24"/>
          <w:color w:val="auto"/>
        </w:r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9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80" w:type="dxa"/>
        <w:tblCellMar>
          <w:top w:w="0" w:type="dxa"/>
          <w:left w:w="0" w:type="dxa"/>
          <w:bottom w:w="0" w:type="dxa"/>
          <w:right w:w="0" w:type="dxa"/>
        </w:tblCellMar>
      </w:tblP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948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April 12, 2023, there were 74,242,584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7"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gridSpan w:val="12"/>
          </w:tcPr>
          <w:p>
            <w:pPr>
              <w:ind w:left="8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4"/>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6880" w:type="dxa"/>
            <w:vAlign w:val="bottom"/>
            <w:gridSpan w:val="18"/>
            <w:vMerge w:val="restart"/>
          </w:tcPr>
          <w:p>
            <w:pPr>
              <w:spacing w:after="0"/>
              <w:rPr>
                <w:sz w:val="18"/>
                <w:szCs w:val="18"/>
                <w:color w:val="auto"/>
              </w:rPr>
            </w:pPr>
          </w:p>
        </w:tc>
        <w:tc>
          <w:tcPr>
            <w:tcW w:w="720" w:type="dxa"/>
            <w:vAlign w:val="bottom"/>
            <w:gridSpan w:val="4"/>
          </w:tcPr>
          <w:p>
            <w:pPr>
              <w:ind w:left="3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0000FF"/>
            </w:tcBorders>
            <w:gridSpan w:val="4"/>
            <w:vMerge w:val="continue"/>
          </w:tcPr>
          <w:p>
            <w:pPr>
              <w:spacing w:after="0"/>
              <w:rPr>
                <w:sz w:val="18"/>
                <w:szCs w:val="18"/>
                <w:color w:val="auto"/>
              </w:rPr>
            </w:pPr>
          </w:p>
        </w:tc>
        <w:tc>
          <w:tcPr>
            <w:tcW w:w="6880" w:type="dxa"/>
            <w:vAlign w:val="bottom"/>
            <w:gridSpan w:val="18"/>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5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FINANCIAL STATEMENTS (UNAUDITED)</w:t>
            </w:r>
          </w:p>
        </w:tc>
        <w:tc>
          <w:tcPr>
            <w:tcW w:w="3860" w:type="dxa"/>
            <w:vAlign w:val="bottom"/>
            <w:gridSpan w:val="9"/>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380" w:type="dxa"/>
            <w:vAlign w:val="bottom"/>
            <w:gridSpan w:val="20"/>
          </w:tcPr>
          <w:p>
            <w:pPr>
              <w:spacing w:after="0"/>
              <w:rPr>
                <w:sz w:val="20"/>
                <w:szCs w:val="20"/>
                <w:color w:val="auto"/>
              </w:rPr>
            </w:pPr>
            <w:r>
              <w:rPr>
                <w:rFonts w:ascii="Arial" w:cs="Arial" w:eastAsia="Arial" w:hAnsi="Arial"/>
                <w:sz w:val="18"/>
                <w:szCs w:val="18"/>
                <w:b w:val="1"/>
                <w:bCs w:val="1"/>
                <w:color w:val="0000FF"/>
                <w:w w:val="93"/>
              </w:rPr>
              <w:t>Condensed Consolidated Statements of Income for the Three Months ended March 31, 2023</w:t>
            </w:r>
          </w:p>
        </w:tc>
        <w:tc>
          <w:tcPr>
            <w:tcW w:w="580" w:type="dxa"/>
            <w:vAlign w:val="bottom"/>
            <w:gridSpan w:val="3"/>
            <w:vMerge w:val="restart"/>
          </w:tcPr>
          <w:p>
            <w:pPr>
              <w:jc w:val="center"/>
              <w:ind w:left="390"/>
              <w:spacing w:after="0"/>
              <w:rPr>
                <w:sz w:val="20"/>
                <w:szCs w:val="20"/>
                <w:color w:val="auto"/>
              </w:rPr>
            </w:pPr>
            <w:r>
              <w:rPr>
                <w:rFonts w:ascii="Arial" w:cs="Arial" w:eastAsia="Arial" w:hAnsi="Arial"/>
                <w:sz w:val="18"/>
                <w:szCs w:val="18"/>
                <w:b w:val="1"/>
                <w:bCs w:val="1"/>
                <w:color w:val="0000FF"/>
                <w:w w:val="99"/>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04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b w:val="1"/>
                <w:bCs w:val="1"/>
                <w:color w:val="0000FF"/>
              </w:rPr>
              <w:t>and 2022</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380" w:type="dxa"/>
            <w:vAlign w:val="bottom"/>
            <w:gridSpan w:val="20"/>
          </w:tcPr>
          <w:p>
            <w:pPr>
              <w:spacing w:after="0" w:line="203" w:lineRule="exact"/>
              <w:rPr>
                <w:sz w:val="20"/>
                <w:szCs w:val="20"/>
                <w:color w:val="auto"/>
              </w:rPr>
            </w:pPr>
            <w:r>
              <w:rPr>
                <w:rFonts w:ascii="Arial" w:cs="Arial" w:eastAsia="Arial" w:hAnsi="Arial"/>
                <w:sz w:val="18"/>
                <w:szCs w:val="18"/>
                <w:b w:val="1"/>
                <w:bCs w:val="1"/>
                <w:color w:val="0000FF"/>
                <w:w w:val="93"/>
              </w:rPr>
              <w:t>Condensed Consolidated Statements of Comprehensive Income for the Three Months ended</w:t>
            </w:r>
          </w:p>
        </w:tc>
        <w:tc>
          <w:tcPr>
            <w:tcW w:w="480" w:type="dxa"/>
            <w:vAlign w:val="bottom"/>
            <w:gridSpan w:val="2"/>
            <w:vMerge w:val="restart"/>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b w:val="1"/>
                <w:bCs w:val="1"/>
                <w:color w:val="0000FF"/>
                <w:w w:val="99"/>
              </w:rPr>
              <w:t>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b w:val="1"/>
                <w:bCs w:val="1"/>
                <w:color w:val="0000FF"/>
              </w:rPr>
              <w:t>March 31, 2023 and 2022</w:t>
            </w:r>
          </w:p>
        </w:tc>
        <w:tc>
          <w:tcPr>
            <w:tcW w:w="60" w:type="dxa"/>
            <w:vAlign w:val="bottom"/>
            <w:tcBorders>
              <w:top w:val="single" w:sz="8" w:color="0000FF"/>
              <w:bottom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gridSpan w:val="2"/>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gridSpan w:val="2"/>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b w:val="1"/>
                <w:bCs w:val="1"/>
                <w:color w:val="0000FF"/>
                <w:w w:val="88"/>
              </w:rPr>
              <w:t>Condensed Consolidated Balance Sheets at March 31, 2023 and December 31, 2022</w:t>
            </w:r>
          </w:p>
        </w:tc>
        <w:tc>
          <w:tcPr>
            <w:tcW w:w="1020" w:type="dxa"/>
            <w:vAlign w:val="bottom"/>
            <w:gridSpan w:val="7"/>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b w:val="1"/>
                <w:bCs w:val="1"/>
                <w:color w:val="0000FF"/>
                <w:w w:val="99"/>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380" w:type="dxa"/>
            <w:vAlign w:val="bottom"/>
            <w:gridSpan w:val="20"/>
          </w:tcPr>
          <w:p>
            <w:pPr>
              <w:spacing w:after="0"/>
              <w:rPr>
                <w:sz w:val="20"/>
                <w:szCs w:val="20"/>
                <w:color w:val="auto"/>
              </w:rPr>
            </w:pPr>
            <w:r>
              <w:rPr>
                <w:rFonts w:ascii="Arial" w:cs="Arial" w:eastAsia="Arial" w:hAnsi="Arial"/>
                <w:sz w:val="18"/>
                <w:szCs w:val="18"/>
                <w:b w:val="1"/>
                <w:bCs w:val="1"/>
                <w:color w:val="0000FF"/>
                <w:w w:val="94"/>
              </w:rPr>
              <w:t>Condensed Consolidated Statements of Cash Flows for the Three Months ended March 31,</w:t>
            </w:r>
          </w:p>
        </w:tc>
        <w:tc>
          <w:tcPr>
            <w:tcW w:w="48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b w:val="1"/>
                <w:bCs w:val="1"/>
                <w:color w:val="0000FF"/>
                <w:w w:val="99"/>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b w:val="1"/>
                <w:bCs w:val="1"/>
                <w:color w:val="0000FF"/>
              </w:rPr>
              <w:t>2023 and 2022</w:t>
            </w:r>
          </w:p>
        </w:tc>
        <w:tc>
          <w:tcPr>
            <w:tcW w:w="5620" w:type="dxa"/>
            <w:vAlign w:val="bottom"/>
            <w:tcBorders>
              <w:top w:val="single" w:sz="8" w:color="0000FF"/>
            </w:tcBorders>
            <w:gridSpan w:val="11"/>
          </w:tcPr>
          <w:p>
            <w:pPr>
              <w:spacing w:after="0"/>
              <w:rPr>
                <w:sz w:val="14"/>
                <w:szCs w:val="14"/>
                <w:color w:val="auto"/>
              </w:rPr>
            </w:pPr>
          </w:p>
        </w:tc>
        <w:tc>
          <w:tcPr>
            <w:tcW w:w="440" w:type="dxa"/>
            <w:vAlign w:val="bottom"/>
            <w:gridSpan w:val="3"/>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380" w:type="dxa"/>
            <w:vAlign w:val="bottom"/>
            <w:gridSpan w:val="20"/>
          </w:tcPr>
          <w:p>
            <w:pPr>
              <w:spacing w:after="0"/>
              <w:rPr>
                <w:sz w:val="20"/>
                <w:szCs w:val="20"/>
                <w:color w:val="auto"/>
              </w:rPr>
            </w:pPr>
            <w:r>
              <w:rPr>
                <w:rFonts w:ascii="Arial" w:cs="Arial" w:eastAsia="Arial" w:hAnsi="Arial"/>
                <w:sz w:val="18"/>
                <w:szCs w:val="18"/>
                <w:b w:val="1"/>
                <w:bCs w:val="1"/>
                <w:color w:val="0000FF"/>
              </w:rPr>
              <w:t>Notes to Condensed Consolidated Financial Statements</w:t>
            </w:r>
          </w:p>
        </w:tc>
        <w:tc>
          <w:tcPr>
            <w:tcW w:w="58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0000FF"/>
                <w:w w:val="99"/>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380" w:type="dxa"/>
            <w:vAlign w:val="bottom"/>
            <w:gridSpan w:val="20"/>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w:t>
            </w:r>
          </w:p>
        </w:tc>
        <w:tc>
          <w:tcPr>
            <w:tcW w:w="48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Arial" w:cs="Arial" w:eastAsia="Arial" w:hAnsi="Arial"/>
                <w:sz w:val="17"/>
                <w:szCs w:val="17"/>
                <w:b w:val="1"/>
                <w:bCs w:val="1"/>
                <w:color w:val="0000FF"/>
                <w:w w:val="73"/>
              </w:rPr>
              <w:t>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b w:val="1"/>
                <w:bCs w:val="1"/>
                <w:color w:val="0000FF"/>
              </w:rPr>
              <w:t>RESULTS OF OPERATIONS</w:t>
            </w:r>
          </w:p>
        </w:tc>
        <w:tc>
          <w:tcPr>
            <w:tcW w:w="4200" w:type="dxa"/>
            <w:vAlign w:val="bottom"/>
            <w:tcBorders>
              <w:top w:val="single" w:sz="8" w:color="0000FF"/>
            </w:tcBorders>
            <w:gridSpan w:val="6"/>
          </w:tcPr>
          <w:p>
            <w:pPr>
              <w:spacing w:after="0"/>
              <w:rPr>
                <w:sz w:val="14"/>
                <w:szCs w:val="14"/>
                <w:color w:val="auto"/>
              </w:rPr>
            </w:pPr>
          </w:p>
        </w:tc>
        <w:tc>
          <w:tcPr>
            <w:tcW w:w="460" w:type="dxa"/>
            <w:vAlign w:val="bottom"/>
            <w:gridSpan w:val="4"/>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7380" w:type="dxa"/>
            <w:vAlign w:val="bottom"/>
            <w:gridSpan w:val="20"/>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5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0000FF"/>
                <w:w w:val="89"/>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6440" w:type="dxa"/>
            <w:vAlign w:val="bottom"/>
            <w:tcBorders>
              <w:top w:val="single" w:sz="8" w:color="0000FF"/>
            </w:tcBorders>
            <w:gridSpan w:val="15"/>
          </w:tcPr>
          <w:p>
            <w:pPr>
              <w:spacing w:after="0"/>
              <w:rPr>
                <w:sz w:val="20"/>
                <w:szCs w:val="20"/>
                <w:color w:val="auto"/>
              </w:rPr>
            </w:pPr>
            <w:r>
              <w:rPr>
                <w:rFonts w:ascii="Arial" w:cs="Arial" w:eastAsia="Arial" w:hAnsi="Arial"/>
                <w:sz w:val="18"/>
                <w:szCs w:val="18"/>
                <w:b w:val="1"/>
                <w:bCs w:val="1"/>
                <w:color w:val="0000FF"/>
              </w:rPr>
              <w:t>CONTROLS AND PROCEDURES</w:t>
            </w:r>
          </w:p>
        </w:tc>
        <w:tc>
          <w:tcPr>
            <w:tcW w:w="940" w:type="dxa"/>
            <w:vAlign w:val="bottom"/>
            <w:gridSpan w:val="5"/>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b w:val="1"/>
                <w:bCs w:val="1"/>
                <w:color w:val="0000FF"/>
                <w:w w:val="73"/>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PART II. OTHER INFORMATION</w:t>
            </w:r>
          </w:p>
        </w:tc>
        <w:tc>
          <w:tcPr>
            <w:tcW w:w="7180" w:type="dxa"/>
            <w:vAlign w:val="bottom"/>
            <w:gridSpan w:val="19"/>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gridSpan w:val="20"/>
          </w:tcPr>
          <w:p>
            <w:pPr>
              <w:spacing w:after="0"/>
              <w:rPr>
                <w:sz w:val="20"/>
                <w:szCs w:val="20"/>
                <w:color w:val="auto"/>
              </w:rPr>
            </w:pPr>
            <w:r>
              <w:rPr>
                <w:rFonts w:ascii="Arial" w:cs="Arial" w:eastAsia="Arial" w:hAnsi="Arial"/>
                <w:sz w:val="18"/>
                <w:szCs w:val="18"/>
                <w:b w:val="1"/>
                <w:bCs w:val="1"/>
                <w:color w:val="0000FF"/>
              </w:rPr>
              <w:t>LEGAL PROCEEDINGS</w:t>
            </w:r>
          </w:p>
        </w:tc>
        <w:tc>
          <w:tcPr>
            <w:tcW w:w="5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0000FF"/>
                <w:w w:val="89"/>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6"/>
              </w:rPr>
              <w:t>RISK FACTORS</w:t>
            </w:r>
          </w:p>
        </w:tc>
        <w:tc>
          <w:tcPr>
            <w:tcW w:w="660" w:type="dxa"/>
            <w:vAlign w:val="bottom"/>
            <w:tcBorders>
              <w:top w:val="single" w:sz="8" w:color="0000FF"/>
            </w:tcBorders>
            <w:gridSpan w:val="2"/>
          </w:tcPr>
          <w:p>
            <w:pPr>
              <w:spacing w:after="0"/>
              <w:rPr>
                <w:sz w:val="18"/>
                <w:szCs w:val="18"/>
                <w:color w:val="auto"/>
              </w:rPr>
            </w:pPr>
          </w:p>
        </w:tc>
        <w:tc>
          <w:tcPr>
            <w:tcW w:w="5400" w:type="dxa"/>
            <w:vAlign w:val="bottom"/>
            <w:gridSpan w:val="12"/>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b w:val="1"/>
                <w:bCs w:val="1"/>
                <w:color w:val="0000FF"/>
                <w:w w:val="73"/>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63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w w:val="98"/>
              </w:rPr>
              <w:t>UNREGISTERED SALES OF EQUITY SECURITIES AND USE OF PROCEEDS</w:t>
            </w:r>
          </w:p>
        </w:tc>
        <w:tc>
          <w:tcPr>
            <w:tcW w:w="1000" w:type="dxa"/>
            <w:vAlign w:val="bottom"/>
            <w:gridSpan w:val="6"/>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b w:val="1"/>
                <w:bCs w:val="1"/>
                <w:color w:val="0000FF"/>
                <w:w w:val="73"/>
              </w:rPr>
              <w:t>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380" w:type="dxa"/>
            <w:vAlign w:val="bottom"/>
            <w:gridSpan w:val="20"/>
          </w:tcPr>
          <w:p>
            <w:pPr>
              <w:spacing w:after="0"/>
              <w:rPr>
                <w:sz w:val="20"/>
                <w:szCs w:val="20"/>
                <w:color w:val="auto"/>
              </w:rPr>
            </w:pPr>
            <w:r>
              <w:rPr>
                <w:rFonts w:ascii="Arial" w:cs="Arial" w:eastAsia="Arial" w:hAnsi="Arial"/>
                <w:sz w:val="18"/>
                <w:szCs w:val="18"/>
                <w:b w:val="1"/>
                <w:bCs w:val="1"/>
                <w:color w:val="0000FF"/>
              </w:rPr>
              <w:t>EXHIBITS</w:t>
            </w:r>
          </w:p>
        </w:tc>
        <w:tc>
          <w:tcPr>
            <w:tcW w:w="5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0000FF"/>
                <w:w w:val="89"/>
              </w:rPr>
              <w:t>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b w:val="1"/>
                <w:bCs w:val="1"/>
                <w:color w:val="0000FF"/>
                <w:w w:val="73"/>
              </w:rPr>
              <w:t>37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30" w:right="879" w:bottom="1440" w:gutter="0" w:footer="0" w:header="0"/>
        </w:sectPr>
      </w:pPr>
    </w:p>
    <w:bookmarkStart w:id="2" w:name="page3"/>
    <w:bookmarkEnd w:id="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0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32"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Three Months Ended</w:t>
      </w:r>
    </w:p>
    <w:p>
      <w:pPr>
        <w:jc w:val="center"/>
        <w:ind w:left="832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4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 sold</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(Note 15)</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340" w:type="dxa"/>
            <w:vAlign w:val="bottom"/>
          </w:tcPr>
          <w:p>
            <w:pPr>
              <w:ind w:left="360"/>
              <w:spacing w:after="0"/>
              <w:rPr>
                <w:sz w:val="20"/>
                <w:szCs w:val="20"/>
                <w:color w:val="auto"/>
              </w:rPr>
            </w:pPr>
            <w:r>
              <w:rPr>
                <w:rFonts w:ascii="Arial" w:cs="Arial" w:eastAsia="Arial" w:hAnsi="Arial"/>
                <w:sz w:val="18"/>
                <w:szCs w:val="18"/>
                <w:color w:val="auto"/>
              </w:rPr>
              <w:t>Income before income taxes and equity in net income of affiliated companies</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157.9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48"/>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Three Months Ended</w:t>
      </w:r>
    </w:p>
    <w:p>
      <w:pPr>
        <w:jc w:val="center"/>
        <w:ind w:left="796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 net of tax of $0.2 and $1.0</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plan adjustments, net of tax of $(0.2) and $0.3</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on derivatives, net of tax of $(0.1) and $(0.8)</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7"/>
                <w:szCs w:val="17"/>
                <w:color w:val="auto"/>
              </w:rPr>
              <w:t>March 31,</w:t>
            </w:r>
          </w:p>
        </w:tc>
        <w:tc>
          <w:tcPr>
            <w:tcW w:w="20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Arial" w:cs="Arial" w:eastAsia="Arial" w:hAnsi="Arial"/>
                <w:sz w:val="17"/>
                <w:szCs w:val="17"/>
                <w:color w:val="auto"/>
                <w:w w:val="97"/>
              </w:rPr>
              <w:t>December 31,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894.3</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513.4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507.4</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1,919.5</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2,478.9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2,386.6</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1,228.3</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1,215.2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1,158.3</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204.9</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5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3,616.8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AND EQUITY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Notes payable and other current debt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215.4</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519.0</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206.7</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7"/>
                <w:szCs w:val="17"/>
                <w:color w:val="auto"/>
              </w:rPr>
              <w:t>Deferred compensation benefits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931.9</w:t>
            </w:r>
          </w:p>
        </w:tc>
        <w:tc>
          <w:tcPr>
            <w:tcW w:w="0" w:type="dxa"/>
            <w:vAlign w:val="bottom"/>
          </w:tcPr>
          <w:p>
            <w:pPr>
              <w:spacing w:after="0"/>
              <w:rPr>
                <w:sz w:val="1"/>
                <w:szCs w:val="1"/>
                <w:color w:val="auto"/>
              </w:rPr>
            </w:pPr>
          </w:p>
        </w:tc>
      </w:tr>
      <w:tr>
        <w:trPr>
          <w:trHeight w:val="135"/>
        </w:trPr>
        <w:tc>
          <w:tcPr>
            <w:tcW w:w="7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Equity: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7980" w:type="dxa"/>
            <w:vAlign w:val="bottom"/>
          </w:tcPr>
          <w:p>
            <w:pPr>
              <w:ind w:left="220"/>
              <w:spacing w:after="0" w:line="162" w:lineRule="exact"/>
              <w:rPr>
                <w:sz w:val="20"/>
                <w:szCs w:val="20"/>
                <w:color w:val="auto"/>
              </w:rPr>
            </w:pPr>
            <w:r>
              <w:rPr>
                <w:rFonts w:ascii="Arial" w:cs="Arial" w:eastAsia="Arial" w:hAnsi="Arial"/>
                <w:sz w:val="17"/>
                <w:szCs w:val="17"/>
                <w:color w:val="auto"/>
                <w:w w:val="93"/>
              </w:rPr>
              <w:t>Common stock, par value $0.25 per share; 200.0 million shares authorized; shares issued: 75.3 million in 2023</w:t>
            </w:r>
          </w:p>
        </w:tc>
        <w:tc>
          <w:tcPr>
            <w:tcW w:w="2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23"/>
        </w:trPr>
        <w:tc>
          <w:tcPr>
            <w:tcW w:w="7980" w:type="dxa"/>
            <w:vAlign w:val="bottom"/>
          </w:tcPr>
          <w:p>
            <w:pPr>
              <w:ind w:left="400"/>
              <w:spacing w:after="0"/>
              <w:rPr>
                <w:sz w:val="20"/>
                <w:szCs w:val="20"/>
                <w:color w:val="auto"/>
              </w:rPr>
            </w:pPr>
            <w:r>
              <w:rPr>
                <w:rFonts w:ascii="Arial" w:cs="Arial" w:eastAsia="Arial" w:hAnsi="Arial"/>
                <w:sz w:val="17"/>
                <w:szCs w:val="17"/>
                <w:color w:val="auto"/>
              </w:rPr>
              <w:t>and 2022; shares outstanding: 74.2 million and 74.1 million</w:t>
            </w:r>
          </w:p>
        </w:tc>
        <w:tc>
          <w:tcPr>
            <w:tcW w:w="2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in excess of par value</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3,113.6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2,987.8</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Treasury stock, at cost (1.1 million and 1.2 million shares)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3,616.8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0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Three Months Ended</w:t>
      </w:r>
    </w:p>
    <w:p>
      <w:pPr>
        <w:jc w:val="center"/>
        <w:ind w:left="796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140.0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79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impairments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Other non-cash items, net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r>
      <w:tr>
        <w:trPr>
          <w:trHeight w:val="88"/>
        </w:trPr>
        <w:tc>
          <w:tcPr>
            <w:tcW w:w="79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88"/>
        </w:trPr>
        <w:tc>
          <w:tcPr>
            <w:tcW w:w="79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Dividend payments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purchased under share repurchase program</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30"/>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repurchased for employee tax withholdings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162"/>
        </w:trPr>
        <w:tc>
          <w:tcPr>
            <w:tcW w:w="7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886.3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w:t>
            </w:r>
          </w:p>
        </w:tc>
      </w:tr>
      <w:tr>
        <w:trPr>
          <w:trHeight w:val="20"/>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ind w:right="80"/>
        <w:spacing w:after="0" w:line="289" w:lineRule="auto"/>
        <w:rPr>
          <w:rFonts w:ascii="Arial" w:cs="Arial" w:eastAsia="Arial" w:hAnsi="Arial"/>
          <w:sz w:val="16"/>
          <w:szCs w:val="16"/>
          <w:color w:val="0000FF"/>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months ended March 31, 2023, should be read in conjunction with the consolidated financial statements and notes thereto of West Pharmaceutical Services, Inc. and its majority-owned subsidiaries (which may be referred to as </w:t>
      </w:r>
      <w:hyperlink r:id="rId16">
        <w:r>
          <w:rPr>
            <w:rFonts w:ascii="Arial" w:cs="Arial" w:eastAsia="Arial" w:hAnsi="Arial"/>
            <w:sz w:val="16"/>
            <w:szCs w:val="16"/>
            <w:color w:val="auto"/>
          </w:rPr>
          <w:t>“West,” the “Company,” “we,” “us” or “our”) appearing in our Annual Report on Form 10-K for the year ended December 31, 2022 (the “</w:t>
        </w:r>
        <w:r>
          <w:rPr>
            <w:rFonts w:ascii="Arial" w:cs="Arial" w:eastAsia="Arial" w:hAnsi="Arial"/>
            <w:sz w:val="16"/>
            <w:szCs w:val="16"/>
            <w:u w:val="single" w:color="auto"/>
            <w:color w:val="0000FF"/>
          </w:rPr>
          <w:t>2022 Annual</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FF"/>
          </w:rPr>
          <w:t>Report</w:t>
        </w:r>
        <w:r>
          <w:rPr>
            <w:rFonts w:ascii="Arial" w:cs="Arial" w:eastAsia="Arial" w:hAnsi="Arial"/>
            <w:sz w:val="16"/>
            <w:szCs w:val="16"/>
            <w:color w:val="000000"/>
          </w:rPr>
          <w:t>”). The results of operations for any interim period are not necessarily indicative of results for the full year.</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5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September 2022, the Financial Accounting Standards Board ("FASB") issued guidance that seeks to enhance transparency around entities' use of supplier finance programs. The amendment requires the buyer in a supplier finance program to disclose information about the key terms of the program, outstanding confirmed amounts as of the end of the period, a rollforward of such amounts during each annual period, and a description of where in the financial statements outstanding amounts are presented. This guidance is effective for fiscal years beginning after December 15, 2022. We adopted this guidance as of January 1, 2023, on a prospective basis. The adoption did not have a material impact on our financial statements, as supplier finance programs are not material to the Company as of March 31,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approximate percentage of our net sales by market group:</w:t>
      </w:r>
    </w:p>
    <w:p>
      <w:pPr>
        <w:spacing w:after="0" w:line="48"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Three Months Ended</w:t>
      </w:r>
    </w:p>
    <w:p>
      <w:pPr>
        <w:jc w:val="center"/>
        <w:ind w:left="796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Generics</w:t>
            </w:r>
          </w:p>
        </w:tc>
        <w:tc>
          <w:tcPr>
            <w:tcW w:w="158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the approximate percentage of our net sales by product category:</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rPr>
                <w:sz w:val="17"/>
                <w:szCs w:val="17"/>
                <w:color w:val="auto"/>
              </w:rPr>
            </w:pPr>
          </w:p>
        </w:tc>
        <w:tc>
          <w:tcPr>
            <w:tcW w:w="326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214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92"/>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High-Value Product Components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High-Value Product Delivery Devices</w:t>
            </w:r>
          </w:p>
        </w:tc>
        <w:tc>
          <w:tcPr>
            <w:tcW w:w="158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Packaging</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percentage of our net sales by geographic location:</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80" w:type="dxa"/>
            <w:vAlign w:val="bottom"/>
          </w:tcPr>
          <w:p>
            <w:pPr>
              <w:spacing w:after="0"/>
              <w:rPr>
                <w:sz w:val="18"/>
                <w:szCs w:val="18"/>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p>
        </w:tc>
        <w:tc>
          <w:tcPr>
            <w:tcW w:w="214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92"/>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58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Contract Assets and Liabilities</w:t>
            </w: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120" w:type="dxa"/>
            <w:vAlign w:val="bottom"/>
            <w:gridSpan w:val="4"/>
          </w:tcPr>
          <w:p>
            <w:pPr>
              <w:spacing w:after="0"/>
              <w:rPr>
                <w:sz w:val="20"/>
                <w:szCs w:val="20"/>
                <w:color w:val="auto"/>
              </w:rPr>
            </w:pPr>
            <w:r>
              <w:rPr>
                <w:rFonts w:ascii="Arial" w:cs="Arial" w:eastAsia="Arial" w:hAnsi="Arial"/>
                <w:sz w:val="18"/>
                <w:szCs w:val="18"/>
                <w:color w:val="auto"/>
              </w:rPr>
              <w:t>The following table summarizes our contract assets and liabilities, excluding amounts included in accounts receivable, net: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80" w:type="dxa"/>
            <w:vAlign w:val="bottom"/>
          </w:tcPr>
          <w:p>
            <w:pPr>
              <w:spacing w:after="0"/>
              <w:rPr>
                <w:sz w:val="22"/>
                <w:szCs w:val="22"/>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December 31, 2022</w:t>
            </w:r>
          </w:p>
        </w:tc>
        <w:tc>
          <w:tcPr>
            <w:tcW w:w="1700" w:type="dxa"/>
            <w:vAlign w:val="bottom"/>
            <w:tcBorders>
              <w:top w:val="single" w:sz="8" w:color="CCEEFF"/>
            </w:tcBorders>
            <w:gridSpan w:val="2"/>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March 31, 2023</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1700" w:type="dxa"/>
            <w:vAlign w:val="bottom"/>
            <w:tcBorders>
              <w:bottom w:val="single" w:sz="8" w:color="CCEEFF"/>
            </w:tcBorders>
            <w:gridSpan w:val="2"/>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gridSpan w:val="3"/>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December 31, 2022</w:t>
            </w:r>
          </w:p>
        </w:tc>
        <w:tc>
          <w:tcPr>
            <w:tcW w:w="21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March 31, 2023</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deferred income - decrease (increase)</w:t>
            </w:r>
          </w:p>
        </w:tc>
        <w:tc>
          <w:tcPr>
            <w:tcW w:w="1700" w:type="dxa"/>
            <w:vAlign w:val="bottom"/>
            <w:tcBorders>
              <w:bottom w:val="single" w:sz="8" w:color="CCEEFF"/>
            </w:tcBorders>
            <w:gridSpan w:val="2"/>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Contract assets are included within other current assets and deferred income is included within other current liabilities and other long-term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2023, $21.3 million of revenue was recognized that was included in deferred income at the beginning of the year.</w:t>
      </w:r>
    </w:p>
    <w:p>
      <w:pPr>
        <w:spacing w:after="0" w:line="27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 within a specific therapeutic area. As of March 31, 2023, there was $2.8 million of deferred income related to this payment, of which $0.9 million was included in other current liabilities and $1.9 million was included in other long-term liabilities. The deferred income is being recognized as income on a straight-line basis over the remaining term of the agreement. The agreement does not include a future minimum purchase commitment from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center"/>
              <w:ind w:right="25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6"/>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March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74.5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equity awards, based on the treasury stock method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March 31, 2023 and 2022, there were 0.3 million and 0.0 million shares, respectively, from stock-based compensation plans not included in the computation of diluted net income per share because their impact was antidilutive.</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three months ended March 31, 2023, we purchased 183,360 shares of our common stock under the program at a cost of $60.1 million, or an average price of $327.90 per share. During the three months ended March 31, 2022, we purchased 390,000 shares of our common stock under the program at a cost of $147.1 million, or an average price of $377.23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9580" w:type="dxa"/>
            <w:vAlign w:val="bottom"/>
            <w:gridSpan w:val="5"/>
          </w:tcPr>
          <w:p>
            <w:pPr>
              <w:spacing w:after="0"/>
              <w:rPr>
                <w:sz w:val="20"/>
                <w:szCs w:val="20"/>
                <w:color w:val="auto"/>
              </w:rPr>
            </w:pPr>
            <w:r>
              <w:rPr>
                <w:rFonts w:ascii="Arial" w:cs="Arial" w:eastAsia="Arial" w:hAnsi="Arial"/>
                <w:sz w:val="18"/>
                <w:szCs w:val="18"/>
                <w:color w:val="auto"/>
                <w:w w:val="91"/>
              </w:rPr>
              <w:t>Inventories are valued at the lower of cost (on a first-in, first-out basis) and net realizable value. Inventory balances were as follows:</w:t>
            </w:r>
          </w:p>
        </w:tc>
        <w:tc>
          <w:tcPr>
            <w:tcW w:w="1660" w:type="dxa"/>
            <w:vAlign w:val="bottom"/>
          </w:tcPr>
          <w:p>
            <w:pPr>
              <w:spacing w:after="0"/>
              <w:rPr>
                <w:sz w:val="24"/>
                <w:szCs w:val="24"/>
                <w:color w:val="auto"/>
              </w:rPr>
            </w:pPr>
          </w:p>
        </w:tc>
      </w:tr>
      <w:tr>
        <w:trPr>
          <w:trHeight w:val="203"/>
        </w:trPr>
        <w:tc>
          <w:tcPr>
            <w:tcW w:w="6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March 31,</w:t>
            </w:r>
          </w:p>
        </w:tc>
        <w:tc>
          <w:tcPr>
            <w:tcW w:w="600" w:type="dxa"/>
            <w:vAlign w:val="bottom"/>
          </w:tcPr>
          <w:p>
            <w:pPr>
              <w:spacing w:after="0"/>
              <w:rPr>
                <w:sz w:val="17"/>
                <w:szCs w:val="17"/>
                <w:color w:val="auto"/>
              </w:rPr>
            </w:pPr>
          </w:p>
        </w:tc>
        <w:tc>
          <w:tcPr>
            <w:tcW w:w="166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90"/>
              </w:rPr>
              <w:t>December 31,</w:t>
            </w:r>
          </w:p>
        </w:tc>
      </w:tr>
      <w:tr>
        <w:trPr>
          <w:trHeight w:val="24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4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2022</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23"/>
        </w:trPr>
        <w:tc>
          <w:tcPr>
            <w:tcW w:w="66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center"/>
              <w:ind w:right="290"/>
              <w:spacing w:after="0" w:line="202" w:lineRule="exact"/>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92"/>
              </w:rPr>
              <w:t>March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center"/>
              <w:ind w:right="290"/>
              <w:spacing w:after="0" w:line="202" w:lineRule="exact"/>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92"/>
              </w:rPr>
              <w:t>March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2023 and December 31, 2022, the weighted average remaining lease term for operating leases was 9.3 years and 9.3 years,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December 31, 2022, the weighted average discount rate was 3.26% and 3.25%,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8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period as of)</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80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lease interest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At March 31, 2023 and December 31, 2022, the aggregate carrying amount of our investment in affiliated companies that are accounted for under the equity method was $200.9 million and $197.0 million, respectively, and the aggregate carrying amount of our investment in affiliated companies that are not accounted for under the equity method was $7.9 million and $7.9 million at March 31, 2023 and December 31, 2022,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purchases from, and royalty payments made to, affiliates totaled $44.2 million for the three months ended March 31, 2023, as compared to $58.5 million for the same period in 2022. As of March 31, 2023 and December 31, 2022, the payable balance due to affiliates was $30.3 million and $31.2 million, respectively. The majority of these transactions related to a distributorship agreement with Daikyo Seiko, LTD ("Daikyo") that allows us to purchase and re-sell Daikyo products.</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Sales to affiliates were $3.3 million for the three months ended March 31, 2023, as compared to $4.0 million for the same period in 2022. As of March 31, 2023 and December 31, 2022, the receivable balance due from affiliates was $2.5 million and $2.2 million, respectively.</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7, </w:t>
      </w:r>
      <w:r>
        <w:rPr>
          <w:rFonts w:ascii="Arial" w:cs="Arial" w:eastAsia="Arial" w:hAnsi="Arial"/>
          <w:sz w:val="18"/>
          <w:szCs w:val="18"/>
          <w:i w:val="1"/>
          <w:iCs w:val="1"/>
          <w:color w:val="auto"/>
        </w:rPr>
        <w:t>Affiliated Companies</w:t>
      </w:r>
      <w:r>
        <w:rPr>
          <w:rFonts w:ascii="Arial" w:cs="Arial" w:eastAsia="Arial" w:hAnsi="Arial"/>
          <w:sz w:val="18"/>
          <w:szCs w:val="18"/>
          <w:color w:val="auto"/>
        </w:rPr>
        <w:t xml:space="preserve">, to the consolidated financial statements in our </w:t>
      </w:r>
      <w:hyperlink r:id="rId16">
        <w:r>
          <w:rPr>
            <w:rFonts w:ascii="Arial" w:cs="Arial" w:eastAsia="Arial" w:hAnsi="Arial"/>
            <w:sz w:val="18"/>
            <w:szCs w:val="18"/>
            <w:u w:val="single" w:color="auto"/>
            <w:color w:val="0000FF"/>
          </w:rPr>
          <w:t>2022 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March 31, 2023.</w:t>
      </w: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140"/>
              <w:spacing w:after="0" w:line="178" w:lineRule="exact"/>
              <w:rPr>
                <w:sz w:val="20"/>
                <w:szCs w:val="20"/>
                <w:color w:val="auto"/>
              </w:rPr>
            </w:pPr>
            <w:r>
              <w:rPr>
                <w:rFonts w:ascii="Arial" w:cs="Arial" w:eastAsia="Arial" w:hAnsi="Arial"/>
                <w:sz w:val="18"/>
                <w:szCs w:val="18"/>
                <w:color w:val="auto"/>
              </w:rPr>
              <w:t>March 31,</w:t>
            </w:r>
          </w:p>
        </w:tc>
        <w:tc>
          <w:tcPr>
            <w:tcW w:w="20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color w:val="auto"/>
                <w:w w:val="93"/>
              </w:rPr>
              <w:t>December 31,</w:t>
            </w:r>
          </w:p>
        </w:tc>
      </w:tr>
      <w:tr>
        <w:trPr>
          <w:trHeight w:val="24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due December 31, 2024 (5.87%)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Series B notes, due July 5, 2024 (3.82%)</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notes, due July 5, 2027 (4.02%)</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23"/>
        </w:trPr>
        <w:tc>
          <w:tcPr>
            <w:tcW w:w="7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for Term Loan and Series Notes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March 31, 2023, the borrowing capacity available under our $500.0 million multi-currency revolving credit facility, including outstanding letters of credit of $2.4 million, was $497.6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At March 31, 2023, we had $82.6 million in borrowings under the Term Loan, of which $2.2 million was classified as current and $80.4 million was classified as long-term. Please refer to Note 9, </w:t>
      </w:r>
      <w:r>
        <w:rPr>
          <w:rFonts w:ascii="Arial" w:cs="Arial" w:eastAsia="Arial" w:hAnsi="Arial"/>
          <w:sz w:val="18"/>
          <w:szCs w:val="18"/>
          <w:i w:val="1"/>
          <w:iCs w:val="1"/>
          <w:u w:val="single" w:color="auto"/>
          <w:color w:val="0000FF"/>
        </w:rPr>
        <w:t>Derivative Financial Instruments</w:t>
      </w:r>
      <w:r>
        <w:rPr>
          <w:rFonts w:ascii="Arial" w:cs="Arial" w:eastAsia="Arial" w:hAnsi="Arial"/>
          <w:sz w:val="18"/>
          <w:szCs w:val="18"/>
          <w:color w:val="auto"/>
        </w:rPr>
        <w:t>, for a discussion of the foreign currency hedge associated with the Term Loan.</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March 31, 2023, we were in compliance with all of our debt covenants.</w:t>
      </w:r>
    </w:p>
    <w:p>
      <w:pPr>
        <w:spacing w:after="0" w:line="21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Please refer to Note 10, </w:t>
      </w:r>
      <w:r>
        <w:rPr>
          <w:rFonts w:ascii="Arial" w:cs="Arial" w:eastAsia="Arial" w:hAnsi="Arial"/>
          <w:sz w:val="16"/>
          <w:szCs w:val="16"/>
          <w:i w:val="1"/>
          <w:iCs w:val="1"/>
          <w:color w:val="auto"/>
        </w:rPr>
        <w:t>Debt</w:t>
      </w:r>
      <w:r>
        <w:rPr>
          <w:rFonts w:ascii="Arial" w:cs="Arial" w:eastAsia="Arial" w:hAnsi="Arial"/>
          <w:sz w:val="16"/>
          <w:szCs w:val="16"/>
          <w:color w:val="auto"/>
        </w:rPr>
        <w:t xml:space="preserve">, to the consolidated financial statements in our </w:t>
      </w:r>
      <w:hyperlink r:id="rId16">
        <w:r>
          <w:rPr>
            <w:rFonts w:ascii="Arial" w:cs="Arial" w:eastAsia="Arial" w:hAnsi="Arial"/>
            <w:sz w:val="16"/>
            <w:szCs w:val="16"/>
            <w:u w:val="single" w:color="auto"/>
            <w:color w:val="0000FF"/>
          </w:rPr>
          <w:t>2022 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details regarding our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both March 31, 2023 and December 31, 2022, the total amount of these forward exchange contracts was Singapore Dollar (“SGD”) 601.5 million and $13.4 million.</w:t>
      </w:r>
    </w:p>
    <w:p>
      <w:pPr>
        <w:spacing w:after="0" w:line="21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March 31, 2023, we had outstanding foreign currency contracts to purchase and sell certain pairs of currencies,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Sell</w:t>
            </w:r>
          </w:p>
        </w:tc>
        <w:tc>
          <w:tcPr>
            <w:tcW w:w="1800" w:type="dxa"/>
            <w:vAlign w:val="bottom"/>
            <w:tcBorders>
              <w:bottom w:val="single" w:sz="8" w:color="auto"/>
            </w:tcBorders>
          </w:tcPr>
          <w:p>
            <w:pPr>
              <w:spacing w:after="0"/>
              <w:rPr>
                <w:sz w:val="20"/>
                <w:szCs w:val="20"/>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Currency</w:t>
            </w:r>
          </w:p>
        </w:tc>
        <w:tc>
          <w:tcPr>
            <w:tcW w:w="2500" w:type="dxa"/>
            <w:vAlign w:val="bottom"/>
            <w:gridSpan w:val="2"/>
          </w:tcPr>
          <w:p>
            <w:pPr>
              <w:ind w:left="860"/>
              <w:spacing w:after="0"/>
              <w:rPr>
                <w:sz w:val="20"/>
                <w:szCs w:val="20"/>
                <w:color w:val="auto"/>
              </w:rPr>
            </w:pPr>
            <w:r>
              <w:rPr>
                <w:rFonts w:ascii="Arial" w:cs="Arial" w:eastAsia="Arial" w:hAnsi="Arial"/>
                <w:sz w:val="18"/>
                <w:szCs w:val="18"/>
                <w:color w:val="auto"/>
              </w:rPr>
              <w:t>Purchase</w:t>
            </w:r>
          </w:p>
        </w:tc>
        <w:tc>
          <w:tcPr>
            <w:tcW w:w="2980" w:type="dxa"/>
            <w:vAlign w:val="bottom"/>
          </w:tcPr>
          <w:p>
            <w:pPr>
              <w:jc w:val="right"/>
              <w:ind w:right="1510"/>
              <w:spacing w:after="0"/>
              <w:rPr>
                <w:sz w:val="20"/>
                <w:szCs w:val="20"/>
                <w:color w:val="auto"/>
              </w:rPr>
            </w:pPr>
            <w:r>
              <w:rPr>
                <w:rFonts w:ascii="Arial" w:cs="Arial" w:eastAsia="Arial" w:hAnsi="Arial"/>
                <w:sz w:val="18"/>
                <w:szCs w:val="18"/>
                <w:color w:val="auto"/>
              </w:rPr>
              <w:t>USD</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EUR</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8.5</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Yen</w:t>
            </w:r>
          </w:p>
        </w:tc>
        <w:tc>
          <w:tcPr>
            <w:tcW w:w="2380" w:type="dxa"/>
            <w:vAlign w:val="bottom"/>
          </w:tcPr>
          <w:p>
            <w:pPr>
              <w:jc w:val="right"/>
              <w:spacing w:after="0"/>
              <w:rPr>
                <w:sz w:val="20"/>
                <w:szCs w:val="20"/>
                <w:color w:val="auto"/>
              </w:rPr>
            </w:pPr>
            <w:r>
              <w:rPr>
                <w:rFonts w:ascii="Arial" w:cs="Arial" w:eastAsia="Arial" w:hAnsi="Arial"/>
                <w:sz w:val="18"/>
                <w:szCs w:val="18"/>
                <w:color w:val="auto"/>
              </w:rPr>
              <w:t>5,629.6</w:t>
            </w:r>
          </w:p>
        </w:tc>
        <w:tc>
          <w:tcPr>
            <w:tcW w:w="120" w:type="dxa"/>
            <w:vAlign w:val="bottom"/>
          </w:tcPr>
          <w:p>
            <w:pPr>
              <w:spacing w:after="0"/>
              <w:rPr>
                <w:sz w:val="19"/>
                <w:szCs w:val="19"/>
                <w:color w:val="auto"/>
              </w:rPr>
            </w:pPr>
          </w:p>
        </w:tc>
        <w:tc>
          <w:tcPr>
            <w:tcW w:w="2980" w:type="dxa"/>
            <w:vAlign w:val="bottom"/>
          </w:tcPr>
          <w:p>
            <w:pPr>
              <w:jc w:val="right"/>
              <w:ind w:right="570"/>
              <w:spacing w:after="0"/>
              <w:rPr>
                <w:sz w:val="20"/>
                <w:szCs w:val="20"/>
                <w:color w:val="auto"/>
              </w:rPr>
            </w:pPr>
            <w:r>
              <w:rPr>
                <w:rFonts w:ascii="Arial" w:cs="Arial" w:eastAsia="Arial" w:hAnsi="Arial"/>
                <w:sz w:val="18"/>
                <w:szCs w:val="18"/>
                <w:color w:val="auto"/>
              </w:rPr>
              <w:t>30.2</w:t>
            </w:r>
          </w:p>
        </w:tc>
        <w:tc>
          <w:tcPr>
            <w:tcW w:w="18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29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24.9</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bl>
    <w:p>
      <w:pPr>
        <w:spacing w:after="0" w:line="3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2019, we entered into a cross-currency swap for $90 million, which we designated as a hedge of our net investment in Daikyo. As of March 31, 2023, the notional amount of the cross-currency swap was ¥9.0 billion ($82.6 million) and the swap termination date is December 31, 2024. Under the cross-currency swap, we receive floating interest rate payments based on USD compounded SOFR plus a margin, in return for paying floating interest rate payments based on Japanese Yen (“Yen”) Tokyo Overnight Average Rate ("TONAR") plus a margin. In addition, we receive periodic fixed payments of USD in return for paying fixed principal payments of Yen.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From November 2017 through March 2023, we purchased several series of call options for a total of 903,932 barrels of crude oil to mitigate our exposure to such oil-based surcharges and protect operating cash flows with regards to a portion of our forecasted elastomer purchases.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2023, we had outstanding contracts to purchase 250,742 barrels of crude oil from March 2023 to December 2024, at a weighted-average strike price of 104.21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Please refer to Note 10, </w:t>
      </w:r>
      <w:r>
        <w:rPr>
          <w:rFonts w:ascii="Arial" w:cs="Arial" w:eastAsia="Arial" w:hAnsi="Arial"/>
          <w:sz w:val="18"/>
          <w:szCs w:val="18"/>
          <w:i w:val="1"/>
          <w:iCs w:val="1"/>
          <w:u w:val="single" w:color="auto"/>
          <w:color w:val="0000FF"/>
        </w:rPr>
        <w:t>Fair Value Measurements</w:t>
      </w:r>
      <w:r>
        <w:rPr>
          <w:rFonts w:ascii="Arial" w:cs="Arial" w:eastAsia="Arial" w:hAnsi="Arial"/>
          <w:sz w:val="18"/>
          <w:szCs w:val="18"/>
          <w:color w:val="auto"/>
        </w:rPr>
        <w:t>, for the balance sheet location and fair values of our derivative instruments as of March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2" w:name="page13"/>
    <w:bookmarkEnd w:id="1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57"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Amount of Gain (Loss)</w:t>
      </w:r>
    </w:p>
    <w:p>
      <w:pPr>
        <w:jc w:val="center"/>
        <w:ind w:left="2780"/>
        <w:spacing w:after="0"/>
        <w:rPr>
          <w:sz w:val="20"/>
          <w:szCs w:val="20"/>
          <w:color w:val="auto"/>
        </w:rPr>
      </w:pPr>
      <w:r>
        <w:rPr>
          <w:rFonts w:ascii="Arial" w:cs="Arial" w:eastAsia="Arial" w:hAnsi="Arial"/>
          <w:sz w:val="18"/>
          <w:szCs w:val="18"/>
          <w:color w:val="auto"/>
        </w:rPr>
        <w:t>Recognized in Income for the</w:t>
      </w: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4"/>
          </w:tcPr>
          <w:p>
            <w:pPr>
              <w:ind w:left="240"/>
              <w:spacing w:after="0" w:line="196" w:lineRule="exact"/>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43"/>
        </w:trPr>
        <w:tc>
          <w:tcPr>
            <w:tcW w:w="5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w w:val="97"/>
              </w:rPr>
              <w:t>March 31,</w:t>
            </w: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8"/>
              </w:rPr>
              <w:t>Location on Statement of Income</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2022</w:t>
            </w:r>
          </w:p>
        </w:tc>
        <w:tc>
          <w:tcPr>
            <w:tcW w:w="12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97"/>
              </w:rPr>
              <w:t>(9.6)</w:t>
            </w:r>
          </w:p>
        </w:tc>
        <w:tc>
          <w:tcPr>
            <w:tcW w:w="1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Other expense (income)</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designated as hedging instrument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7"/>
              </w:rPr>
              <w:t>(2.5)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7"/>
              </w:rPr>
              <w:t>9.6</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excluded from effectiveness testing</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7"/>
              </w:rPr>
              <w:t>0.8</w:t>
            </w:r>
          </w:p>
        </w:tc>
        <w:tc>
          <w:tcPr>
            <w:tcW w:w="12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87"/>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recognize in earnings the initial value of forward point components on a straight-line basis over the life of the fair value hedge. The amounts recognized in earnings, pre-tax, for forward point components for the three months ended March 31, 2023 and 2022 were $1.2 million and $0.8 million, respectively.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on other comprehensive income (“OCI”) and earnings, net of tax: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5"/>
            <w:vMerge w:val="restart"/>
          </w:tcPr>
          <w:p>
            <w:pPr>
              <w:jc w:val="center"/>
              <w:ind w:right="360"/>
              <w:spacing w:after="0"/>
              <w:rPr>
                <w:sz w:val="20"/>
                <w:szCs w:val="20"/>
                <w:color w:val="auto"/>
              </w:rPr>
            </w:pPr>
            <w:r>
              <w:rPr>
                <w:rFonts w:ascii="Arial" w:cs="Arial" w:eastAsia="Arial" w:hAnsi="Arial"/>
                <w:sz w:val="18"/>
                <w:szCs w:val="18"/>
                <w:color w:val="auto"/>
                <w:w w:val="93"/>
              </w:rPr>
              <w:t>Amount of (Loss) Gain</w:t>
            </w:r>
          </w:p>
        </w:tc>
        <w:tc>
          <w:tcPr>
            <w:tcW w:w="120" w:type="dxa"/>
            <w:vAlign w:val="bottom"/>
          </w:tcPr>
          <w:p>
            <w:pPr>
              <w:spacing w:after="0"/>
              <w:rPr>
                <w:sz w:val="17"/>
                <w:szCs w:val="17"/>
                <w:color w:val="auto"/>
              </w:rPr>
            </w:pPr>
          </w:p>
        </w:tc>
        <w:tc>
          <w:tcPr>
            <w:tcW w:w="2040" w:type="dxa"/>
            <w:vAlign w:val="bottom"/>
            <w:gridSpan w:val="3"/>
          </w:tcPr>
          <w:p>
            <w:pPr>
              <w:jc w:val="center"/>
              <w:ind w:left="150"/>
              <w:spacing w:after="0"/>
              <w:rPr>
                <w:sz w:val="20"/>
                <w:szCs w:val="20"/>
                <w:color w:val="auto"/>
              </w:rPr>
            </w:pPr>
            <w:r>
              <w:rPr>
                <w:rFonts w:ascii="Arial" w:cs="Arial" w:eastAsia="Arial" w:hAnsi="Arial"/>
                <w:sz w:val="18"/>
                <w:szCs w:val="18"/>
                <w:color w:val="auto"/>
                <w:w w:val="93"/>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tcPr>
          <w:p>
            <w:pPr>
              <w:jc w:val="center"/>
              <w:ind w:right="50"/>
              <w:spacing w:after="0" w:line="176" w:lineRule="exact"/>
              <w:rPr>
                <w:sz w:val="20"/>
                <w:szCs w:val="20"/>
                <w:color w:val="auto"/>
              </w:rPr>
            </w:pPr>
            <w:r>
              <w:rPr>
                <w:rFonts w:ascii="Arial" w:cs="Arial" w:eastAsia="Arial" w:hAnsi="Arial"/>
                <w:sz w:val="18"/>
                <w:szCs w:val="18"/>
                <w:color w:val="auto"/>
                <w:w w:val="92"/>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Recognized in OCI for the</w:t>
            </w:r>
          </w:p>
        </w:tc>
        <w:tc>
          <w:tcPr>
            <w:tcW w:w="120" w:type="dxa"/>
            <w:vAlign w:val="bottom"/>
          </w:tcPr>
          <w:p>
            <w:pPr>
              <w:spacing w:after="0"/>
              <w:rPr>
                <w:sz w:val="20"/>
                <w:szCs w:val="20"/>
                <w:color w:val="auto"/>
              </w:rPr>
            </w:pPr>
          </w:p>
        </w:tc>
        <w:tc>
          <w:tcPr>
            <w:tcW w:w="2040" w:type="dxa"/>
            <w:vAlign w:val="bottom"/>
            <w:gridSpan w:val="3"/>
          </w:tcPr>
          <w:p>
            <w:pPr>
              <w:jc w:val="center"/>
              <w:ind w:left="170"/>
              <w:spacing w:after="0"/>
              <w:rPr>
                <w:sz w:val="20"/>
                <w:szCs w:val="20"/>
                <w:color w:val="auto"/>
              </w:rPr>
            </w:pPr>
            <w:r>
              <w:rPr>
                <w:rFonts w:ascii="Arial" w:cs="Arial" w:eastAsia="Arial" w:hAnsi="Arial"/>
                <w:sz w:val="18"/>
                <w:szCs w:val="18"/>
                <w:color w:val="auto"/>
                <w:w w:val="93"/>
              </w:rPr>
              <w:t>OCI into Income for the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5"/>
          </w:tcPr>
          <w:p>
            <w:pPr>
              <w:jc w:val="center"/>
              <w:ind w:right="360"/>
              <w:spacing w:after="0" w:line="201" w:lineRule="exact"/>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7"/>
                <w:szCs w:val="17"/>
                <w:color w:val="auto"/>
              </w:rPr>
            </w:pPr>
          </w:p>
        </w:tc>
        <w:tc>
          <w:tcPr>
            <w:tcW w:w="2040" w:type="dxa"/>
            <w:vAlign w:val="bottom"/>
            <w:gridSpan w:val="3"/>
          </w:tcPr>
          <w:p>
            <w:pPr>
              <w:jc w:val="center"/>
              <w:ind w:left="150"/>
              <w:spacing w:after="0" w:line="201" w:lineRule="exact"/>
              <w:rPr>
                <w:sz w:val="20"/>
                <w:szCs w:val="20"/>
                <w:color w:val="auto"/>
              </w:rPr>
            </w:pPr>
            <w:r>
              <w:rPr>
                <w:rFonts w:ascii="Arial" w:cs="Arial" w:eastAsia="Arial" w:hAnsi="Arial"/>
                <w:sz w:val="18"/>
                <w:szCs w:val="18"/>
                <w:color w:val="auto"/>
                <w:w w:val="90"/>
              </w:rPr>
              <w:t>Three Months Ended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ind w:left="80"/>
              <w:spacing w:after="0" w:line="201" w:lineRule="exact"/>
              <w:rPr>
                <w:sz w:val="20"/>
                <w:szCs w:val="20"/>
                <w:color w:val="auto"/>
              </w:rPr>
            </w:pPr>
            <w:r>
              <w:rPr>
                <w:rFonts w:ascii="Arial" w:cs="Arial" w:eastAsia="Arial" w:hAnsi="Arial"/>
                <w:sz w:val="18"/>
                <w:szCs w:val="18"/>
                <w:color w:val="auto"/>
                <w:w w:val="93"/>
              </w:rPr>
              <w:t>Location of (Gain) Loss Reclassified</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color w:val="auto"/>
                <w:w w:val="92"/>
              </w:rPr>
              <w:t>March 31,</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from Accumulated OCI into Income</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Flow Hedges: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Refer to the above table which summarizes the effects of derivative instruments designated as fair value hedges within the other expense (income) line in our condensed consolidated statements of income for the three months ended March 31, 2023 and 2022. The following table summarizes the effects of derivative instruments designated as cash flow and net investment hedges by line item in our condensed consolidated statements of income:</w:t>
      </w:r>
    </w:p>
    <w:p>
      <w:pPr>
        <w:jc w:val="center"/>
        <w:ind w:left="7960"/>
        <w:spacing w:after="0" w:line="223" w:lineRule="auto"/>
        <w:rPr>
          <w:sz w:val="20"/>
          <w:szCs w:val="20"/>
          <w:color w:val="auto"/>
        </w:rPr>
      </w:pPr>
      <w:r>
        <w:rPr>
          <w:rFonts w:ascii="Arial" w:cs="Arial" w:eastAsia="Arial" w:hAnsi="Arial"/>
          <w:sz w:val="18"/>
          <w:szCs w:val="18"/>
          <w:color w:val="auto"/>
        </w:rPr>
        <w:t>Three Months Ended</w:t>
      </w:r>
    </w:p>
    <w:p>
      <w:pPr>
        <w:jc w:val="center"/>
        <w:ind w:left="796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7"/>
              </w:rPr>
              <w:t>(0.3)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Arial" w:cs="Arial" w:eastAsia="Arial" w:hAnsi="Arial"/>
                <w:sz w:val="18"/>
                <w:szCs w:val="18"/>
                <w:color w:val="auto"/>
                <w:w w:val="87"/>
              </w:rPr>
              <w:t>0.5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0.1</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Amount of Gain (Loss)</w:t>
      </w:r>
    </w:p>
    <w:tbl>
      <w:tblPr>
        <w:tblLayout w:type="fixed"/>
        <w:tblInd w:w="0" w:type="dxa"/>
        <w:tblCellMar>
          <w:top w:w="0" w:type="dxa"/>
          <w:left w:w="0" w:type="dxa"/>
          <w:bottom w:w="0" w:type="dxa"/>
          <w:right w:w="0" w:type="dxa"/>
        </w:tblCellMar>
      </w:tblPr>
      <w:tr>
        <w:trPr>
          <w:trHeight w:val="227"/>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40" w:type="dxa"/>
            <w:vAlign w:val="bottom"/>
            <w:gridSpan w:val="6"/>
          </w:tcPr>
          <w:p>
            <w:pPr>
              <w:jc w:val="center"/>
              <w:ind w:right="3710"/>
              <w:spacing w:after="0"/>
              <w:rPr>
                <w:sz w:val="20"/>
                <w:szCs w:val="20"/>
                <w:color w:val="auto"/>
              </w:rPr>
            </w:pPr>
            <w:r>
              <w:rPr>
                <w:rFonts w:ascii="Arial" w:cs="Arial" w:eastAsia="Arial" w:hAnsi="Arial"/>
                <w:sz w:val="18"/>
                <w:szCs w:val="18"/>
                <w:color w:val="auto"/>
                <w:w w:val="90"/>
              </w:rPr>
              <w:t>Recognized in Income for the</w:t>
            </w:r>
          </w:p>
        </w:tc>
      </w:tr>
      <w:tr>
        <w:trPr>
          <w:trHeight w:val="176"/>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40" w:type="dxa"/>
            <w:vAlign w:val="bottom"/>
            <w:gridSpan w:val="6"/>
          </w:tcPr>
          <w:p>
            <w:pPr>
              <w:jc w:val="center"/>
              <w:ind w:right="3710"/>
              <w:spacing w:after="0" w:line="176" w:lineRule="exact"/>
              <w:rPr>
                <w:sz w:val="20"/>
                <w:szCs w:val="20"/>
                <w:color w:val="auto"/>
              </w:rPr>
            </w:pPr>
            <w:r>
              <w:rPr>
                <w:rFonts w:ascii="Arial" w:cs="Arial" w:eastAsia="Arial" w:hAnsi="Arial"/>
                <w:sz w:val="18"/>
                <w:szCs w:val="18"/>
                <w:color w:val="auto"/>
                <w:w w:val="90"/>
              </w:rPr>
              <w:t>Three Months Ended</w:t>
            </w:r>
          </w:p>
        </w:tc>
      </w:tr>
      <w:tr>
        <w:trPr>
          <w:trHeight w:val="243"/>
        </w:trPr>
        <w:tc>
          <w:tcPr>
            <w:tcW w:w="5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92"/>
              </w:rPr>
              <w:t>March 31,</w:t>
            </w: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Location on Statement of Income</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2022</w:t>
            </w:r>
          </w:p>
        </w:tc>
        <w:tc>
          <w:tcPr>
            <w:tcW w:w="1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there was no material ineffectiveness related to our hedges.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8"/>
          </w:tcPr>
          <w:p>
            <w:pPr>
              <w:spacing w:after="0"/>
              <w:rPr>
                <w:sz w:val="20"/>
                <w:szCs w:val="20"/>
                <w:color w:val="auto"/>
              </w:rPr>
            </w:pPr>
            <w:r>
              <w:rPr>
                <w:rFonts w:ascii="Arial" w:cs="Arial" w:eastAsia="Arial" w:hAnsi="Arial"/>
                <w:sz w:val="18"/>
                <w:szCs w:val="18"/>
                <w:color w:val="auto"/>
                <w:w w:val="97"/>
              </w:rPr>
              <w:t>The following tables present the assets and liabilities recorded at fair value on a recurring basis: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2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0"/>
              </w:rPr>
              <w:t>Basis of Fair Value Measurements</w:t>
            </w:r>
          </w:p>
        </w:tc>
        <w:tc>
          <w:tcPr>
            <w:tcW w:w="1140" w:type="dxa"/>
            <w:vAlign w:val="bottom"/>
            <w:tcBorders>
              <w:bottom w:val="single" w:sz="8" w:color="auto"/>
            </w:tcBorders>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92"/>
              </w:rPr>
              <w:t>March 31,</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1"/>
                <w:szCs w:val="21"/>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Level 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2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0"/>
              </w:rPr>
              <w:t>Basis of Fair Value Measurements</w:t>
            </w:r>
          </w:p>
        </w:tc>
        <w:tc>
          <w:tcPr>
            <w:tcW w:w="114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8"/>
              </w:rPr>
              <w:t>December 31,</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1"/>
                <w:szCs w:val="21"/>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Level 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20" w:type="dxa"/>
            <w:vAlign w:val="bottom"/>
          </w:tcPr>
          <w:p>
            <w:pPr>
              <w:spacing w:after="0"/>
              <w:rPr>
                <w:sz w:val="21"/>
                <w:szCs w:val="21"/>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12.5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r>
        <w:rPr>
          <w:rFonts w:ascii="Arial" w:cs="Arial" w:eastAsia="Arial" w:hAnsi="Arial"/>
          <w:sz w:val="16"/>
          <w:szCs w:val="16"/>
          <w:i w:val="1"/>
          <w:iCs w:val="1"/>
          <w:u w:val="single" w:color="auto"/>
          <w:color w:val="0000FF"/>
        </w:rPr>
        <w:t>Derivative Financial</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Instruments</w:t>
      </w:r>
      <w:r>
        <w:rPr>
          <w:rFonts w:ascii="Arial" w:cs="Arial" w:eastAsia="Arial" w:hAnsi="Arial"/>
          <w:sz w:val="16"/>
          <w:szCs w:val="16"/>
          <w:color w:val="000000"/>
        </w:rPr>
        <w:t>, for further discussion of our derivatives. The fair value of our commodity call options, included within other current and other noncurrent</w:t>
      </w:r>
      <w:r>
        <w:rPr>
          <w:rFonts w:ascii="Arial" w:cs="Arial" w:eastAsia="Arial" w:hAnsi="Arial"/>
          <w:sz w:val="16"/>
          <w:szCs w:val="16"/>
          <w:i w:val="1"/>
          <w:iCs w:val="1"/>
          <w:color w:val="0000FF"/>
        </w:rPr>
        <w:t xml:space="preserve"> </w:t>
      </w:r>
      <w:r>
        <w:rPr>
          <w:rFonts w:ascii="Arial" w:cs="Arial" w:eastAsia="Arial" w:hAnsi="Arial"/>
          <w:sz w:val="16"/>
          <w:szCs w:val="16"/>
          <w:color w:val="000000"/>
        </w:rPr>
        <w:t>assets, is valued using a market approach. The fair value of the contingent consideration liability, within current and long-term liabilities, related to the SmartDose</w:t>
      </w:r>
      <w:r>
        <w:rPr>
          <w:rFonts w:ascii="Arial" w:cs="Arial" w:eastAsia="Arial" w:hAnsi="Arial"/>
          <w:sz w:val="20"/>
          <w:szCs w:val="20"/>
          <w:color w:val="000000"/>
          <w:vertAlign w:val="superscript"/>
        </w:rPr>
        <w:t>®</w:t>
      </w:r>
      <w:r>
        <w:rPr>
          <w:rFonts w:ascii="Arial" w:cs="Arial" w:eastAsia="Arial" w:hAnsi="Arial"/>
          <w:sz w:val="16"/>
          <w:szCs w:val="16"/>
          <w:color w:val="000000"/>
        </w:rPr>
        <w:t xml:space="preserve"> technology platform (the “SmartDose</w:t>
      </w:r>
      <w:r>
        <w:rPr>
          <w:rFonts w:ascii="Arial" w:cs="Arial" w:eastAsia="Arial" w:hAnsi="Arial"/>
          <w:sz w:val="20"/>
          <w:szCs w:val="20"/>
          <w:color w:val="000000"/>
          <w:vertAlign w:val="superscript"/>
        </w:rPr>
        <w:t>®</w:t>
      </w:r>
      <w:r>
        <w:rPr>
          <w:rFonts w:ascii="Arial" w:cs="Arial" w:eastAsia="Arial" w:hAnsi="Arial"/>
          <w:sz w:val="16"/>
          <w:szCs w:val="16"/>
          <w:color w:val="000000"/>
        </w:rPr>
        <w:t xml:space="preserv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197"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March 31, 2023, the estimated fair value of long-term debt was $201.2 million compared to a carrying amount of $206.1 million. At December 31, 2022, the estimated fair value of long-term debt was $201.8 million and the carrying amount was $206.7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three months ended March 31, 2023:</w:t>
      </w: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4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0"/>
              </w:rPr>
              <w:t>(Losses) gains on</w:t>
            </w:r>
          </w:p>
        </w:tc>
        <w:tc>
          <w:tcPr>
            <w:tcW w:w="180" w:type="dxa"/>
            <w:vAlign w:val="bottom"/>
          </w:tcPr>
          <w:p>
            <w:pPr>
              <w:spacing w:after="0"/>
              <w:rPr>
                <w:sz w:val="16"/>
                <w:szCs w:val="16"/>
                <w:color w:val="auto"/>
              </w:rPr>
            </w:pPr>
          </w:p>
        </w:tc>
        <w:tc>
          <w:tcPr>
            <w:tcW w:w="1800" w:type="dxa"/>
            <w:vAlign w:val="bottom"/>
            <w:gridSpan w:val="2"/>
          </w:tcPr>
          <w:p>
            <w:pPr>
              <w:jc w:val="center"/>
              <w:ind w:right="300"/>
              <w:spacing w:after="0" w:line="186" w:lineRule="exact"/>
              <w:rPr>
                <w:sz w:val="20"/>
                <w:szCs w:val="20"/>
                <w:color w:val="auto"/>
              </w:rPr>
            </w:pPr>
            <w:r>
              <w:rPr>
                <w:rFonts w:ascii="Arial" w:cs="Arial" w:eastAsia="Arial" w:hAnsi="Arial"/>
                <w:sz w:val="18"/>
                <w:szCs w:val="18"/>
                <w:color w:val="auto"/>
                <w:w w:val="90"/>
              </w:rPr>
              <w:t>Change in equity</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line="186" w:lineRule="exact"/>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6"/>
                <w:szCs w:val="16"/>
                <w:color w:val="auto"/>
              </w:rPr>
            </w:pPr>
          </w:p>
        </w:tc>
        <w:tc>
          <w:tcPr>
            <w:tcW w:w="1180" w:type="dxa"/>
            <w:vAlign w:val="bottom"/>
            <w:gridSpan w:val="2"/>
          </w:tcPr>
          <w:p>
            <w:pPr>
              <w:jc w:val="center"/>
              <w:ind w:right="340"/>
              <w:spacing w:after="0" w:line="186" w:lineRule="exact"/>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AOCI</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155"/>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Amounts reclassified out from</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89"/>
              </w:rPr>
              <w:t>accumulated other comprehensive income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55"/>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w w:val="95"/>
              </w:rPr>
              <w:t>Other comprehensive income (loss), net</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components of accumulated other comprehensive income ("AOCI") (loss), net of tax, for the three months</w:t>
      </w:r>
    </w:p>
    <w:p>
      <w:pPr>
        <w:sectPr>
          <w:pgSz w:w="11900" w:h="16838" w:orient="portrait"/>
          <w:cols w:equalWidth="0" w:num="1">
            <w:col w:w="11240"/>
          </w:cols>
          <w:pgMar w:left="320" w:top="130" w:right="3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ended March 31, 2022:</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23" w:lineRule="exact"/>
        <w:rPr>
          <w:sz w:val="20"/>
          <w:szCs w:val="20"/>
          <w:color w:val="auto"/>
        </w:rPr>
      </w:pPr>
    </w:p>
    <w:p>
      <w:pPr>
        <w:ind w:left="100" w:right="320"/>
        <w:spacing w:after="0" w:line="234" w:lineRule="auto"/>
        <w:rPr>
          <w:sz w:val="20"/>
          <w:szCs w:val="20"/>
          <w:color w:val="auto"/>
        </w:rPr>
      </w:pPr>
      <w:r>
        <w:rPr>
          <w:rFonts w:ascii="Arial" w:cs="Arial" w:eastAsia="Arial" w:hAnsi="Arial"/>
          <w:sz w:val="18"/>
          <w:szCs w:val="18"/>
          <w:color w:val="auto"/>
        </w:rPr>
        <w:t>Other comprehensive (loss) income before reclassifications</w:t>
      </w:r>
    </w:p>
    <w:p>
      <w:pPr>
        <w:spacing w:after="0" w:line="14" w:lineRule="exact"/>
        <w:rPr>
          <w:sz w:val="20"/>
          <w:szCs w:val="20"/>
          <w:color w:val="auto"/>
        </w:rPr>
      </w:pPr>
    </w:p>
    <w:p>
      <w:pPr>
        <w:ind w:left="100"/>
        <w:spacing w:after="0" w:line="224" w:lineRule="auto"/>
        <w:rPr>
          <w:sz w:val="20"/>
          <w:szCs w:val="20"/>
          <w:color w:val="auto"/>
        </w:rPr>
      </w:pPr>
      <w:r>
        <w:rPr>
          <w:rFonts w:ascii="Arial" w:cs="Arial" w:eastAsia="Arial" w:hAnsi="Arial"/>
          <w:sz w:val="18"/>
          <w:szCs w:val="18"/>
          <w:color w:val="auto"/>
        </w:rPr>
        <w:t>Amounts reclassified out from accumulated other comprehensive (loss) income</w:t>
      </w:r>
    </w:p>
    <w:p>
      <w:pPr>
        <w:spacing w:after="0" w:line="14" w:lineRule="exact"/>
        <w:rPr>
          <w:sz w:val="20"/>
          <w:szCs w:val="20"/>
          <w:color w:val="auto"/>
        </w:rPr>
      </w:pPr>
    </w:p>
    <w:p>
      <w:pPr>
        <w:ind w:left="100" w:right="20"/>
        <w:spacing w:after="0" w:line="235" w:lineRule="auto"/>
        <w:rPr>
          <w:sz w:val="20"/>
          <w:szCs w:val="20"/>
          <w:color w:val="auto"/>
        </w:rPr>
      </w:pPr>
      <w:r>
        <w:rPr>
          <w:rFonts w:ascii="Arial" w:cs="Arial" w:eastAsia="Arial" w:hAnsi="Arial"/>
          <w:sz w:val="18"/>
          <w:szCs w:val="18"/>
          <w:color w:val="auto"/>
        </w:rPr>
        <w:t>Other comprehensive (loss) income, net of tax</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March 31, 2022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0"/>
              </w:rPr>
              <w:t>(Losses) gains on</w:t>
            </w: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Change in equity</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AOCI</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399"/>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594"/>
        </w:trPr>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99"/>
        </w:trPr>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-1250950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-830580</wp:posOffset>
            </wp:positionV>
            <wp:extent cx="713232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 in millions)</w:t>
            </w:r>
          </w:p>
        </w:tc>
        <w:tc>
          <w:tcPr>
            <w:tcW w:w="8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7"/>
              </w:rPr>
              <w:t>March 31,</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40" w:type="dxa"/>
            <w:vAlign w:val="bottom"/>
            <w:gridSpan w:val="2"/>
          </w:tcPr>
          <w:p>
            <w:pPr>
              <w:ind w:left="1880"/>
              <w:spacing w:after="0"/>
              <w:rPr>
                <w:sz w:val="20"/>
                <w:szCs w:val="20"/>
                <w:color w:val="auto"/>
              </w:rPr>
            </w:pPr>
            <w:r>
              <w:rPr>
                <w:rFonts w:ascii="Arial" w:cs="Arial" w:eastAsia="Arial" w:hAnsi="Arial"/>
                <w:sz w:val="18"/>
                <w:szCs w:val="18"/>
                <w:color w:val="auto"/>
              </w:rPr>
              <w:t>Detail of components</w:t>
            </w:r>
          </w:p>
        </w:tc>
        <w:tc>
          <w:tcPr>
            <w:tcW w:w="820" w:type="dxa"/>
            <w:vAlign w:val="bottom"/>
          </w:tcPr>
          <w:p>
            <w:pPr>
              <w:jc w:val="right"/>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Location on Statement of Income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(Losses) gains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(0.7)</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(0.5)</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Forward treasury locks</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(0.1)</w:t>
            </w:r>
          </w:p>
        </w:tc>
        <w:tc>
          <w:tcPr>
            <w:tcW w:w="1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benefit</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w w:val="95"/>
              </w:rPr>
              <w:t>Amortization of defined benefit pension and other postretirement plans: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Actuarial gains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Settlements</w:t>
            </w:r>
          </w:p>
        </w:tc>
        <w:tc>
          <w:tcPr>
            <w:tcW w:w="8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(0.6)</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8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(0.6)</w:t>
            </w:r>
          </w:p>
        </w:tc>
        <w:tc>
          <w:tcPr>
            <w:tcW w:w="120" w:type="dxa"/>
            <w:vAlign w:val="bottom"/>
            <w:tcBorders>
              <w:top w:val="single" w:sz="8" w:color="CCEEFF"/>
            </w:tcBorders>
            <w:shd w:val="clear" w:color="auto" w:fill="CCEEFF"/>
          </w:tcPr>
          <w:p>
            <w:pPr>
              <w:spacing w:after="0"/>
              <w:rPr>
                <w:sz w:val="19"/>
                <w:szCs w:val="19"/>
                <w:color w:val="auto"/>
              </w:rPr>
            </w:pPr>
          </w:p>
        </w:tc>
        <w:tc>
          <w:tcPr>
            <w:tcW w:w="3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(expense) benefit</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(0.5)</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(0.8)</w:t>
            </w: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These components are included in the computation of net periodic benefit cost. Please refer to Note 14, </w:t>
      </w:r>
      <w:r>
        <w:rPr>
          <w:rFonts w:ascii="Arial" w:cs="Arial" w:eastAsia="Arial" w:hAnsi="Arial"/>
          <w:sz w:val="17"/>
          <w:szCs w:val="17"/>
          <w:i w:val="1"/>
          <w:iCs w:val="1"/>
          <w:u w:val="single" w:color="auto"/>
          <w:color w:val="0000FF"/>
        </w:rPr>
        <w:t>Benefit Plans</w:t>
      </w:r>
      <w:r>
        <w:rPr>
          <w:rFonts w:ascii="Arial" w:cs="Arial" w:eastAsia="Arial" w:hAnsi="Arial"/>
          <w:sz w:val="17"/>
          <w:szCs w:val="17"/>
          <w:color w:val="auto"/>
        </w:rPr>
        <w:t>, for additional details.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14"/>
          </w:tcPr>
          <w:p>
            <w:pPr>
              <w:spacing w:after="0"/>
              <w:rPr>
                <w:sz w:val="20"/>
                <w:szCs w:val="20"/>
                <w:color w:val="auto"/>
              </w:rPr>
            </w:pPr>
            <w:r>
              <w:rPr>
                <w:rFonts w:ascii="Arial" w:cs="Arial" w:eastAsia="Arial" w:hAnsi="Arial"/>
                <w:sz w:val="18"/>
                <w:szCs w:val="18"/>
                <w:color w:val="auto"/>
                <w:w w:val="96"/>
              </w:rPr>
              <w:t>The following table presents the changes in shareholders’ equity for the three months ended March 31, 2023: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2"/>
              </w:rPr>
              <w:t>other</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8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84"/>
              </w:rPr>
              <w:t>Shares</w:t>
            </w:r>
          </w:p>
        </w:tc>
        <w:tc>
          <w:tcPr>
            <w:tcW w:w="860" w:type="dxa"/>
            <w:vAlign w:val="bottom"/>
            <w:gridSpan w:val="3"/>
          </w:tcPr>
          <w:p>
            <w:pPr>
              <w:jc w:val="center"/>
              <w:ind w:right="100"/>
              <w:spacing w:after="0" w:line="189" w:lineRule="exact"/>
              <w:rPr>
                <w:sz w:val="20"/>
                <w:szCs w:val="20"/>
                <w:color w:val="auto"/>
              </w:rPr>
            </w:pPr>
            <w:r>
              <w:rPr>
                <w:rFonts w:ascii="Arial" w:cs="Arial" w:eastAsia="Arial" w:hAnsi="Arial"/>
                <w:sz w:val="18"/>
                <w:szCs w:val="18"/>
                <w:color w:val="auto"/>
                <w:w w:val="93"/>
              </w:rPr>
              <w:t>Common</w:t>
            </w:r>
          </w:p>
        </w:tc>
        <w:tc>
          <w:tcPr>
            <w:tcW w:w="100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0"/>
              </w:rPr>
              <w:t>Treasury</w:t>
            </w:r>
          </w:p>
        </w:tc>
        <w:tc>
          <w:tcPr>
            <w:tcW w:w="860" w:type="dxa"/>
            <w:vAlign w:val="bottom"/>
            <w:gridSpan w:val="3"/>
          </w:tcPr>
          <w:p>
            <w:pPr>
              <w:jc w:val="center"/>
              <w:ind w:right="100"/>
              <w:spacing w:after="0" w:line="189" w:lineRule="exact"/>
              <w:rPr>
                <w:sz w:val="20"/>
                <w:szCs w:val="20"/>
                <w:color w:val="auto"/>
              </w:rPr>
            </w:pPr>
            <w:r>
              <w:rPr>
                <w:rFonts w:ascii="Arial" w:cs="Arial" w:eastAsia="Arial" w:hAnsi="Arial"/>
                <w:sz w:val="18"/>
                <w:szCs w:val="18"/>
                <w:color w:val="auto"/>
                <w:w w:val="90"/>
              </w:rPr>
              <w:t>Treasury</w:t>
            </w:r>
          </w:p>
        </w:tc>
        <w:tc>
          <w:tcPr>
            <w:tcW w:w="88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Retained</w:t>
            </w:r>
          </w:p>
        </w:tc>
        <w:tc>
          <w:tcPr>
            <w:tcW w:w="1280" w:type="dxa"/>
            <w:vAlign w:val="bottom"/>
            <w:gridSpan w:val="3"/>
          </w:tcPr>
          <w:p>
            <w:pPr>
              <w:jc w:val="center"/>
              <w:ind w:right="100"/>
              <w:spacing w:after="0" w:line="189" w:lineRule="exact"/>
              <w:rPr>
                <w:sz w:val="20"/>
                <w:szCs w:val="20"/>
                <w:color w:val="auto"/>
              </w:rPr>
            </w:pPr>
            <w:r>
              <w:rPr>
                <w:rFonts w:ascii="Arial" w:cs="Arial" w:eastAsia="Arial" w:hAnsi="Arial"/>
                <w:sz w:val="18"/>
                <w:szCs w:val="18"/>
                <w:color w:val="auto"/>
                <w:w w:val="90"/>
              </w:rPr>
              <w:t>comprehensive</w:t>
            </w:r>
          </w:p>
        </w:tc>
        <w:tc>
          <w:tcPr>
            <w:tcW w:w="720" w:type="dxa"/>
            <w:vAlign w:val="bottom"/>
            <w:vMerge w:val="restart"/>
          </w:tcPr>
          <w:p>
            <w:pPr>
              <w:jc w:val="right"/>
              <w:ind w:right="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820" w:type="dxa"/>
            <w:vAlign w:val="bottom"/>
            <w:vMerge w:val="continue"/>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loss</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$ 2,987.8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$2,684.9</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Activity related to stock-based compensation</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w w:val="91"/>
              </w:rPr>
              <w:t>Shares purchased under share repurchase program</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($0.19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$ 3,113.6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$2,776.2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three months ended March 31,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Treasury</w:t>
            </w: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92"/>
              </w:rPr>
              <w:t>other</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4"/>
              </w:rPr>
              <w:t>Shares</w:t>
            </w:r>
          </w:p>
        </w:tc>
        <w:tc>
          <w:tcPr>
            <w:tcW w:w="860" w:type="dxa"/>
            <w:vAlign w:val="bottom"/>
            <w:gridSpan w:val="3"/>
            <w:vMerge w:val="continue"/>
          </w:tcPr>
          <w:p>
            <w:pPr>
              <w:spacing w:after="0"/>
              <w:rPr>
                <w:sz w:val="15"/>
                <w:szCs w:val="15"/>
                <w:color w:val="auto"/>
              </w:rPr>
            </w:pPr>
          </w:p>
        </w:tc>
        <w:tc>
          <w:tcPr>
            <w:tcW w:w="10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8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90"/>
              </w:rPr>
              <w:t>comprehensive</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21"/>
                <w:szCs w:val="2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21"/>
                <w:szCs w:val="2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loss</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$ 2,456.7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$2,335.4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Activity related to stock-based compensation</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w w:val="91"/>
              </w:rPr>
              <w:t>Shares purchased under share repurchase program</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($0.18 per share)</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$ 2,617.3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$2,326.2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March 31, 2023, there were 1,444,472 shares remaining in the 2016 Plan for future grants.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March 31, 2023, we granted 105,244 stock options at a weighted average exercise price of $306.68 per share based on the grant-date fair value of our stock to employees under the 2016 Plan. The weighted average grant date fair value of options granted was $108.80 per share as determined by the Black-Scholes option valuation model using the following weighted average assumptions: a risk-free interest rate of 4.1%; expected life of 5.7 years based on prior experience; stock volatility of 29.8% based on historical data; and a dividend yield of 0.3%. Stock option expense is recognized over the vesting period, net of forfeitures.</w:t>
      </w:r>
    </w:p>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the three months ended March 31, 2023, we granted 37,397 stock-settled performance share unit ("PSU") awards at a weighted average grant-date fair value of $306.68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numbers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9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During the three months ended March 31, 2023, we granted 4,284 stock-settled restricted share unit (“RSU”) awards at a weighted average grant-date fair value of $306.68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$8.5 million and $5.5 million for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Note 14: Benefit Plans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480" w:type="dxa"/>
            <w:vAlign w:val="bottom"/>
            <w:gridSpan w:val="10"/>
          </w:tcPr>
          <w:p>
            <w:pPr>
              <w:spacing w:after="0"/>
              <w:rPr>
                <w:sz w:val="20"/>
                <w:szCs w:val="20"/>
                <w:color w:val="auto"/>
              </w:rPr>
            </w:pPr>
            <w:r>
              <w:rPr>
                <w:rFonts w:ascii="Arial" w:cs="Arial" w:eastAsia="Arial" w:hAnsi="Arial"/>
                <w:sz w:val="18"/>
                <w:szCs w:val="18"/>
                <w:color w:val="auto"/>
                <w:w w:val="95"/>
              </w:rPr>
              <w:t>The components of net periodic benefit cost for the three months ended March 31 were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3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2"/>
                <w:szCs w:val="22"/>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95"/>
              </w:rPr>
              <w:t>0.8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45"/>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1"/>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430"/>
              <w:spacing w:after="0"/>
              <w:rPr>
                <w:sz w:val="20"/>
                <w:szCs w:val="20"/>
                <w:color w:val="auto"/>
              </w:rPr>
            </w:pPr>
            <w:r>
              <w:rPr>
                <w:rFonts w:ascii="Arial" w:cs="Arial" w:eastAsia="Arial" w:hAnsi="Arial"/>
                <w:sz w:val="18"/>
                <w:szCs w:val="18"/>
                <w:color w:val="auto"/>
                <w:w w:val="95"/>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5"/>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months ended March 31, 2022, we recorded a pension settlement charge of $0.6 million within other nonoperating expense (income), as we determined that normal-course lump-sum payments for our U.S. qualified defined benefit pension plan exceeded the threshold for settlement accounting under U.S. GAAP for the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Note 15: Other Expense (Income)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Other expense (income) consists of:</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Three Months Ended</w:t>
            </w:r>
          </w:p>
        </w:tc>
      </w:tr>
      <w:tr>
        <w:trPr>
          <w:trHeight w:val="237"/>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Borders>
              <w:bottom w:val="single" w:sz="8" w:color="auto"/>
            </w:tcBorders>
          </w:tcPr>
          <w:p>
            <w:pPr>
              <w:spacing w:after="0"/>
              <w:rPr>
                <w:sz w:val="20"/>
                <w:szCs w:val="20"/>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Loss (gain) on oil hedges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Foreign exchange transaction losses (gains)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2022, the Company approved a restructuring plan to adjust our operating cost base to better respond to the macroeconomic factors influencing our business. These changes are expected to be implemented over a period of up to twelve months from the date of approval. The plan is expected to require restructuring and related charges of approximately $25 million to $27 million, with annualized savings in the range of $22.0 million to $24.0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5"/>
          </w:tcPr>
          <w:p>
            <w:pPr>
              <w:spacing w:after="0"/>
              <w:rPr>
                <w:sz w:val="20"/>
                <w:szCs w:val="20"/>
                <w:color w:val="auto"/>
              </w:rPr>
            </w:pPr>
            <w:r>
              <w:rPr>
                <w:rFonts w:ascii="Arial" w:cs="Arial" w:eastAsia="Arial" w:hAnsi="Arial"/>
                <w:sz w:val="18"/>
                <w:szCs w:val="18"/>
                <w:color w:val="auto"/>
                <w:w w:val="97"/>
              </w:rPr>
              <w:t>The following table presents activity related to our restructuring obligations related to our 2022 restructuring plan: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2"/>
        </w:trPr>
        <w:tc>
          <w:tcPr>
            <w:tcW w:w="4480" w:type="dxa"/>
            <w:vAlign w:val="bottom"/>
          </w:tcPr>
          <w:p>
            <w:pPr>
              <w:spacing w:after="0"/>
              <w:rPr>
                <w:sz w:val="17"/>
                <w:szCs w:val="17"/>
                <w:color w:val="auto"/>
              </w:rPr>
            </w:pPr>
          </w:p>
        </w:tc>
        <w:tc>
          <w:tcPr>
            <w:tcW w:w="17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Severance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and benefits</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Asset-related charges</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Total</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70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Charges</w:t>
            </w:r>
          </w:p>
        </w:tc>
        <w:tc>
          <w:tcPr>
            <w:tcW w:w="17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Balance, March 31, 2023</w:t>
            </w:r>
          </w:p>
        </w:tc>
        <w:tc>
          <w:tcPr>
            <w:tcW w:w="170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ind w:right="17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15.3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1"/>
        </w:trPr>
        <w:tc>
          <w:tcPr>
            <w:tcW w:w="44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256"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During the three months ended March 31, 2023, in preparation for the sale of one of the Company’s manufacturing facilities within the Proprietary Products segment, the Company recorded an impairment expense of $9.4 million within other expense (income) and a corresponding reduction to the disposal group net assets to its fair value less cost to sell. The transaction is expected to close during the second quarter of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1" w:lineRule="exact"/>
        <w:rPr>
          <w:sz w:val="20"/>
          <w:szCs w:val="20"/>
          <w:color w:val="auto"/>
        </w:rPr>
      </w:pPr>
    </w:p>
    <w:p>
      <w:pPr>
        <w:ind w:right="1040"/>
        <w:spacing w:after="0" w:line="229" w:lineRule="auto"/>
        <w:rPr>
          <w:sz w:val="20"/>
          <w:szCs w:val="20"/>
          <w:color w:val="auto"/>
        </w:rPr>
      </w:pPr>
      <w:r>
        <w:rPr>
          <w:rFonts w:ascii="Arial" w:cs="Arial" w:eastAsia="Arial" w:hAnsi="Arial"/>
          <w:sz w:val="18"/>
          <w:szCs w:val="18"/>
          <w:color w:val="auto"/>
        </w:rPr>
        <w:t>Contingent consideration represents changes in the fair value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contingent consideration. Please refer to Note 10, </w:t>
      </w:r>
      <w:r>
        <w:rPr>
          <w:rFonts w:ascii="Arial" w:cs="Arial" w:eastAsia="Arial" w:hAnsi="Arial"/>
          <w:sz w:val="18"/>
          <w:szCs w:val="18"/>
          <w:i w:val="1"/>
          <w:iCs w:val="1"/>
          <w:u w:val="single" w:color="auto"/>
          <w:color w:val="0000FF"/>
        </w:rPr>
        <w:t>Fair Value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Hedges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2023 and 2022, we recorded a loss of $0.6 million and a gain of $2.8 million, respectively, related to oil hedges.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Note 9, </w:t>
      </w:r>
      <w:r>
        <w:rPr>
          <w:rFonts w:ascii="Arial" w:cs="Arial" w:eastAsia="Arial" w:hAnsi="Arial"/>
          <w:sz w:val="18"/>
          <w:szCs w:val="18"/>
          <w:i w:val="1"/>
          <w:iCs w:val="1"/>
          <w:u w:val="single" w:color="auto"/>
          <w:color w:val="0000FF"/>
        </w:rPr>
        <w:t>Derivative Financial Instruments</w:t>
      </w:r>
      <w:r>
        <w:rPr>
          <w:rFonts w:ascii="Arial" w:cs="Arial" w:eastAsia="Arial" w:hAnsi="Arial"/>
          <w:sz w:val="18"/>
          <w:szCs w:val="18"/>
          <w:color w:val="auto"/>
        </w:rPr>
        <w:t>, for further discussion of our hedging activity.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provision for income taxes was $23.6 million and $21.2 million for the three months ended March 31, 2023 and 2022, respectively, and the effective tax rate was 14.9% and 11.3%, respectively. During the three months ended March 31, 2023 and 2022, we recorded a tax benefit of $11.6 million and $8.9 million, respectively, associated with stock-based compensation. The increase in the effective tax rate is primarily due to a shift in the geographic earnings mix and a $5.9 million tax benefit recorded as a result of a state tax valuation allowance reversal in the three months ended March 31, 2022 that was not repeated in 2023. This was offset by an increase in the tax benefit related to stock-based compensation for the three months ended March 31, 2023, as compared to the same period in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16">
        <w:r>
          <w:rPr>
            <w:rFonts w:ascii="Arial" w:cs="Arial" w:eastAsia="Arial" w:hAnsi="Arial"/>
            <w:sz w:val="18"/>
            <w:szCs w:val="18"/>
            <w:u w:val="single" w:color="auto"/>
            <w:color w:val="0000FF"/>
          </w:rPr>
          <w:t>2022 Annual Report</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reportable segments, reconciled to consolidated totals: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20" w:type="dxa"/>
            <w:vAlign w:val="bottom"/>
            <w:gridSpan w:val="3"/>
          </w:tcPr>
          <w:p>
            <w:pPr>
              <w:jc w:val="right"/>
              <w:ind w:right="10"/>
              <w:spacing w:after="0"/>
              <w:rPr>
                <w:sz w:val="20"/>
                <w:szCs w:val="20"/>
                <w:color w:val="auto"/>
              </w:rPr>
            </w:pPr>
            <w:r>
              <w:rPr>
                <w:rFonts w:ascii="Arial" w:cs="Arial" w:eastAsia="Arial" w:hAnsi="Arial"/>
                <w:sz w:val="18"/>
                <w:szCs w:val="18"/>
                <w:color w:val="auto"/>
              </w:rPr>
              <w:t>Three Months Ended</w:t>
            </w:r>
          </w:p>
        </w:tc>
        <w:tc>
          <w:tcPr>
            <w:tcW w:w="1420" w:type="dxa"/>
            <w:vAlign w:val="bottom"/>
          </w:tcPr>
          <w:p>
            <w:pPr>
              <w:spacing w:after="0"/>
              <w:rPr>
                <w:sz w:val="17"/>
                <w:szCs w:val="17"/>
                <w:color w:val="auto"/>
              </w:rPr>
            </w:pPr>
          </w:p>
        </w:tc>
      </w:tr>
      <w:tr>
        <w:trPr>
          <w:trHeight w:val="237"/>
        </w:trPr>
        <w:tc>
          <w:tcPr>
            <w:tcW w:w="66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March 31,</w:t>
            </w:r>
          </w:p>
        </w:tc>
        <w:tc>
          <w:tcPr>
            <w:tcW w:w="1420" w:type="dxa"/>
            <w:vAlign w:val="bottom"/>
            <w:tcBorders>
              <w:bottom w:val="single" w:sz="8" w:color="auto"/>
            </w:tcBorders>
          </w:tcPr>
          <w:p>
            <w:pPr>
              <w:spacing w:after="0"/>
              <w:rPr>
                <w:sz w:val="20"/>
                <w:szCs w:val="20"/>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2022</w:t>
            </w: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Proprietary Products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583.1</w:t>
            </w:r>
          </w:p>
        </w:tc>
        <w:tc>
          <w:tcPr>
            <w:tcW w:w="10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601.3</w:t>
            </w:r>
          </w:p>
        </w:tc>
      </w:tr>
      <w:tr>
        <w:trPr>
          <w:trHeight w:val="229"/>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Contract-Manufactured Products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Intersegment sales elimination</w:t>
            </w:r>
          </w:p>
        </w:tc>
        <w:tc>
          <w:tcPr>
            <w:tcW w:w="52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The following table provides summarized financial information for our segments: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3"/>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Three Months Ended</w:t>
            </w:r>
          </w:p>
        </w:tc>
      </w:tr>
      <w:tr>
        <w:trPr>
          <w:trHeight w:val="237"/>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Borders>
              <w:bottom w:val="single" w:sz="8" w:color="auto"/>
            </w:tcBorders>
          </w:tcPr>
          <w:p>
            <w:pPr>
              <w:spacing w:after="0"/>
              <w:rPr>
                <w:sz w:val="20"/>
                <w:szCs w:val="20"/>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business segment operating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Corporate and Unallocated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Corporate general costs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Items: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Asset impairment for planned sale of plant </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Corporate and Unallocated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consolidated operating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before income taxes and equity in net income of affiliated companies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97" w:lineRule="exact"/>
        <w:rPr>
          <w:rFonts w:ascii="Arial" w:cs="Arial" w:eastAsia="Arial" w:hAnsi="Arial"/>
          <w:sz w:val="18"/>
          <w:szCs w:val="18"/>
          <w:color w:val="auto"/>
        </w:rPr>
      </w:pPr>
    </w:p>
    <w:p>
      <w:pPr>
        <w:ind w:right="420" w:firstLine="8"/>
        <w:spacing w:after="0" w:line="31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three months ended March 31, 2023, in preparation for the sale of one of the Company’s manufacturing facilities within the Proprietary Products segment, the Company recorded an impairment expense of $9.4 million within other expense (income) and a corresponding reduction to the disposal group net assets to its fair value less cost to sell. The transaction is expected to close during the second quarter of 2023.</w:t>
      </w:r>
    </w:p>
    <w:p>
      <w:pPr>
        <w:spacing w:after="0" w:line="175" w:lineRule="exact"/>
        <w:rPr>
          <w:rFonts w:ascii="Arial" w:cs="Arial" w:eastAsia="Arial" w:hAnsi="Arial"/>
          <w:sz w:val="16"/>
          <w:szCs w:val="16"/>
          <w:color w:val="auto"/>
        </w:rPr>
      </w:pPr>
    </w:p>
    <w:p>
      <w:pPr>
        <w:ind w:right="14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ended March 31, 2023 and 2022, we recorded $0.2 million of amortization expense within operating profit associated with an intangible asset acquired during the second quarter of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Note 15, </w:t>
      </w:r>
      <w:r>
        <w:rPr>
          <w:rFonts w:ascii="Arial" w:cs="Arial" w:eastAsia="Arial" w:hAnsi="Arial"/>
          <w:sz w:val="18"/>
          <w:szCs w:val="18"/>
          <w:i w:val="1"/>
          <w:iCs w:val="1"/>
          <w:u w:val="single" w:color="auto"/>
          <w:color w:val="0000FF"/>
        </w:rPr>
        <w:t>Other Expense (Income)</w:t>
      </w:r>
      <w:r>
        <w:rPr>
          <w:rFonts w:ascii="Arial" w:cs="Arial" w:eastAsia="Arial" w:hAnsi="Arial"/>
          <w:sz w:val="18"/>
          <w:szCs w:val="18"/>
          <w:color w:val="auto"/>
        </w:rPr>
        <w:t>, for further discussion of certain unallocated items referenced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2022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2022 Annual Report and in Part II, Item 1A of this Form 10-Q.</w:t>
      </w:r>
    </w:p>
    <w:p>
      <w:pPr>
        <w:spacing w:after="0" w:line="22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0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Factors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Through the three months ended March 31, 2023, the war between Russia and Ukraine has not had a material impact on the Company’s business, financial condition or results of operations as we do not have manufacturing operations or significant commercial relationships in either country. However, the continuation of the Russia-Ukraine military conflict and/or an escalation of the conflict beyond its current scope may further weaken the global economy and could result in additional inflationary pressures and supply chain constraints, including the unavailability and cost of energy.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During three months ended March 31, 2023 we continued to experience high costs for raw materials in both domestic and international markets.</w:t>
      </w:r>
    </w:p>
    <w:p>
      <w:pPr>
        <w:spacing w:after="0" w:line="2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Due to the uncertainty that exists relative to the duration and overall impact of the macroeconomic factors discussed above, our future operating performance, particularly in the short-term, may be subject to volatility. The impacts of macroeconomic conditions on our business, results of operations, financial condition and cash flows are dependent on certain factors, including those discussed in Item 1A. </w:t>
      </w:r>
      <w:r>
        <w:rPr>
          <w:rFonts w:ascii="Arial" w:cs="Arial" w:eastAsia="Arial" w:hAnsi="Arial"/>
          <w:sz w:val="18"/>
          <w:szCs w:val="18"/>
          <w:i w:val="1"/>
          <w:iCs w:val="1"/>
          <w:u w:val="single" w:color="auto"/>
          <w:color w:val="0000FF"/>
        </w:rPr>
        <w:t>Risk Factors</w:t>
      </w:r>
      <w:r>
        <w:rPr>
          <w:rFonts w:ascii="Arial" w:cs="Arial" w:eastAsia="Arial" w:hAnsi="Arial"/>
          <w:sz w:val="18"/>
          <w:szCs w:val="18"/>
          <w:color w:val="auto"/>
        </w:rPr>
        <w:t xml:space="preserve"> and the risk factors described in Part I, Item 1A of our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2023 Financial Performance Summary</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gridSpan w:val="7"/>
          </w:tcPr>
          <w:p>
            <w:pPr>
              <w:spacing w:after="0"/>
              <w:rPr>
                <w:sz w:val="20"/>
                <w:szCs w:val="20"/>
                <w:color w:val="auto"/>
              </w:rPr>
            </w:pPr>
            <w:r>
              <w:rPr>
                <w:rFonts w:ascii="Arial" w:cs="Arial" w:eastAsia="Arial" w:hAnsi="Arial"/>
                <w:sz w:val="18"/>
                <w:szCs w:val="18"/>
                <w:color w:val="auto"/>
                <w:w w:val="99"/>
              </w:rPr>
              <w:t>The following tables present a reconciliation from U.S. GAAP to non-U.S. GAAP financial measures: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Quarter ended March 31, 2023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for planned sale of plant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56"/>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Quarter ended March 31, 2023 adjusted amounts (non-U.S.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2023, we recorded a tax benefit of $11.6 million associated with stock-based compensation.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Quarter ended March 31, 2022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55"/>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Quarter ended March 31, 2022 adjusted amounts (non-U.S.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2022, we recorded a tax benefit of $8.9 million associated with stock-based compensation.</w:t>
      </w:r>
    </w:p>
    <w:p>
      <w:pPr>
        <w:spacing w:after="0" w:line="252" w:lineRule="exact"/>
        <w:rPr>
          <w:sz w:val="20"/>
          <w:szCs w:val="20"/>
          <w:color w:val="auto"/>
        </w:rPr>
      </w:pPr>
    </w:p>
    <w:p>
      <w:pPr>
        <w:ind w:left="660" w:hanging="328"/>
        <w:spacing w:after="0" w:line="311" w:lineRule="auto"/>
        <w:tabs>
          <w:tab w:leader="none" w:pos="654"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three months ended March 31, 2023, in preparation for the sale of one of the Company’s manufacturing facilities within the Proprietary Products segment, the Company recorded an impairment expense of $9.4 million within other expense (income) and a corresponding reduction to the disposal group net assets to its fair value less cost to sell. The transaction is expected to close during the second quarter of 2023.</w:t>
      </w:r>
    </w:p>
    <w:p>
      <w:pPr>
        <w:spacing w:after="0" w:line="175" w:lineRule="exact"/>
        <w:rPr>
          <w:rFonts w:ascii="Arial" w:cs="Arial" w:eastAsia="Arial" w:hAnsi="Arial"/>
          <w:sz w:val="16"/>
          <w:szCs w:val="16"/>
          <w:color w:val="auto"/>
        </w:rPr>
      </w:pPr>
    </w:p>
    <w:p>
      <w:pPr>
        <w:ind w:left="660" w:right="340" w:hanging="328"/>
        <w:spacing w:after="0" w:line="311" w:lineRule="auto"/>
        <w:tabs>
          <w:tab w:leader="none" w:pos="654"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three months ended March 31, 2023 and 2022, the Company recorded $0.2 million of amortization expense within operating profit associated with an intangible asset acquired during the second quarter of 2020. During the three months ended March 31, 2023 and 2022, the Company recorded $0.5 million of amortization expense in association with an acquisition of increased ownership interest in Daikyo.</w:t>
      </w:r>
    </w:p>
    <w:p>
      <w:pPr>
        <w:spacing w:after="0" w:line="175" w:lineRule="exact"/>
        <w:rPr>
          <w:rFonts w:ascii="Arial" w:cs="Arial" w:eastAsia="Arial" w:hAnsi="Arial"/>
          <w:sz w:val="16"/>
          <w:szCs w:val="16"/>
          <w:color w:val="auto"/>
        </w:rPr>
      </w:pPr>
    </w:p>
    <w:p>
      <w:pPr>
        <w:ind w:left="660" w:right="200" w:hanging="328"/>
        <w:spacing w:after="0" w:line="27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recorded a pension settlement charge within other nonoperating (income) expense, as it determined that normal-course lump-sum payments for our U.S. qualified defined benefit pension plan exceeded the threshold for settlement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Percentages in the following tables and throughout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may reflect rounding adjustments.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three months ended March 31, 2023 and 2022:</w:t>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Three Months Ended</w:t>
      </w:r>
    </w:p>
    <w:tbl>
      <w:tblPr>
        <w:tblLayout w:type="fixed"/>
        <w:tblInd w:w="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March 31,</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color w:val="auto"/>
              </w:rPr>
              <w:t>Percentage Change</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740" w:type="dxa"/>
            <w:vAlign w:val="bottom"/>
            <w:gridSpan w:val="2"/>
          </w:tcPr>
          <w:p>
            <w:pPr>
              <w:ind w:left="340"/>
              <w:spacing w:after="0"/>
              <w:rPr>
                <w:sz w:val="20"/>
                <w:szCs w:val="20"/>
                <w:color w:val="auto"/>
              </w:rPr>
            </w:pPr>
            <w:r>
              <w:rPr>
                <w:rFonts w:ascii="Arial" w:cs="Arial" w:eastAsia="Arial" w:hAnsi="Arial"/>
                <w:sz w:val="18"/>
                <w:szCs w:val="18"/>
                <w:color w:val="auto"/>
              </w:rPr>
              <w:t>As-Reported</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Organic</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2.3 %</w:t>
            </w:r>
          </w:p>
        </w:tc>
      </w:tr>
      <w:tr>
        <w:trPr>
          <w:trHeight w:val="21"/>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Consolidated net sales decreased by $3.4 million, or 0.5%, for the three months ended March 31, 2023, as compared to the same period in 2022, including an unfavorable foreign currency translation impact of $20.1 million. Excluding foreign currency translation effects, consolidated net sales for the three months ended March 31, 2023 increased by $16.7 million, or 2.3%, as compared to the same period in 2022.</w:t>
      </w:r>
    </w:p>
    <w:p>
      <w:pPr>
        <w:spacing w:after="0" w:line="18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decreased by $18.2 million, or 3.0%, for the three months ended March 31, 2023,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2022, including an unfavorable foreign currency translation impact of $17.8 million. Excluding foreign currency translation effects, net sales for the three months ended March 31, 2023 decreased by $0.4 million, or 0.1%, as compared to the same period in 2022, primarily due to a decline in COVID-related sales of approximately $88 million, offset by sales price increases.</w:t>
      </w:r>
    </w:p>
    <w:p>
      <w:pPr>
        <w:spacing w:after="0" w:line="207"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 xml:space="preserve">Contract-Manufactured Products – </w:t>
      </w:r>
      <w:r>
        <w:rPr>
          <w:rFonts w:ascii="Arial" w:cs="Arial" w:eastAsia="Arial" w:hAnsi="Arial"/>
          <w:sz w:val="17"/>
          <w:szCs w:val="17"/>
          <w:color w:val="auto"/>
        </w:rPr>
        <w:t>Contract-Manufactured Products net sales increased by $14.8 million, or 12.5%,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2023, as compared to the same period in 2022, including an unfavorable foreign currency translation impact of $2.3 million. Excluding foreign currency translation effects, net sales for the three months ended March 31, 2023 increased by $17.1 million, or 14.4%, as compared to the same period in 2022, primarily due to an increase in sales of components associated with injection-related devices and sales price increases.</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8340" w:type="dxa"/>
            <w:vAlign w:val="bottom"/>
            <w:gridSpan w:val="2"/>
          </w:tcPr>
          <w:p>
            <w:pPr>
              <w:spacing w:after="0"/>
              <w:rPr>
                <w:sz w:val="20"/>
                <w:szCs w:val="20"/>
                <w:color w:val="auto"/>
              </w:rPr>
            </w:pPr>
            <w:r>
              <w:rPr>
                <w:rFonts w:ascii="Arial" w:cs="Arial" w:eastAsia="Arial" w:hAnsi="Arial"/>
                <w:sz w:val="18"/>
                <w:szCs w:val="18"/>
                <w:color w:val="auto"/>
                <w:w w:val="91"/>
              </w:rPr>
              <w:t>The following table presents gross profit and related gross profit margins, consolidated and by reportable segment:</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7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00" w:type="dxa"/>
            <w:vAlign w:val="bottom"/>
            <w:gridSpan w:val="4"/>
          </w:tcPr>
          <w:p>
            <w:pPr>
              <w:jc w:val="right"/>
              <w:ind w:right="890"/>
              <w:spacing w:after="0" w:line="202" w:lineRule="exact"/>
              <w:rPr>
                <w:sz w:val="20"/>
                <w:szCs w:val="20"/>
                <w:color w:val="auto"/>
              </w:rPr>
            </w:pPr>
            <w:r>
              <w:rPr>
                <w:rFonts w:ascii="Arial" w:cs="Arial" w:eastAsia="Arial" w:hAnsi="Arial"/>
                <w:sz w:val="18"/>
                <w:szCs w:val="18"/>
                <w:color w:val="auto"/>
              </w:rPr>
              <w:t>Three Months Ended</w:t>
            </w:r>
          </w:p>
        </w:tc>
      </w:tr>
      <w:tr>
        <w:trPr>
          <w:trHeight w:val="237"/>
        </w:trPr>
        <w:tc>
          <w:tcPr>
            <w:tcW w:w="77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March 31,</w:t>
            </w:r>
          </w:p>
        </w:tc>
        <w:tc>
          <w:tcPr>
            <w:tcW w:w="1200" w:type="dxa"/>
            <w:vAlign w:val="bottom"/>
            <w:tcBorders>
              <w:bottom w:val="single" w:sz="8" w:color="auto"/>
            </w:tcBorders>
          </w:tcPr>
          <w:p>
            <w:pPr>
              <w:spacing w:after="0"/>
              <w:rPr>
                <w:sz w:val="20"/>
                <w:szCs w:val="20"/>
                <w:color w:val="auto"/>
              </w:rPr>
            </w:pP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7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260.7</w:t>
            </w:r>
          </w:p>
        </w:tc>
      </w:tr>
      <w:tr>
        <w:trPr>
          <w:trHeight w:val="229"/>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w:t>
            </w:r>
          </w:p>
        </w:tc>
      </w:tr>
      <w:tr>
        <w:trPr>
          <w:trHeight w:val="229"/>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 margin</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17.6 %</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20.1 %</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284.6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40" w:type="dxa"/>
            <w:vAlign w:val="bottom"/>
          </w:tcPr>
          <w:p>
            <w:pPr>
              <w:ind w:left="20"/>
              <w:spacing w:after="0" w:line="203" w:lineRule="exact"/>
              <w:rPr>
                <w:sz w:val="20"/>
                <w:szCs w:val="20"/>
                <w:color w:val="auto"/>
              </w:rPr>
            </w:pPr>
            <w:r>
              <w:rPr>
                <w:rFonts w:ascii="Arial" w:cs="Arial" w:eastAsia="Arial" w:hAnsi="Arial"/>
                <w:sz w:val="18"/>
                <w:szCs w:val="18"/>
                <w:color w:val="auto"/>
              </w:rPr>
              <w:t>Consolidated gross profit margin</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37.9 %</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39.5 %</w:t>
            </w:r>
          </w:p>
        </w:tc>
      </w:tr>
      <w:tr>
        <w:trPr>
          <w:trHeight w:val="21"/>
        </w:trPr>
        <w:tc>
          <w:tcPr>
            <w:tcW w:w="7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Consolidated gross profit decreased by $13.3 million, or 4.7%, for the three months ended March 31, 2023, as compared to the same period in 2022, including an unfavorable foreign currency translation impact of $6.7 million for the three months ended March 31, 2023, as compared to the same period in 2022. Consolidated gross profit margin decreased by 1.6 margin points for the three months ended March 31, 2023, as compared to the same period in 2022.</w:t>
      </w: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Proprietary Products - </w:t>
      </w:r>
      <w:r>
        <w:rPr>
          <w:rFonts w:ascii="Arial" w:cs="Arial" w:eastAsia="Arial" w:hAnsi="Arial"/>
          <w:sz w:val="17"/>
          <w:szCs w:val="17"/>
          <w:color w:val="auto"/>
        </w:rPr>
        <w:t>Proprietary Products gross profit decreased by $12.9 million, or 4.9%, for the three months ended March 31, 2023,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2022, including an unfavorable foreign currency translation impact of $6.2 million. Proprietary Products gross profit margin decreased by 0.9 margin points for the three months ended March 31, 2023, as compared to the same periods in 2022, due to a decline in higher margin COVID-related sales, inflationary pressures primarily within transportation and compensation costs, and additional plant spend to meet ongoing product demand. These headwinds were partially offset by increased sales prices and production efficiencies.</w:t>
      </w:r>
    </w:p>
    <w:p>
      <w:pPr>
        <w:spacing w:after="0" w:line="19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gross profit decreased by $0.4 million, or 1.7%,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2023, as compared to the same period in 2022, including an unfavorable foreign currency translation impact of $0.5 million. Contract-Manufactured Products gross profit margin decreased by 2.5 margin points for the three months ended March 31, 2023, as compared to the same period in 2022, due to inflationary pressures primarily within transportation and compensation costs and unfavorable mix of product sold. These headwinds were partially offset by increased sales prices.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consolidated R&amp;D costs:</w:t>
      </w:r>
    </w:p>
    <w:p>
      <w:pPr>
        <w:spacing w:after="0" w:line="34"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Three Months Ended</w:t>
      </w:r>
    </w:p>
    <w:p>
      <w:pPr>
        <w:jc w:val="center"/>
        <w:ind w:left="796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Consolidated R&amp;D costs increased by $2.5 million, or 17.1%, for the three months ended March 31, 2023, as compared to the same period in 2022, due to additional research performed to identify new product opportunities, of which $1.5 million of the increase relates to research performed on glass systems. Efforts remain focused on the continued investment in elastomeric packaging components, formulation development, drug containment systems, self-injection systems and drug administration consumables.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during the three months ended March 31, 2023 and 2022 related to Proprietary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SG&amp;A costs, consolidated and by reportable segment and corporate and unallocated items:</w:t>
      </w:r>
    </w:p>
    <w:p>
      <w:pPr>
        <w:spacing w:after="0" w:line="50" w:lineRule="exact"/>
        <w:rPr>
          <w:sz w:val="20"/>
          <w:szCs w:val="20"/>
          <w:color w:val="auto"/>
        </w:rPr>
      </w:pPr>
    </w:p>
    <w:p>
      <w:pPr>
        <w:jc w:val="center"/>
        <w:ind w:left="7740"/>
        <w:spacing w:after="0"/>
        <w:rPr>
          <w:sz w:val="20"/>
          <w:szCs w:val="20"/>
          <w:color w:val="auto"/>
        </w:rPr>
      </w:pPr>
      <w:r>
        <w:rPr>
          <w:rFonts w:ascii="Arial" w:cs="Arial" w:eastAsia="Arial" w:hAnsi="Arial"/>
          <w:sz w:val="16"/>
          <w:szCs w:val="16"/>
          <w:color w:val="auto"/>
        </w:rPr>
        <w:t>Three Months Ended</w:t>
      </w:r>
    </w:p>
    <w:p>
      <w:pPr>
        <w:spacing w:after="0" w:line="8" w:lineRule="exact"/>
        <w:rPr>
          <w:sz w:val="20"/>
          <w:szCs w:val="20"/>
          <w:color w:val="auto"/>
        </w:rPr>
      </w:pPr>
    </w:p>
    <w:p>
      <w:pPr>
        <w:jc w:val="center"/>
        <w:ind w:left="774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Proprietary Products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Contract-Manufactured Products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 and unallocated items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SG&amp;A costs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SG&amp;A as a % of net sales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645"/>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-4931410</wp:posOffset>
            </wp:positionH>
            <wp:positionV relativeFrom="paragraph">
              <wp:posOffset>14605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125" w:hanging="1125"/>
        <w:spacing w:after="0"/>
        <w:tabs>
          <w:tab w:leader="none" w:pos="1125" w:val="left"/>
        </w:tabs>
        <w:numPr>
          <w:ilvl w:val="0"/>
          <w:numId w:val="7"/>
        </w:numPr>
        <w:rPr>
          <w:rFonts w:ascii="Arial" w:cs="Arial" w:eastAsia="Arial" w:hAnsi="Arial"/>
          <w:sz w:val="18"/>
          <w:szCs w:val="18"/>
          <w:color w:val="auto"/>
        </w:rPr>
      </w:pPr>
      <w:r>
        <w:rPr>
          <w:rFonts w:ascii="Arial" w:cs="Arial" w:eastAsia="Arial" w:hAnsi="Arial"/>
          <w:sz w:val="18"/>
          <w:szCs w:val="18"/>
          <w:color w:val="auto"/>
        </w:rPr>
        <w:t>56.5</w:t>
      </w:r>
    </w:p>
    <w:p>
      <w:pPr>
        <w:spacing w:after="0" w:line="23" w:lineRule="exact"/>
        <w:rPr>
          <w:rFonts w:ascii="Arial" w:cs="Arial" w:eastAsia="Arial" w:hAnsi="Arial"/>
          <w:sz w:val="18"/>
          <w:szCs w:val="18"/>
          <w:color w:val="auto"/>
        </w:rPr>
      </w:pPr>
    </w:p>
    <w:p>
      <w:pPr>
        <w:ind w:left="1205"/>
        <w:spacing w:after="0"/>
        <w:rPr>
          <w:rFonts w:ascii="Arial" w:cs="Arial" w:eastAsia="Arial" w:hAnsi="Arial"/>
          <w:sz w:val="18"/>
          <w:szCs w:val="18"/>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-4931410</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125"/>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62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5" w:lineRule="exact"/>
        <w:rPr>
          <w:sz w:val="20"/>
          <w:szCs w:val="20"/>
          <w:color w:val="auto"/>
        </w:rPr>
      </w:pPr>
    </w:p>
    <w:p>
      <w:pPr>
        <w:ind w:left="1125" w:hanging="1125"/>
        <w:spacing w:after="0"/>
        <w:tabs>
          <w:tab w:leader="none" w:pos="1125" w:val="left"/>
        </w:tabs>
        <w:numPr>
          <w:ilvl w:val="0"/>
          <w:numId w:val="8"/>
        </w:numPr>
        <w:rPr>
          <w:rFonts w:ascii="Arial" w:cs="Arial" w:eastAsia="Arial" w:hAnsi="Arial"/>
          <w:sz w:val="18"/>
          <w:szCs w:val="18"/>
          <w:color w:val="auto"/>
        </w:rPr>
      </w:pPr>
      <w:r>
        <w:rPr>
          <w:rFonts w:ascii="Arial" w:cs="Arial" w:eastAsia="Arial" w:hAnsi="Arial"/>
          <w:sz w:val="18"/>
          <w:szCs w:val="18"/>
          <w:color w:val="auto"/>
        </w:rPr>
        <w:t>86.0</w:t>
      </w:r>
    </w:p>
    <w:p>
      <w:pPr>
        <w:spacing w:after="0" w:line="76" w:lineRule="exact"/>
        <w:rPr>
          <w:rFonts w:ascii="Arial" w:cs="Arial" w:eastAsia="Arial" w:hAnsi="Arial"/>
          <w:sz w:val="18"/>
          <w:szCs w:val="18"/>
          <w:color w:val="auto"/>
        </w:rPr>
      </w:pPr>
    </w:p>
    <w:p>
      <w:pPr>
        <w:ind w:left="1125"/>
        <w:spacing w:after="0"/>
        <w:rPr>
          <w:rFonts w:ascii="Arial" w:cs="Arial" w:eastAsia="Arial" w:hAnsi="Arial"/>
          <w:sz w:val="18"/>
          <w:szCs w:val="18"/>
          <w:color w:val="auto"/>
        </w:rPr>
      </w:pPr>
      <w:r>
        <w:rPr>
          <w:rFonts w:ascii="Arial" w:cs="Arial" w:eastAsia="Arial" w:hAnsi="Arial"/>
          <w:sz w:val="16"/>
          <w:szCs w:val="16"/>
          <w:i w:val="1"/>
          <w:iCs w:val="1"/>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-4931410</wp:posOffset>
            </wp:positionH>
            <wp:positionV relativeFrom="paragraph">
              <wp:posOffset>-149860</wp:posOffset>
            </wp:positionV>
            <wp:extent cx="71323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650"/>
        <w:spacing w:after="0"/>
        <w:rPr>
          <w:sz w:val="20"/>
          <w:szCs w:val="20"/>
          <w:color w:val="auto"/>
        </w:rPr>
      </w:pPr>
      <w:r>
        <w:rPr>
          <w:rFonts w:ascii="Arial" w:cs="Arial" w:eastAsia="Arial" w:hAnsi="Arial"/>
          <w:sz w:val="18"/>
          <w:szCs w:val="18"/>
          <w:color w:val="auto"/>
        </w:rPr>
        <w:t>2022</w:t>
      </w:r>
    </w:p>
    <w:p>
      <w:pPr>
        <w:spacing w:after="0" w:line="36" w:lineRule="exact"/>
        <w:rPr>
          <w:sz w:val="20"/>
          <w:szCs w:val="20"/>
          <w:color w:val="auto"/>
        </w:rPr>
      </w:pPr>
    </w:p>
    <w:p>
      <w:pPr>
        <w:ind w:left="1130" w:hanging="1130"/>
        <w:spacing w:after="0"/>
        <w:tabs>
          <w:tab w:leader="none" w:pos="1130" w:val="left"/>
        </w:tabs>
        <w:numPr>
          <w:ilvl w:val="0"/>
          <w:numId w:val="9"/>
        </w:numPr>
        <w:rPr>
          <w:rFonts w:ascii="Arial" w:cs="Arial" w:eastAsia="Arial" w:hAnsi="Arial"/>
          <w:sz w:val="18"/>
          <w:szCs w:val="18"/>
          <w:color w:val="auto"/>
        </w:rPr>
      </w:pPr>
      <w:r>
        <w:rPr>
          <w:rFonts w:ascii="Arial" w:cs="Arial" w:eastAsia="Arial" w:hAnsi="Arial"/>
          <w:sz w:val="18"/>
          <w:szCs w:val="18"/>
          <w:color w:val="auto"/>
        </w:rPr>
        <w:t>55.9</w:t>
      </w:r>
    </w:p>
    <w:p>
      <w:pPr>
        <w:spacing w:after="0" w:line="23" w:lineRule="exact"/>
        <w:rPr>
          <w:rFonts w:ascii="Arial" w:cs="Arial" w:eastAsia="Arial" w:hAnsi="Arial"/>
          <w:sz w:val="18"/>
          <w:szCs w:val="18"/>
          <w:color w:val="auto"/>
        </w:rPr>
      </w:pPr>
    </w:p>
    <w:p>
      <w:pPr>
        <w:ind w:left="123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3" w:lineRule="exact"/>
        <w:rPr>
          <w:sz w:val="20"/>
          <w:szCs w:val="20"/>
          <w:color w:val="auto"/>
        </w:rPr>
      </w:pPr>
    </w:p>
    <w:p>
      <w:pPr>
        <w:ind w:left="1130"/>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71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5" w:lineRule="exact"/>
        <w:rPr>
          <w:sz w:val="20"/>
          <w:szCs w:val="20"/>
          <w:color w:val="auto"/>
        </w:rPr>
      </w:pPr>
    </w:p>
    <w:p>
      <w:pPr>
        <w:ind w:left="1130" w:hanging="1130"/>
        <w:spacing w:after="0"/>
        <w:tabs>
          <w:tab w:leader="none" w:pos="11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83.4</w:t>
      </w:r>
    </w:p>
    <w:p>
      <w:pPr>
        <w:spacing w:after="0" w:line="76" w:lineRule="exact"/>
        <w:rPr>
          <w:rFonts w:ascii="Arial" w:cs="Arial" w:eastAsia="Arial" w:hAnsi="Arial"/>
          <w:sz w:val="18"/>
          <w:szCs w:val="18"/>
          <w:color w:val="auto"/>
        </w:rPr>
      </w:pPr>
    </w:p>
    <w:p>
      <w:pPr>
        <w:ind w:left="1150"/>
        <w:spacing w:after="0"/>
        <w:rPr>
          <w:rFonts w:ascii="Arial" w:cs="Arial" w:eastAsia="Arial" w:hAnsi="Arial"/>
          <w:sz w:val="18"/>
          <w:szCs w:val="18"/>
          <w:color w:val="auto"/>
        </w:rPr>
      </w:pPr>
      <w:r>
        <w:rPr>
          <w:rFonts w:ascii="Arial" w:cs="Arial" w:eastAsia="Arial" w:hAnsi="Arial"/>
          <w:sz w:val="16"/>
          <w:szCs w:val="16"/>
          <w:i w:val="1"/>
          <w:iCs w:val="1"/>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10718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-149860</wp:posOffset>
            </wp:positionV>
            <wp:extent cx="1071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7055" w:space="720"/>
            <w:col w:w="1645" w:space="150"/>
            <w:col w:w="1670"/>
          </w:cols>
          <w:pgMar w:left="320" w:top="130" w:right="339" w:bottom="1440" w:gutter="0" w:footer="0" w:header="0"/>
          <w:type w:val="continuous"/>
        </w:sectPr>
      </w:pPr>
    </w:p>
    <w:p>
      <w:pPr>
        <w:spacing w:after="0" w:line="18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Consolidated SG&amp;A costs increased by $2.6 million, or 3.1%, for the three months ended March 31, 2023, as compared to the same period in 2022, due to an increase in compensation costs, offset by a decrease in costs related to professional services and a favorable foreign currency translation impact of $0.7 million.</w:t>
      </w:r>
    </w:p>
    <w:p>
      <w:pPr>
        <w:spacing w:after="0" w:line="207"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Proprietary Products - </w:t>
      </w:r>
      <w:r>
        <w:rPr>
          <w:rFonts w:ascii="Arial" w:cs="Arial" w:eastAsia="Arial" w:hAnsi="Arial"/>
          <w:sz w:val="17"/>
          <w:szCs w:val="17"/>
          <w:color w:val="auto"/>
        </w:rPr>
        <w:t>Proprietary Products SG&amp;A costs increased by $0.6 million, or 1.1%, for the three months ended March 31, 2023,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2022. Proprietary Products SG&amp;A costs increased primarily due to an increase in compensation costs, offset by a decrease in costs related to professional services, other discretionary spending and a favorable foreign currency translation impact of $0.6 million.</w:t>
      </w:r>
    </w:p>
    <w:p>
      <w:pPr>
        <w:spacing w:after="0" w:line="185" w:lineRule="exact"/>
        <w:rPr>
          <w:sz w:val="20"/>
          <w:szCs w:val="20"/>
          <w:color w:val="auto"/>
        </w:rPr>
      </w:pPr>
    </w:p>
    <w:p>
      <w:pPr>
        <w:ind w:right="580"/>
        <w:spacing w:after="0" w:line="312" w:lineRule="auto"/>
        <w:rPr>
          <w:sz w:val="20"/>
          <w:szCs w:val="20"/>
          <w:color w:val="auto"/>
        </w:rPr>
      </w:pPr>
      <w:r>
        <w:rPr>
          <w:rFonts w:ascii="Arial" w:cs="Arial" w:eastAsia="Arial" w:hAnsi="Arial"/>
          <w:sz w:val="17"/>
          <w:szCs w:val="17"/>
          <w:b w:val="1"/>
          <w:bCs w:val="1"/>
          <w:color w:val="auto"/>
        </w:rPr>
        <w:t xml:space="preserve">Contract-Manufactured Products - </w:t>
      </w:r>
      <w:r>
        <w:rPr>
          <w:rFonts w:ascii="Arial" w:cs="Arial" w:eastAsia="Arial" w:hAnsi="Arial"/>
          <w:sz w:val="17"/>
          <w:szCs w:val="17"/>
          <w:color w:val="auto"/>
        </w:rPr>
        <w:t>Contract-Manufactured Products SG&amp;A costs increased by $1.2 million, or 25.0%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2023, as compared to the same period in 2022, primarily due to a higher allocation of corporate function spend.</w:t>
      </w:r>
    </w:p>
    <w:p>
      <w:pPr>
        <w:spacing w:after="0" w:line="16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Corporate and unallocated items - </w:t>
      </w:r>
      <w:r>
        <w:rPr>
          <w:rFonts w:ascii="Arial" w:cs="Arial" w:eastAsia="Arial" w:hAnsi="Arial"/>
          <w:sz w:val="18"/>
          <w:szCs w:val="18"/>
          <w:color w:val="auto"/>
        </w:rPr>
        <w:t>Corporate SG&amp;A costs increased by $0.8 million, or 3.5%, for the three months ended March 31, 2023,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2022, primarily due to an increase in mark-to-market expense related to stock-based compensation, offset by a decrease in costs related to professional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income and expense items, consolidated and by reportable segment, corporate and unallocated items: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Expense</w:t>
            </w: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Borders>
              <w:bottom w:val="single" w:sz="8" w:color="auto"/>
            </w:tcBorders>
          </w:tcPr>
          <w:p>
            <w:pPr>
              <w:spacing w:after="0"/>
              <w:rPr>
                <w:sz w:val="21"/>
                <w:szCs w:val="2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Consolidated other expense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expense and income items consist of foreign exchange transaction gains and losses, gains and losses on the sale of fixed assets, contingent consideration, fixed asset impairments and miscellaneous income and charges.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Consolidated other expense (income) changed by $16.0 million for the three months ended March 31, 2023, as compared to the same period in 2022, due to the factors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other expense (income) changed by $6.7 million for the three months ended March 31, 2023,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period in 2022, primarily due to a $0.6 million loss related to oil hedges recorded during the three months ended March 31, 2023 compared to a gain of $2.8 million for the three months ended March 31, 2022. Additionally, a loss of $0.9 million on foreign exchange transactions was recorded in the three months ended March 31, 2023, while a gain of $1.1 million was recorded in the same period in 2022. Lastly, fixed asset impairments totaled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$1.9 million in the three months ended March 31, 2023, while a gain on the sale of equipment of $0.1 million was recorded in the same period in 2022.</w:t>
      </w:r>
    </w:p>
    <w:p>
      <w:pPr>
        <w:spacing w:after="0" w:line="25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other expense (income) changed by $0.1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2023, as compared to the same period in 2022.</w:t>
      </w:r>
    </w:p>
    <w:p>
      <w:pPr>
        <w:spacing w:after="0" w:line="18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Corporate and unallocated items - </w:t>
      </w:r>
      <w:r>
        <w:rPr>
          <w:rFonts w:ascii="Arial" w:cs="Arial" w:eastAsia="Arial" w:hAnsi="Arial"/>
          <w:sz w:val="16"/>
          <w:szCs w:val="16"/>
          <w:color w:val="auto"/>
        </w:rPr>
        <w:t>Corporate and unallocated items changed by $9.2 million for the three months ended March 31, 2023,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periods in 2022. During the three months ended March 31, 2023, in preparation for the sale of one of the Company’s manufacturing facilities within the Proprietary Products segment, the Company recorded an impairment expense of $9.4 million within other expense (income) and a corresponding reduction to the disposal group net assets to its fair value less cost to sell. The transaction is expected to close during the second quarter of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operating profit and adjusted operating profit, consolidated and by reportable segment, corporate and unallocated items:</w:t>
      </w:r>
    </w:p>
    <w:p>
      <w:pPr>
        <w:spacing w:after="0" w:line="46" w:lineRule="exact"/>
        <w:rPr>
          <w:sz w:val="20"/>
          <w:szCs w:val="20"/>
          <w:color w:val="auto"/>
        </w:rPr>
      </w:pPr>
    </w:p>
    <w:p>
      <w:pPr>
        <w:jc w:val="center"/>
        <w:ind w:left="7720"/>
        <w:spacing w:after="0"/>
        <w:rPr>
          <w:sz w:val="20"/>
          <w:szCs w:val="20"/>
          <w:color w:val="auto"/>
        </w:rPr>
      </w:pPr>
      <w:r>
        <w:rPr>
          <w:rFonts w:ascii="Arial" w:cs="Arial" w:eastAsia="Arial" w:hAnsi="Arial"/>
          <w:sz w:val="18"/>
          <w:szCs w:val="18"/>
          <w:color w:val="auto"/>
        </w:rPr>
        <w:t>Three Months Ended</w:t>
      </w:r>
    </w:p>
    <w:p>
      <w:pPr>
        <w:jc w:val="center"/>
        <w:ind w:left="772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Consolidated operating profit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operating profit margin</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items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Pr>
          <w:p>
            <w:pPr>
              <w:ind w:left="20"/>
              <w:spacing w:after="0" w:line="203" w:lineRule="exact"/>
              <w:rPr>
                <w:sz w:val="20"/>
                <w:szCs w:val="20"/>
                <w:color w:val="auto"/>
              </w:rPr>
            </w:pPr>
            <w:r>
              <w:rPr>
                <w:rFonts w:ascii="Arial" w:cs="Arial" w:eastAsia="Arial" w:hAnsi="Arial"/>
                <w:sz w:val="18"/>
                <w:szCs w:val="18"/>
                <w:color w:val="auto"/>
              </w:rPr>
              <w:t>Adjusted consolidated operating profit margin</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Consolidated operating profit decreased by $34.4 million, or 18.1%, for the three months ended March 31, 2023, as compared to the same period in 2022, including an unfavorable foreign currency translation impact of $5.8 million for the three months ended March 31, 2023, as compared to the same period in 2022.</w:t>
      </w:r>
    </w:p>
    <w:p>
      <w:pPr>
        <w:spacing w:after="0" w:line="207"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operating profit decreased by $22.7 million, or 11.7%, for the three months ended March 31, 2023,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including an unfavorable foreign currency translation impact of $5.3 million, due to the factors described above, most notably the decline in COVID-related sales.</w:t>
      </w:r>
    </w:p>
    <w:p>
      <w:pPr>
        <w:spacing w:after="0" w:line="20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decreased by $1.7 million, or 8.9%,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2023, as compared to the same period in 2022, including an unfavorable foreign currency translation impact of $0.5 million, due to the factors described above, most notably increased overhead costs that were driven by inflation.</w:t>
      </w:r>
    </w:p>
    <w:p>
      <w:pPr>
        <w:spacing w:after="0" w:line="20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Excluding the unallocated items, Corporate costs increased by $0.6 million, or 2.7%, for the three months ended March 31, 2023,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2022, due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 xml:space="preserve">Unallocated items </w:t>
            </w:r>
            <w:r>
              <w:rPr>
                <w:rFonts w:ascii="Arial" w:cs="Arial" w:eastAsia="Arial" w:hAnsi="Arial"/>
                <w:sz w:val="18"/>
                <w:szCs w:val="18"/>
                <w:color w:val="auto"/>
              </w:rPr>
              <w:t>- Please refer to the Financial Performance Summary section above for details.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Interest Expense, Net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interest expense, net, by significant component: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Three Months Ended</w:t>
            </w:r>
          </w:p>
        </w:tc>
      </w:tr>
      <w:tr>
        <w:trPr>
          <w:trHeight w:val="237"/>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Borders>
              <w:bottom w:val="single" w:sz="8" w:color="auto"/>
            </w:tcBorders>
          </w:tcPr>
          <w:p>
            <w:pPr>
              <w:spacing w:after="0"/>
              <w:rPr>
                <w:sz w:val="20"/>
                <w:szCs w:val="20"/>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2.7</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1"/>
              </w:rPr>
              <w:t>(1.1)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7"/>
              </w:rPr>
              <w:t>(0.5)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7"/>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87"/>
              </w:rPr>
              <w:t>2.2</w:t>
            </w:r>
          </w:p>
        </w:tc>
      </w:tr>
      <w:tr>
        <w:trPr>
          <w:trHeight w:val="20"/>
        </w:trPr>
        <w:tc>
          <w:tcPr>
            <w:tcW w:w="7980" w:type="dxa"/>
            <w:vAlign w:val="bottom"/>
            <w:tcBorders>
              <w:top w:val="single" w:sz="8" w:color="CCEEFF"/>
              <w:bottom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1"/>
              </w:rPr>
              <w:t>(4.8)</w:t>
            </w:r>
          </w:p>
        </w:tc>
        <w:tc>
          <w:tcPr>
            <w:tcW w:w="120" w:type="dxa"/>
            <w:vAlign w:val="bottom"/>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7"/>
              </w:rPr>
              <w:t>(0.3)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remained flat for the three months ended March 31, 2023, as compared to the same period in 2022.</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Interest income increased by $4.5 million for the three months ended March 31, 2023, as compared to the same period in 2022, resulting from higher interest rates compared to the prior year, primarily within the US, Europe and South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The provision for income taxes was $23.6 million and $21.2 million for the three months ended March 31, 2023 and 2022, respectively, and the effective tax rate was 14.9% and 11.3%, respectively. The increase in the effective tax rate is primarily due to a shift in the geographic earnings mix and a</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$5.9 million tax benefit recorded as a result of a state tax valuation allowance reversal in the three months ended March 31, 2022 that was not repeated in 2023. This was offset by an increase in the tax benefit related to stock-based compensation for the three months ended March 31, 2023, as compared to the same period in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Equity in net income of affiliated companies decreased by $1.5 million for the three months ended March 31, 2023, as compared to the same period in 2022, due to less favorable operating results at Daikyo and the Mexico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cash flow data for the three months ended March 31:</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80"/>
              <w:spacing w:after="0"/>
              <w:rPr>
                <w:sz w:val="20"/>
                <w:szCs w:val="20"/>
                <w:color w:val="auto"/>
              </w:rPr>
            </w:pPr>
            <w:r>
              <w:rPr>
                <w:rFonts w:ascii="Arial" w:cs="Arial" w:eastAsia="Arial" w:hAnsi="Arial"/>
                <w:sz w:val="18"/>
                <w:szCs w:val="18"/>
                <w:color w:val="auto"/>
                <w:w w:val="93"/>
              </w:rPr>
              <w:t>(82.1)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(71.0)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Net Cash Provided by Operating Activities – </w:t>
      </w:r>
      <w:r>
        <w:rPr>
          <w:rFonts w:ascii="Arial" w:cs="Arial" w:eastAsia="Arial" w:hAnsi="Arial"/>
          <w:sz w:val="18"/>
          <w:szCs w:val="18"/>
          <w:color w:val="auto"/>
        </w:rPr>
        <w:t>Net cash provided by operating activities decreased by $13.1 million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2023, as compared to the same period in 2022, primarily due to a decline in operating results.</w:t>
      </w:r>
    </w:p>
    <w:p>
      <w:pPr>
        <w:spacing w:after="0" w:line="18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Net Cash Used in Investing Activities – </w:t>
      </w:r>
      <w:r>
        <w:rPr>
          <w:rFonts w:ascii="Arial" w:cs="Arial" w:eastAsia="Arial" w:hAnsi="Arial"/>
          <w:sz w:val="18"/>
          <w:szCs w:val="18"/>
          <w:color w:val="auto"/>
        </w:rPr>
        <w:t>Net cash used in investing activities increased by $13.8 million for the three months ended March 31, 2023,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primarily due to an increase in capital expenditures for additional manufacturing capacity in 2023 to meet customer demand.</w:t>
      </w:r>
    </w:p>
    <w:p>
      <w:pPr>
        <w:spacing w:after="0" w:line="203"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 xml:space="preserve">Net Cash Used in Financing Activities – </w:t>
      </w:r>
      <w:r>
        <w:rPr>
          <w:rFonts w:ascii="Arial" w:cs="Arial" w:eastAsia="Arial" w:hAnsi="Arial"/>
          <w:sz w:val="17"/>
          <w:szCs w:val="17"/>
          <w:color w:val="auto"/>
        </w:rPr>
        <w:t>Net cash used in financing activities decreased by $101.7 million for the three months ended March 31, 2023,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same period in 2022, primarily due to decreases in purchases under our share repurchase program in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5"/>
              </w:rPr>
              <w:t>December 31,</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507.4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2,776.2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2,684.9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w:t>
            </w: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Our cash and cash equivalents balance at March 31, 2023 consisted of cash held in depository accounts with banks around</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 and cash invested in high-quality, short-term investments. The cash and cash equivalents balance at March 31, 2023 included $244.4 million of cash held by subsidiaries within the U.S., and $641.9 million of cash held by subsidiaries outside of the U.S. During the three months ended March 31, 2023, we purchased 183,360 shares of our common stock under our calendar-year 2023 share repurchase program at a cost of $60.1 million, or an average price of $327.90 per share.</w:t>
      </w:r>
    </w:p>
    <w:p>
      <w:pPr>
        <w:spacing w:after="0" w:line="210"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Working capital – </w:t>
      </w:r>
      <w:r>
        <w:rPr>
          <w:rFonts w:ascii="Arial" w:cs="Arial" w:eastAsia="Arial" w:hAnsi="Arial"/>
          <w:sz w:val="16"/>
          <w:szCs w:val="16"/>
          <w:color w:val="auto"/>
        </w:rPr>
        <w:t>Working capital at March 31, 2023 increased by $1.8 million, or 0.1%, as compared to December 31, 2022, which includes a favorable</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currency translation impact of $8.1 million. Excluding the impact of currency exchange rates, cash and cash equivalents decreased by $15.0 million, while accounts receivable, inventories and total current liabilities increased by $2.5 million, $29.7 million and $11.9 million, respectively.</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decrease in cash and cash equivalents was due to capital expenditures and share repurchases, offset by positive operating results during the three months ended March 31, 2023. The increase in inventories that occurred during the period was to ensure we have sufficient inventory on hand to support the needs of our customers. The increase in total current liabilities was caused an increase in accounts payable and income taxes payable during the three months ended March 31, 2023.</w:t>
      </w:r>
    </w:p>
    <w:p>
      <w:pPr>
        <w:spacing w:after="0" w:line="21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$0.6 million decrease in total debt at March 31, 2023, as compared to December 31, 2022, resulted from debt repayments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sources of liquidity include our Credit Facility. At March 31, 2023, we had no outstanding borrowings under the Credit Facility. At March 31, 2023, the borrowing capacity available under the Credit Facility, including outstanding letters of credit of $2.4 million, was $497.6 million. We do not expect any significant limitations on our ability to access this source of funds.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March 31, 2023, we were in compliance with all of our debt covenants.</w:t>
      </w:r>
    </w:p>
    <w:p>
      <w:pPr>
        <w:spacing w:after="0" w:line="2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summary of future material cash payments resulting from commitments and contractual obligations was provided in our 2022 Annual Report. During the three months ended March 31, 2023,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March 31, 2023, we had no off-balance sheet financing arrangements other than unconditional purchase obligations incurred in the ordinary course of business and outstanding letters of credit related to various insurance programs, as noted in our 2022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2022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For information on new accounting standards that were adopted during the three months ended March 31, 2023, and the impact, if any, on our financial position or results of operations, see Note 2, </w:t>
      </w:r>
      <w:r>
        <w:rPr>
          <w:rFonts w:ascii="Arial" w:cs="Arial" w:eastAsia="Arial" w:hAnsi="Arial"/>
          <w:sz w:val="18"/>
          <w:szCs w:val="18"/>
          <w:i w:val="1"/>
          <w:iCs w:val="1"/>
          <w:u w:val="single" w:color="auto"/>
          <w:color w:val="0000FF"/>
        </w:rPr>
        <w:t>New Accounting Standards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116" w:lineRule="exact"/>
        <w:rPr>
          <w:rFonts w:ascii="Arial" w:cs="Arial" w:eastAsia="Arial" w:hAnsi="Arial"/>
          <w:sz w:val="18"/>
          <w:szCs w:val="18"/>
          <w:color w:val="auto"/>
        </w:rPr>
      </w:pPr>
    </w:p>
    <w:p>
      <w:pPr>
        <w:ind w:left="980" w:hanging="324"/>
        <w:spacing w:after="0" w:line="311" w:lineRule="auto"/>
        <w:tabs>
          <w:tab w:leader="none" w:pos="9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2022 Annual Report as well as Part II, section 1A of this quarterly report.</w:t>
      </w: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Except as required by law or regulation, we undertake no obligation to publicly update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2022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March 31, 2023,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During the quarter ended March 31, 2023,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providing the disclosure below and supplementing the risk factors described in Part I, Item 1A of our 2022 Annual Report with the following risk factor. The additional risk factor identified should be read in conjunction with the risk factors described in the 2022 Annual Report and the information under the “Forward Looking Statements” in the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Unstable market and economic conditions and adverse developments with respect to financial institutions and associated liquidity risk may have serious adverse consequences on our business and financial condition.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recent and potential future disruptions in access to bank deposits or lending commitments due to bank failure could materially and adversely affect our liquidity, our business and financial condition. Even with our continued effort to mitigate counterparty risk by working with highly liquid, well capitalized counterparties,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enter receivership or become insolvent in the future in response to financial conditions affecting the banking system and financial markets, our ability to access our cash and cash equivalents and investments may be threatened and could have a material adverse effect on our business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information with respect to purchases of our common stock made during the three months ended March 31, 2023 by us or any of our “affiliated purchasers” as defined in Rule 10b-18(a)(3) under the Exchange Act: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 number of shares</w:t>
            </w:r>
          </w:p>
        </w:tc>
        <w:tc>
          <w:tcPr>
            <w:tcW w:w="2180" w:type="dxa"/>
            <w:vAlign w:val="bottom"/>
            <w:gridSpan w:val="2"/>
          </w:tcPr>
          <w:p>
            <w:pPr>
              <w:jc w:val="center"/>
              <w:spacing w:after="0"/>
              <w:rPr>
                <w:sz w:val="20"/>
                <w:szCs w:val="20"/>
                <w:color w:val="auto"/>
              </w:rPr>
            </w:pPr>
            <w:r>
              <w:rPr>
                <w:rFonts w:ascii="Arial" w:cs="Arial" w:eastAsia="Arial" w:hAnsi="Arial"/>
                <w:sz w:val="18"/>
                <w:szCs w:val="18"/>
                <w:color w:val="auto"/>
                <w:w w:val="93"/>
              </w:rPr>
              <w:t>Approximate dollar value of</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Total number of shares</w:t>
            </w:r>
          </w:p>
        </w:tc>
        <w:tc>
          <w:tcPr>
            <w:tcW w:w="226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Average price paid per share</w:t>
            </w:r>
          </w:p>
        </w:tc>
        <w:tc>
          <w:tcPr>
            <w:tcW w:w="22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0"/>
              </w:rPr>
              <w:t>purchased as part of publicly</w:t>
            </w:r>
          </w:p>
        </w:tc>
        <w:tc>
          <w:tcPr>
            <w:tcW w:w="200" w:type="dxa"/>
            <w:vAlign w:val="bottom"/>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7"/>
              </w:rPr>
              <w:t>shares that may yet be</w:t>
            </w:r>
          </w:p>
        </w:tc>
        <w:tc>
          <w:tcPr>
            <w:tcW w:w="0" w:type="dxa"/>
            <w:vAlign w:val="bottom"/>
          </w:tcPr>
          <w:p>
            <w:pPr>
              <w:spacing w:after="0"/>
              <w:rPr>
                <w:sz w:val="1"/>
                <w:szCs w:val="1"/>
                <w:color w:val="auto"/>
              </w:rPr>
            </w:pPr>
          </w:p>
        </w:tc>
      </w:tr>
      <w:tr>
        <w:trPr>
          <w:trHeight w:val="176"/>
        </w:trPr>
        <w:tc>
          <w:tcPr>
            <w:tcW w:w="2240" w:type="dxa"/>
            <w:vAlign w:val="bottom"/>
            <w:gridSpan w:val="2"/>
            <w:vMerge w:val="restart"/>
          </w:tcPr>
          <w:p>
            <w:pPr>
              <w:ind w:left="20"/>
              <w:spacing w:after="0"/>
              <w:rPr>
                <w:sz w:val="20"/>
                <w:szCs w:val="20"/>
                <w:color w:val="auto"/>
              </w:rPr>
            </w:pPr>
            <w:r>
              <w:rPr>
                <w:rFonts w:ascii="Arial" w:cs="Arial" w:eastAsia="Arial" w:hAnsi="Arial"/>
                <w:sz w:val="18"/>
                <w:szCs w:val="18"/>
                <w:color w:val="auto"/>
              </w:rPr>
              <w:t>Period</w:t>
            </w:r>
          </w:p>
        </w:tc>
        <w:tc>
          <w:tcPr>
            <w:tcW w:w="2280" w:type="dxa"/>
            <w:vAlign w:val="bottom"/>
            <w:gridSpan w:val="2"/>
            <w:vMerge w:val="continue"/>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announced plans or programs</w:t>
            </w:r>
          </w:p>
        </w:tc>
        <w:tc>
          <w:tcPr>
            <w:tcW w:w="21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7"/>
              </w:rPr>
              <w:t>purchased under the plans or</w:t>
            </w:r>
          </w:p>
        </w:tc>
        <w:tc>
          <w:tcPr>
            <w:tcW w:w="0" w:type="dxa"/>
            <w:vAlign w:val="bottom"/>
          </w:tcPr>
          <w:p>
            <w:pPr>
              <w:spacing w:after="0"/>
              <w:rPr>
                <w:sz w:val="1"/>
                <w:szCs w:val="1"/>
                <w:color w:val="auto"/>
              </w:rPr>
            </w:pPr>
          </w:p>
        </w:tc>
      </w:tr>
      <w:tr>
        <w:trPr>
          <w:trHeight w:val="229"/>
        </w:trPr>
        <w:tc>
          <w:tcPr>
            <w:tcW w:w="2240" w:type="dxa"/>
            <w:vAlign w:val="bottom"/>
            <w:gridSpan w:val="2"/>
            <w:vMerge w:val="continue"/>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purchased (1)</w:t>
            </w:r>
          </w:p>
        </w:tc>
        <w:tc>
          <w:tcPr>
            <w:tcW w:w="540" w:type="dxa"/>
            <w:vAlign w:val="bottom"/>
          </w:tcPr>
          <w:p>
            <w:pPr>
              <w:spacing w:after="0"/>
              <w:rPr>
                <w:sz w:val="19"/>
                <w:szCs w:val="19"/>
                <w:color w:val="auto"/>
              </w:rPr>
            </w:pPr>
          </w:p>
        </w:tc>
        <w:tc>
          <w:tcPr>
            <w:tcW w:w="1640" w:type="dxa"/>
            <w:vAlign w:val="bottom"/>
          </w:tcPr>
          <w:p>
            <w:pPr>
              <w:jc w:val="right"/>
              <w:ind w:right="91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color w:val="auto"/>
                <w:w w:val="91"/>
              </w:rPr>
              <w:t>programs (1)</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1 - 31, 2023</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February 1 - 28, 2023</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1,000,000,000</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1 - 31, 2023</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183,360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327.90</w:t>
            </w:r>
          </w:p>
        </w:tc>
        <w:tc>
          <w:tcPr>
            <w:tcW w:w="8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939,900,000</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183,360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327.90</w:t>
            </w: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939,900,000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40" w:right="20" w:hanging="332"/>
        <w:spacing w:after="0" w:line="259"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6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b w:val="1"/>
                <w:bCs w:val="1"/>
                <w:color w:val="auto"/>
                <w:w w:val="99"/>
              </w:rPr>
              <w:t>Number</w:t>
            </w:r>
          </w:p>
        </w:tc>
        <w:tc>
          <w:tcPr>
            <w:tcW w:w="420" w:type="dxa"/>
            <w:vAlign w:val="bottom"/>
          </w:tcPr>
          <w:p>
            <w:pPr>
              <w:spacing w:after="0"/>
              <w:rPr>
                <w:sz w:val="13"/>
                <w:szCs w:val="13"/>
                <w:color w:val="auto"/>
              </w:rPr>
            </w:pPr>
          </w:p>
        </w:tc>
        <w:tc>
          <w:tcPr>
            <w:tcW w:w="1010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4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10100" w:type="dxa"/>
            <w:vAlign w:val="bottom"/>
            <w:gridSpan w:val="13"/>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quarter ended June 30, 2020, filed July 24, 2020).</w:t>
              </w:r>
            </w:hyperlink>
          </w:p>
        </w:tc>
        <w:tc>
          <w:tcPr>
            <w:tcW w:w="638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9"/>
                <w:szCs w:val="19"/>
                <w:color w:val="auto"/>
              </w:rPr>
            </w:pPr>
          </w:p>
        </w:tc>
        <w:tc>
          <w:tcPr>
            <w:tcW w:w="10100" w:type="dxa"/>
            <w:vAlign w:val="bottom"/>
            <w:gridSpan w:val="13"/>
          </w:tcPr>
          <w:p>
            <w:pPr>
              <w:spacing w:after="0"/>
              <w:rPr>
                <w:rFonts w:ascii="Arial" w:cs="Arial" w:eastAsia="Arial" w:hAnsi="Arial"/>
                <w:sz w:val="18"/>
                <w:szCs w:val="18"/>
                <w:color w:val="0000FF"/>
              </w:rPr>
            </w:pPr>
            <w:hyperlink r:id="rId58">
              <w:r>
                <w:rPr>
                  <w:rFonts w:ascii="Arial" w:cs="Arial" w:eastAsia="Arial" w:hAnsi="Arial"/>
                  <w:sz w:val="18"/>
                  <w:szCs w:val="18"/>
                  <w:color w:val="0000FF"/>
                </w:rPr>
                <w:t>Our Bylaws, as amended through February 23, 2021 (incorporated by reference from our Form 8-k, filed March 1, 2021).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0100" w:type="dxa"/>
            <w:vAlign w:val="bottom"/>
            <w:gridSpan w:val="13"/>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Form of stock certificate for common stock (incorporated by reference to Exhibit 4 to the Company's 1998 Form 10-K, filed May 6, 1999).</w:t>
              </w:r>
            </w:hyperlink>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10000" w:type="dxa"/>
            <w:vAlign w:val="bottom"/>
            <w:tcBorders>
              <w:top w:val="single" w:sz="8" w:color="0000FF"/>
            </w:tcBorders>
            <w:gridSpan w:val="10"/>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Article 5, 6, 8(c) and 9 of our Amended and Restated Articles of Incorporation (incorporated by reference to Exhibit 3.1 to the Company's</w:t>
              </w:r>
            </w:hyperlink>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Form 10-Q report for the quarter ended June 30, 2020, filed July 24, 2020).</w:t>
              </w:r>
            </w:hyperlink>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9"/>
                <w:szCs w:val="19"/>
                <w:color w:val="auto"/>
              </w:rPr>
            </w:pPr>
          </w:p>
        </w:tc>
        <w:tc>
          <w:tcPr>
            <w:tcW w:w="10040" w:type="dxa"/>
            <w:vAlign w:val="bottom"/>
            <w:tcBorders>
              <w:bottom w:val="single" w:sz="8" w:color="0000FF"/>
            </w:tcBorders>
            <w:gridSpan w:val="11"/>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Article I and V of our Bylaws, as amended through February 23, 2021 (incorporated by reference from our Form 8-k, filed March 1, 2021).</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0" w:type="dxa"/>
            <w:vAlign w:val="bottom"/>
          </w:tcPr>
          <w:p>
            <w:pPr>
              <w:spacing w:after="0" w:line="250" w:lineRule="exact"/>
              <w:rPr>
                <w:sz w:val="20"/>
                <w:szCs w:val="20"/>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(1)</w:t>
            </w:r>
          </w:p>
        </w:tc>
        <w:tc>
          <w:tcPr>
            <w:tcW w:w="420" w:type="dxa"/>
            <w:vAlign w:val="bottom"/>
          </w:tcPr>
          <w:p>
            <w:pPr>
              <w:spacing w:after="0"/>
              <w:rPr>
                <w:sz w:val="21"/>
                <w:szCs w:val="21"/>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0"/>
        </w:trPr>
        <w:tc>
          <w:tcPr>
            <w:tcW w:w="64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420" w:type="dxa"/>
            <w:vAlign w:val="bottom"/>
          </w:tcPr>
          <w:p>
            <w:pPr>
              <w:spacing w:after="0"/>
              <w:rPr>
                <w:sz w:val="16"/>
                <w:szCs w:val="16"/>
                <w:color w:val="auto"/>
              </w:rPr>
            </w:pPr>
          </w:p>
        </w:tc>
        <w:tc>
          <w:tcPr>
            <w:tcW w:w="7540" w:type="dxa"/>
            <w:vAlign w:val="bottom"/>
            <w:tcBorders>
              <w:bottom w:val="single" w:sz="8" w:color="0000FF"/>
            </w:tcBorders>
            <w:gridSpan w:val="6"/>
          </w:tcPr>
          <w:p>
            <w:pPr>
              <w:spacing w:after="0" w:line="190" w:lineRule="exact"/>
              <w:rPr>
                <w:sz w:val="20"/>
                <w:szCs w:val="20"/>
                <w:color w:val="auto"/>
              </w:rPr>
            </w:pPr>
            <w:r>
              <w:rPr>
                <w:rFonts w:ascii="Arial" w:cs="Arial" w:eastAsia="Arial" w:hAnsi="Arial"/>
                <w:sz w:val="18"/>
                <w:szCs w:val="18"/>
                <w:color w:val="0000FF"/>
                <w:w w:val="91"/>
              </w:rPr>
              <w:t>Certification by the Chief Executive Officer Pursuant to Section 302 of the Sarbanes-Oxley Act of 2002.</w:t>
            </w:r>
          </w:p>
        </w:tc>
        <w:tc>
          <w:tcPr>
            <w:tcW w:w="25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580" w:type="dxa"/>
            <w:vAlign w:val="bottom"/>
            <w:gridSpan w:val="3"/>
            <w:shd w:val="clear" w:color="auto" w:fill="0000FF"/>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0000FF"/>
                <w:w w:val="90"/>
              </w:rPr>
              <w:t>Certification by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1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9"/>
                <w:szCs w:val="19"/>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0000FF"/>
                <w:w w:val="91"/>
              </w:rPr>
              <w:t>Certification by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Act of 2002.</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2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3"/>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firstLine="8"/>
        <w:spacing w:after="0" w:line="584" w:lineRule="auto"/>
        <w:tabs>
          <w:tab w:leader="none" w:pos="181"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-1024890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6" w:name="page37"/>
    <w:bookmarkEnd w:id="3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April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0"/>
          </w:cols>
          <w:pgMar w:left="320" w:top="130" w:right="6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2023</w:t>
      </w:r>
    </w:p>
    <w:p>
      <w:pPr>
        <w:sectPr>
          <w:pgSz w:w="11900" w:h="16838" w:orient="portrait"/>
          <w:cols w:equalWidth="0" w:num="1">
            <w:col w:w="11240"/>
          </w:cols>
          <w:pgMar w:left="320" w:top="141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2023</w:t>
      </w:r>
    </w:p>
    <w:p>
      <w:pPr>
        <w:sectPr>
          <w:pgSz w:w="11900" w:h="16838" w:orient="portrait"/>
          <w:cols w:equalWidth="0" w:num="1">
            <w:col w:w="11240"/>
          </w:cols>
          <w:pgMar w:left="320" w:top="141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on Form 10-Q of West Pharmaceutical Services, Inc. (the “Company”) for the period ended March 31, 2023,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2023</w:t>
      </w:r>
    </w:p>
    <w:p>
      <w:pPr>
        <w:sectPr>
          <w:pgSz w:w="11900" w:h="16838" w:orient="portrait"/>
          <w:cols w:equalWidth="0" w:num="1">
            <w:col w:w="11240"/>
          </w:cols>
          <w:pgMar w:left="320" w:top="141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on Form 10-Q of West Pharmaceutical Services, Inc. (the “Company”) for the period ended March 31, 2023, as filed with the Securities and Exchange Commission on the date hereof (the “Report”), I, Bernard J. Birkett, Senior Vice President, Chief Financial and Operations Officer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2023</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lvl w:ilvl="1">
      <w:lvlJc w:val="left"/>
      <w:lvlText w:val="%2"/>
      <w:numFmt w:val="decimal"/>
      <w:start w:val="104"/>
    </w:lvl>
  </w:abstractNum>
  <w:abstractNum w:abstractNumId="14">
    <w:nsid w:val="25E45D32"/>
    <w:multiLevelType w:val="hybridMultilevel"/>
    <w:lvl w:ilvl="0">
      <w:lvlJc w:val="left"/>
      <w:lvlText w:val="(%1)"/>
      <w:numFmt w:val="decimal"/>
      <w:start w:val="1"/>
    </w:lvl>
    <w:lvl w:ilvl="1">
      <w:lvlJc w:val="left"/>
      <w:lvlText w:val="%2"/>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16" Type="http://schemas.openxmlformats.org/officeDocument/2006/relationships/hyperlink" Target="https://www.sec.gov/ix?doc=/Archives/edgar/data/105770/000010577023000012/wst-20221231.htm#i8148abfe270d4f15aa2ba9319df722dc_58" TargetMode="External"/><Relationship Id="rId57" Type="http://schemas.openxmlformats.org/officeDocument/2006/relationships/hyperlink" Target="https://www.sec.gov/Archives/edgar/data/105770/000010577020000045/ex31articlesofincorpor.htm" TargetMode="External"/><Relationship Id="rId58" Type="http://schemas.openxmlformats.org/officeDocument/2006/relationships/hyperlink" Target="https://www.sec.gov/Archives/edgar/data/105770/000010577021000014/wpsbylawamendmentsfinalfeb.htm" TargetMode="External"/><Relationship Id="rId59" Type="http://schemas.openxmlformats.org/officeDocument/2006/relationships/hyperlink" Target="http://www.sec.gov/Archives/edgar/data/105770/0000105770-99-000016-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2023-04-27T15:33:56Z</dcterms:created>
  <dcterms:modified xsi:type="dcterms:W3CDTF">2023-04-27T15:33:56Z</dcterms:modified>
</cp:coreProperties>
</file>