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641350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-121285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480" w:hanging="31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or</w:t>
      </w:r>
    </w:p>
    <w:p>
      <w:pPr>
        <w:spacing w:after="0" w:line="24" w:lineRule="exact"/>
        <w:rPr>
          <w:sz w:val="24"/>
          <w:szCs w:val="24"/>
          <w:color w:val="auto"/>
        </w:rPr>
      </w:pPr>
    </w:p>
    <w:p>
      <w:pPr>
        <w:ind w:left="4640" w:right="3580" w:hanging="4471"/>
        <w:spacing w:after="0" w:line="382" w:lineRule="auto"/>
        <w:tabs>
          <w:tab w:leader="none" w:pos="479"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 Commission File Number 1-8036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-59055</wp:posOffset>
            </wp:positionV>
            <wp:extent cx="1354455" cy="545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545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WEST PHARMACEUTICAL SERVICES,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260"/>
          </w:cols>
          <w:pgMar w:left="300" w:top="1038" w:right="339" w:bottom="1440" w:gutter="0" w:footer="0" w:header="0"/>
        </w:sectPr>
      </w:pPr>
    </w:p>
    <w:p>
      <w:pPr>
        <w:spacing w:after="0" w:line="1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Pennsylvania</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23-1210010</w:t>
      </w:r>
    </w:p>
    <w:p>
      <w:pPr>
        <w:spacing w:after="0" w:line="2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41" w:lineRule="exact"/>
        <w:rPr>
          <w:sz w:val="24"/>
          <w:szCs w:val="24"/>
          <w:color w:val="auto"/>
        </w:rPr>
      </w:pPr>
    </w:p>
    <w:p>
      <w:pPr>
        <w:sectPr>
          <w:pgSz w:w="11900" w:h="16838" w:orient="portrait"/>
          <w:cols w:equalWidth="0" w:num="2">
            <w:col w:w="6700" w:space="720"/>
            <w:col w:w="3840"/>
          </w:cols>
          <w:pgMar w:left="300" w:top="1038"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b w:val="1"/>
          <w:bCs w:val="1"/>
          <w:color w:val="auto"/>
        </w:rPr>
        <w:t>530 Herman O. West Drive, Exton, PA</w:t>
      </w:r>
    </w:p>
    <w:p>
      <w:pPr>
        <w:spacing w:after="0" w:line="25"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19341-1147</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(Zip Code)</w:t>
      </w:r>
    </w:p>
    <w:p>
      <w:pPr>
        <w:spacing w:after="0" w:line="162" w:lineRule="exact"/>
        <w:rPr>
          <w:sz w:val="24"/>
          <w:szCs w:val="24"/>
          <w:color w:val="auto"/>
        </w:rPr>
      </w:pPr>
    </w:p>
    <w:p>
      <w:pPr>
        <w:sectPr>
          <w:pgSz w:w="11900" w:h="16838" w:orient="portrait"/>
          <w:cols w:equalWidth="0" w:num="2">
            <w:col w:w="7520" w:space="720"/>
            <w:col w:w="3020"/>
          </w:cols>
          <w:pgMar w:left="300" w:top="1038" w:right="3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610-594-2900</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60"/>
          </w:cols>
          <w:pgMar w:left="300" w:top="1038" w:right="339" w:bottom="1440" w:gutter="0" w:footer="0" w:header="0"/>
          <w:type w:val="continuous"/>
        </w:sectPr>
      </w:pPr>
    </w:p>
    <w:p>
      <w:pPr>
        <w:spacing w:after="0" w:line="39"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5"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color w:val="auto"/>
        </w:rPr>
        <w:t>Common Stock, par value $0.25 per share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Trading Symbol</w:t>
      </w:r>
    </w:p>
    <w:p>
      <w:pPr>
        <w:spacing w:after="0" w:line="3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color w:val="auto"/>
        </w:rPr>
        <w:t>WST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164" w:lineRule="exact"/>
        <w:rPr>
          <w:sz w:val="24"/>
          <w:szCs w:val="24"/>
          <w:color w:val="auto"/>
        </w:rPr>
      </w:pPr>
    </w:p>
    <w:p>
      <w:pPr>
        <w:sectPr>
          <w:pgSz w:w="11900" w:h="16838" w:orient="portrait"/>
          <w:cols w:equalWidth="0" w:num="3">
            <w:col w:w="4440" w:space="720"/>
            <w:col w:w="1760" w:space="720"/>
            <w:col w:w="3620"/>
          </w:cols>
          <w:pgMar w:left="300" w:top="10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0" w:lineRule="exact"/>
        <w:rPr>
          <w:sz w:val="24"/>
          <w:szCs w:val="24"/>
          <w:color w:val="auto"/>
        </w:rPr>
      </w:pPr>
    </w:p>
    <w:p>
      <w:pPr>
        <w:spacing w:after="0" w:line="161" w:lineRule="exact"/>
        <w:tabs>
          <w:tab w:leader="none" w:pos="8220" w:val="left"/>
        </w:tabs>
        <w:rPr>
          <w:sz w:val="20"/>
          <w:szCs w:val="20"/>
          <w:color w:val="auto"/>
        </w:rPr>
      </w:pPr>
      <w:r>
        <w:rPr>
          <w:rFonts w:ascii="Times New Roman" w:cs="Times New Roman" w:eastAsia="Times New Roman" w:hAnsi="Times New Roman"/>
          <w:sz w:val="14"/>
          <w:szCs w:val="14"/>
          <w:color w:val="auto"/>
        </w:rPr>
        <w:t>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20" w:lineRule="exact"/>
        <w:rPr>
          <w:sz w:val="24"/>
          <w:szCs w:val="24"/>
          <w:color w:val="auto"/>
        </w:rPr>
      </w:pPr>
    </w:p>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w:t>
      </w:r>
    </w:p>
    <w:p>
      <w:pPr>
        <w:spacing w:after="0" w:line="20" w:lineRule="exact"/>
        <w:rPr>
          <w:sz w:val="24"/>
          <w:szCs w:val="24"/>
          <w:color w:val="auto"/>
        </w:rPr>
      </w:pPr>
    </w:p>
    <w:p>
      <w:pPr>
        <w:spacing w:after="0" w:line="161" w:lineRule="exact"/>
        <w:tabs>
          <w:tab w:leader="none" w:pos="5080" w:val="left"/>
        </w:tabs>
        <w:rPr>
          <w:sz w:val="20"/>
          <w:szCs w:val="20"/>
          <w:color w:val="auto"/>
        </w:rPr>
      </w:pPr>
      <w:r>
        <w:rPr>
          <w:rFonts w:ascii="Times New Roman" w:cs="Times New Roman" w:eastAsia="Times New Roman" w:hAnsi="Times New Roman"/>
          <w:sz w:val="14"/>
          <w:szCs w:val="14"/>
          <w:color w:val="auto"/>
        </w:rPr>
        <w:t>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ind w:left="6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21, 2025, there were 71,845,364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379730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258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180" w:type="dxa"/>
            <w:vAlign w:val="bottom"/>
          </w:tcPr>
          <w:p>
            <w:pPr>
              <w:spacing w:after="0"/>
              <w:rPr>
                <w:sz w:val="13"/>
                <w:szCs w:val="13"/>
                <w:color w:val="auto"/>
              </w:rPr>
            </w:pP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FINANCIAL STATEMENTS (UNAUDITED)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Income for the Three Months ended March 31, 2025 and 2024</w:t>
            </w:r>
          </w:p>
        </w:tc>
        <w:tc>
          <w:tcPr>
            <w:tcW w:w="1680" w:type="dxa"/>
            <w:vAlign w:val="bottom"/>
            <w:gridSpan w:val="3"/>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Comprehensive Income for the Three Months ended March 31, 2025 and 2024</w:t>
            </w:r>
          </w:p>
        </w:tc>
        <w:tc>
          <w:tcPr>
            <w:tcW w:w="700" w:type="dxa"/>
            <w:vAlign w:val="bottom"/>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Balance Sheets at March 31, 2025 and December 31, 2024</w:t>
            </w:r>
          </w:p>
        </w:tc>
        <w:tc>
          <w:tcPr>
            <w:tcW w:w="210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Cash Flows for the Three Months ended March 31, 2025 and 2024</w:t>
            </w: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Notes to Condensed Consolidated Financial Statements</w:t>
            </w:r>
          </w:p>
        </w:tc>
        <w:tc>
          <w:tcPr>
            <w:tcW w:w="1440" w:type="dxa"/>
            <w:vAlign w:val="bottom"/>
            <w:gridSpan w:val="2"/>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26</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OPERATIONS</w:t>
            </w:r>
          </w:p>
        </w:tc>
        <w:tc>
          <w:tcPr>
            <w:tcW w:w="5320" w:type="dxa"/>
            <w:vAlign w:val="bottom"/>
            <w:tcBorders>
              <w:top w:val="single" w:sz="8" w:color="0000FF"/>
            </w:tcBorders>
            <w:gridSpan w:val="9"/>
          </w:tcPr>
          <w:p>
            <w:pPr>
              <w:spacing w:after="0"/>
              <w:rPr>
                <w:sz w:val="10"/>
                <w:szCs w:val="10"/>
                <w:color w:val="auto"/>
              </w:rPr>
            </w:pPr>
          </w:p>
        </w:tc>
        <w:tc>
          <w:tcPr>
            <w:tcW w:w="1440" w:type="dxa"/>
            <w:vAlign w:val="bottom"/>
            <w:gridSpan w:val="2"/>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w w:val="98"/>
              </w:rPr>
              <w:t>QUANTITATIVE AND QUALITATIVE DISCLOSURES ABOUT MARKET RISK</w:t>
            </w:r>
          </w:p>
        </w:tc>
        <w:tc>
          <w:tcPr>
            <w:tcW w:w="2780" w:type="dxa"/>
            <w:vAlign w:val="bottom"/>
            <w:gridSpan w:val="4"/>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36</w:t>
            </w:r>
          </w:p>
        </w:tc>
        <w:tc>
          <w:tcPr>
            <w:tcW w:w="0" w:type="dxa"/>
            <w:vAlign w:val="bottom"/>
          </w:tcPr>
          <w:p>
            <w:pPr>
              <w:spacing w:after="0"/>
              <w:rPr>
                <w:sz w:val="1"/>
                <w:szCs w:val="1"/>
                <w:color w:val="auto"/>
              </w:rPr>
            </w:pPr>
          </w:p>
        </w:tc>
      </w:tr>
      <w:tr>
        <w:trPr>
          <w:trHeight w:val="341"/>
        </w:trPr>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400" w:type="dxa"/>
            <w:vAlign w:val="bottom"/>
            <w:gridSpan w:val="2"/>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80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6240" w:type="dxa"/>
            <w:vAlign w:val="bottom"/>
            <w:gridSpan w:val="10"/>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UNREGISTERED SALES OF EQUITY SECURITIES AND USE OF PROCEEDS</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2780" w:type="dxa"/>
            <w:vAlign w:val="bottom"/>
            <w:gridSpan w:val="4"/>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EXHIBITS</w:t>
            </w:r>
          </w:p>
        </w:tc>
        <w:tc>
          <w:tcPr>
            <w:tcW w:w="6220" w:type="dxa"/>
            <w:vAlign w:val="bottom"/>
            <w:gridSpan w:val="9"/>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SIGNATURE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39</w:t>
            </w: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127"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465.2</w:t>
            </w:r>
          </w:p>
        </w:tc>
      </w:tr>
      <w:tr>
        <w:trPr>
          <w:trHeight w:val="171"/>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(Note 14)</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1"/>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profit</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expense (income)</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affiliated companies</w:t>
            </w: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8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5"/>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8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040" w:type="dxa"/>
            <w:vAlign w:val="bottom"/>
            <w:tcBorders>
              <w:bottom w:val="single" w:sz="8" w:color="auto"/>
            </w:tcBorders>
          </w:tcPr>
          <w:p>
            <w:pPr>
              <w:jc w:val="right"/>
              <w:ind w:right="8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8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5"/>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8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0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74.3</w:t>
            </w: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 net of tax of $(1.1) and $1.0</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Defined benefit pension and other postretirement plan adjustments, net of tax of $(0.1) and $0.0</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 (loss) on equity affiliate accumulated other comprehensive income, net of tax of $0.0 and $0.0</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gain (loss) on derivatives, net of tax of $0.9 and $(0.7)</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 Pharmaceutical Services, Inc.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per share data)</w:t>
            </w:r>
          </w:p>
        </w:tc>
        <w:tc>
          <w:tcPr>
            <w:tcW w:w="300" w:type="dxa"/>
            <w:vAlign w:val="bottom"/>
          </w:tcPr>
          <w:p>
            <w:pPr>
              <w:spacing w:after="0"/>
              <w:rPr>
                <w:sz w:val="12"/>
                <w:szCs w:val="12"/>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March 31,</w:t>
            </w:r>
          </w:p>
        </w:tc>
        <w:tc>
          <w:tcPr>
            <w:tcW w:w="240" w:type="dxa"/>
            <w:vAlign w:val="bottom"/>
          </w:tcPr>
          <w:p>
            <w:pPr>
              <w:spacing w:after="0"/>
              <w:rPr>
                <w:sz w:val="12"/>
                <w:szCs w:val="12"/>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75"/>
        </w:trPr>
        <w:tc>
          <w:tcPr>
            <w:tcW w:w="80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552.5</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377.0</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1,538.1</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in affiliated companies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3,643.4</w:t>
            </w:r>
          </w:p>
        </w:tc>
        <w:tc>
          <w:tcPr>
            <w:tcW w:w="0" w:type="dxa"/>
            <w:vAlign w:val="bottom"/>
          </w:tcPr>
          <w:p>
            <w:pPr>
              <w:spacing w:after="0"/>
              <w:rPr>
                <w:sz w:val="1"/>
                <w:szCs w:val="1"/>
                <w:color w:val="auto"/>
              </w:rPr>
            </w:pPr>
          </w:p>
        </w:tc>
      </w:tr>
      <w:tr>
        <w:trPr>
          <w:trHeight w:val="28"/>
        </w:trPr>
        <w:tc>
          <w:tcPr>
            <w:tcW w:w="804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32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AND EQUITY</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salaries, wages and benefits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550.4</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and other postretirement benefits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benefits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961.1</w:t>
            </w:r>
          </w:p>
        </w:tc>
        <w:tc>
          <w:tcPr>
            <w:tcW w:w="0" w:type="dxa"/>
            <w:vAlign w:val="bottom"/>
          </w:tcPr>
          <w:p>
            <w:pPr>
              <w:spacing w:after="0"/>
              <w:rPr>
                <w:sz w:val="1"/>
                <w:szCs w:val="1"/>
                <w:color w:val="auto"/>
              </w:rPr>
            </w:pPr>
          </w:p>
        </w:tc>
      </w:tr>
      <w:tr>
        <w:trPr>
          <w:trHeight w:val="68"/>
        </w:trPr>
        <w:tc>
          <w:tcPr>
            <w:tcW w:w="8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8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stock, 3.0 million shares authorized; 0 shares issued and outstanding</w:t>
            </w:r>
          </w:p>
        </w:tc>
        <w:tc>
          <w:tcPr>
            <w:tcW w:w="3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par value $0.25 per share; 200.0 million shares authorized; shares issued: March 31, 2025 - 75.3 million, December 31, 2024 -</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75.3 million; shares outstanding: March 31, 2025 - 71.8 million, December 31, 2024 - 72.3 million</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3,956.6</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stock, at cost (March 31, 2025 - 3.5 million shares, December 31, 2024 - 3.0 million shares)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(1,057.1)</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2,683.1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2,682.3</w:t>
            </w: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Amortization</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Non-cash restructuring charges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 impairments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non-cash items, net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07"/>
        </w:trPr>
        <w:tc>
          <w:tcPr>
            <w:tcW w:w="8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107"/>
        </w:trPr>
        <w:tc>
          <w:tcPr>
            <w:tcW w:w="8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10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repayments on finance leases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 payments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stock-based compensation awards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 contributions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purchased under share repurchase programs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Shares repurchased for employee tax withholdings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r>
      <w:tr>
        <w:trPr>
          <w:trHeight w:val="127"/>
        </w:trPr>
        <w:tc>
          <w:tcPr>
            <w:tcW w:w="8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beginning of period</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end of period</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9"/>
        </w:trPr>
        <w:tc>
          <w:tcPr>
            <w:tcW w:w="80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200" w:lineRule="exact"/>
        <w:rPr>
          <w:sz w:val="20"/>
          <w:szCs w:val="20"/>
          <w:color w:val="auto"/>
        </w:rPr>
      </w:pPr>
    </w:p>
    <w:p>
      <w:pPr>
        <w:spacing w:after="0" w:line="258"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b w:val="1"/>
          <w:bCs w:val="1"/>
          <w:color w:val="auto"/>
        </w:rPr>
        <w:t>Basis of Presentation</w:t>
      </w:r>
      <w:r>
        <w:rPr>
          <w:rFonts w:ascii="Times New Roman" w:cs="Times New Roman" w:eastAsia="Times New Roman" w:hAnsi="Times New Roman"/>
          <w:sz w:val="14"/>
          <w:szCs w:val="14"/>
          <w:color w:val="auto"/>
        </w:rPr>
        <w:t>: The condensed consolidated financial statements included in this report are unaudited and have been prepared in accordance with United States (“U.S.”) generally accepted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2025, should be read in conjunction with the consolidated financial statements and notes thereto of West Pharmaceutical Services, Inc. and its majority-owned </w:t>
      </w:r>
      <w:hyperlink r:id="rId17">
        <w:r>
          <w:rPr>
            <w:rFonts w:ascii="Times New Roman" w:cs="Times New Roman" w:eastAsia="Times New Roman" w:hAnsi="Times New Roman"/>
            <w:sz w:val="14"/>
            <w:szCs w:val="14"/>
            <w:color w:val="auto"/>
          </w:rPr>
          <w:t>subsidiaries (which may be referred to as “West”, the “Company”, “we”, “us” or “our”) appearing in our Annual Report on Form 10-K for the year ended December 31, 2024 (the “</w:t>
        </w:r>
        <w:r>
          <w:rPr>
            <w:rFonts w:ascii="Times New Roman" w:cs="Times New Roman" w:eastAsia="Times New Roman" w:hAnsi="Times New Roman"/>
            <w:sz w:val="14"/>
            <w:szCs w:val="14"/>
            <w:u w:val="single" w:color="auto"/>
            <w:color w:val="0000FF"/>
          </w:rPr>
          <w:t>2024 Annual</w:t>
        </w:r>
      </w:hyperlink>
      <w:r>
        <w:rPr>
          <w:rFonts w:ascii="Times New Roman" w:cs="Times New Roman" w:eastAsia="Times New Roman" w:hAnsi="Times New Roman"/>
          <w:sz w:val="14"/>
          <w:szCs w:val="14"/>
          <w:color w:val="auto"/>
        </w:rPr>
        <w:t xml:space="preserve"> </w:t>
      </w:r>
      <w:hyperlink r:id="rId17">
        <w:r>
          <w:rPr>
            <w:rFonts w:ascii="Times New Roman" w:cs="Times New Roman" w:eastAsia="Times New Roman" w:hAnsi="Times New Roman"/>
            <w:sz w:val="14"/>
            <w:szCs w:val="14"/>
            <w:u w:val="single" w:color="auto"/>
            <w:color w:val="0000FF"/>
          </w:rPr>
          <w:t>Report</w:t>
        </w:r>
        <w:r>
          <w:rPr>
            <w:rFonts w:ascii="Times New Roman" w:cs="Times New Roman" w:eastAsia="Times New Roman" w:hAnsi="Times New Roman"/>
            <w:sz w:val="14"/>
            <w:szCs w:val="14"/>
            <w:color w:val="000000"/>
          </w:rPr>
          <w:t>”). The results of operations for any interim period are not necessarily indicative of results for the full year.</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Standards</w:t>
      </w:r>
    </w:p>
    <w:p>
      <w:pPr>
        <w:spacing w:after="0" w:line="202" w:lineRule="exact"/>
        <w:rPr>
          <w:sz w:val="20"/>
          <w:szCs w:val="20"/>
          <w:color w:val="auto"/>
        </w:rPr>
      </w:pPr>
    </w:p>
    <w:p>
      <w:pPr>
        <w:ind w:right="22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No. 2023-07, Segment Reporting, which expands annual and interim disclosure requirements for reportable segments, primarily through enhanced disclosures about significant segment expenses and enhancement of interim disclosure requirements. This guidance is effective for fiscal years beginning after December 15, 2023 and interim periods beginning after December 15, 2024. The Company has adopted and implemented the applicable disclosure requirements within this report and the </w:t>
      </w:r>
      <w:hyperlink r:id="rId17">
        <w:r>
          <w:rPr>
            <w:rFonts w:ascii="Times New Roman" w:cs="Times New Roman" w:eastAsia="Times New Roman" w:hAnsi="Times New Roman"/>
            <w:sz w:val="14"/>
            <w:szCs w:val="14"/>
            <w:u w:val="single" w:color="auto"/>
            <w:color w:val="0000FF"/>
          </w:rPr>
          <w:t>2024 Annual Report</w:t>
        </w:r>
      </w:hyperlink>
      <w:r>
        <w:rPr>
          <w:rFonts w:ascii="Times New Roman" w:cs="Times New Roman" w:eastAsia="Times New Roman" w:hAnsi="Times New Roman"/>
          <w:sz w:val="14"/>
          <w:szCs w:val="14"/>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Standards Issued Not Yet Adopted</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do not expect the adoption to have a material impact on the consolidated financial statements other than the expanded footnote disclosure.</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November 2024, the FASB issued guidance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and interim reporting periods beginning after December 15, 2027. The Company is currently evaluating the impact of this guidance on our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market group:</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40" w:type="dxa"/>
            <w:vAlign w:val="bottom"/>
          </w:tcPr>
          <w:p>
            <w:pPr>
              <w:spacing w:after="0"/>
              <w:rPr>
                <w:sz w:val="13"/>
                <w:szCs w:val="13"/>
                <w:color w:val="auto"/>
              </w:rPr>
            </w:pPr>
          </w:p>
        </w:tc>
        <w:tc>
          <w:tcPr>
            <w:tcW w:w="2260" w:type="dxa"/>
            <w:vAlign w:val="bottom"/>
            <w:gridSpan w:val="3"/>
          </w:tcPr>
          <w:p>
            <w:pPr>
              <w:jc w:val="center"/>
              <w:ind w:left="90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Biologics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Generics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product category:</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040" w:type="dxa"/>
            <w:vAlign w:val="bottom"/>
          </w:tcPr>
          <w:p>
            <w:pPr>
              <w:spacing w:after="0"/>
              <w:rPr>
                <w:sz w:val="13"/>
                <w:szCs w:val="13"/>
                <w:color w:val="auto"/>
              </w:rPr>
            </w:pPr>
          </w:p>
        </w:tc>
        <w:tc>
          <w:tcPr>
            <w:tcW w:w="2260" w:type="dxa"/>
            <w:vAlign w:val="bottom"/>
            <w:gridSpan w:val="3"/>
          </w:tcPr>
          <w:p>
            <w:pPr>
              <w:jc w:val="center"/>
              <w:ind w:left="90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High-Value Product ("HVP") Components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High-Value Product ("HVP") Delivery Devices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Packaging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geographic location:</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040" w:type="dxa"/>
            <w:vAlign w:val="bottom"/>
          </w:tcPr>
          <w:p>
            <w:pPr>
              <w:spacing w:after="0"/>
              <w:rPr>
                <w:sz w:val="14"/>
                <w:szCs w:val="14"/>
                <w:color w:val="auto"/>
              </w:rPr>
            </w:pPr>
          </w:p>
        </w:tc>
        <w:tc>
          <w:tcPr>
            <w:tcW w:w="2260" w:type="dxa"/>
            <w:vAlign w:val="bottom"/>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90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97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in millions)</w:t>
            </w:r>
          </w:p>
        </w:tc>
      </w:tr>
      <w:tr>
        <w:trPr>
          <w:trHeight w:val="17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 December 31, 2024</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 March 31, 2025</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 - increase (decrease)</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December 31, 2024</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March 31, 2025</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 decrease (increase)</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Contract assets are included within other current assets and deferred income is included within other current liabilities and other long-term liabilities. During the three months ended March 31, 2025, $18.3 million of revenue was recognized that was included in deferred income at the beginning of the year.</w:t>
      </w:r>
    </w:p>
    <w:p>
      <w:pPr>
        <w:spacing w:after="0" w:line="14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As of March 31, 2025, performance obligations expected to be satisfied beyond one-year were $3.1 million. The remaining $44.7 million of performance obligations are expected to be satisfied within one year or less.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Net Income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shares used in the calculation of basic net income per share to those used for diluted net income per share: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assuming dilution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and 2024, there were 0.3 million and 0.2 million shares, respectively, from stock-based compensation plans not included in the computation of diluted net income per share because their impact was antidilutive.</w:t>
      </w:r>
    </w:p>
    <w:p>
      <w:pPr>
        <w:spacing w:after="0" w:line="14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In February 2023, the Board of Directors approved a share repurchase program under which the Company was able repurchase up to $1.0 billion in shares of common stock. This program was completed during January 2025.</w:t>
      </w:r>
    </w:p>
    <w:p>
      <w:pPr>
        <w:spacing w:after="0" w:line="14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December 2024, the Board of Directors approved a share repurchase program under which the Company was able to repurchase up to 550,000 shares of common stock on the open market or in privately-negotiated transactions. The number of shares to be repurchased and the timing of such transactions depended on a variety of factors, including market conditions. This program was completed during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below table summarizes the details of the Company's repurchases of common stock under these programs: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60"/>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4"/>
          </w:tcPr>
          <w:p>
            <w:pPr>
              <w:jc w:val="right"/>
              <w:ind w:right="94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87"/>
        </w:trPr>
        <w:tc>
          <w:tcPr>
            <w:tcW w:w="8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260" w:type="dxa"/>
            <w:vAlign w:val="bottom"/>
            <w:tcBorders>
              <w:bottom w:val="single" w:sz="8" w:color="auto"/>
            </w:tcBorders>
          </w:tcPr>
          <w:p>
            <w:pPr>
              <w:spacing w:after="0"/>
              <w:rPr>
                <w:sz w:val="16"/>
                <w:szCs w:val="16"/>
                <w:color w:val="auto"/>
              </w:rPr>
            </w:pPr>
          </w:p>
        </w:tc>
      </w:tr>
      <w:tr>
        <w:trPr>
          <w:trHeight w:val="174"/>
        </w:trPr>
        <w:tc>
          <w:tcPr>
            <w:tcW w:w="8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550,281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729,679</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 of repurchases ($ in millions)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price per repurchased share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365.87</w:t>
            </w:r>
          </w:p>
        </w:tc>
      </w:tr>
      <w:tr>
        <w:trPr>
          <w:trHeight w:val="435"/>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Inventories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Inventories are valued at the lower of cost (on a first-in, first-out basis) or net realizable value. Inventory balances were as follows: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color w:val="auto"/>
              </w:rPr>
              <w:t>March 31,</w:t>
            </w:r>
          </w:p>
        </w:tc>
        <w:tc>
          <w:tcPr>
            <w:tcW w:w="300" w:type="dxa"/>
            <w:vAlign w:val="bottom"/>
          </w:tcPr>
          <w:p>
            <w:pPr>
              <w:spacing w:after="0"/>
              <w:rPr>
                <w:sz w:val="13"/>
                <w:szCs w:val="13"/>
                <w:color w:val="auto"/>
              </w:rPr>
            </w:pPr>
          </w:p>
        </w:tc>
        <w:tc>
          <w:tcPr>
            <w:tcW w:w="126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r>
      <w:tr>
        <w:trPr>
          <w:trHeight w:val="171"/>
        </w:trPr>
        <w:tc>
          <w:tcPr>
            <w:tcW w:w="80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6"/>
        </w:trPr>
        <w:tc>
          <w:tcPr>
            <w:tcW w:w="8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4"/>
                <w:szCs w:val="14"/>
                <w:color w:val="auto"/>
              </w:rPr>
            </w:pPr>
          </w:p>
        </w:tc>
      </w:tr>
      <w:tr>
        <w:trPr>
          <w:trHeight w:val="184"/>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 amortization of right-of-use (ROU)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finance lease amounts in the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March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Sheet Classification</w:t>
            </w: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 net</w:t>
            </w: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were as follows: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0"/>
        </w:trPr>
        <w:tc>
          <w:tcPr>
            <w:tcW w:w="8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gridSpan w:val="3"/>
          </w:tcPr>
          <w:p>
            <w:pPr>
              <w:ind w:left="60"/>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r>
      <w:tr>
        <w:trPr>
          <w:trHeight w:val="184"/>
        </w:trPr>
        <w:tc>
          <w:tcPr>
            <w:tcW w:w="8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78"/>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6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new lease liabilities: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4"/>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of March 31, 2025 and December 31, 2024, the weighted average remaining lease term for operating leases was 7.9 years and 8.3 years, respectively. As of March 31, 2025 and December 31, 2024, the weighted average remaining lease term for finance leases was 6.2 years and 6.3 years, respectively.</w:t>
      </w:r>
    </w:p>
    <w:p>
      <w:pPr>
        <w:spacing w:after="0" w:line="14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As of March 31, 2025 and December 31, 2024, the weighted average discount rate for operating leases was 4.05% and 3.99%, respectively. As of March 31, 2025 and December 31, 2024, the weighted average discount rate for finance leases was 4.45% and 4.80%,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the Company's lease liabilities as of March 31, 2025 were as follows: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8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(remaining period as of March 31, 2025)</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80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lease interest</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w w:val="96"/>
              </w:rPr>
              <w:t>(0.2)</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Affiliated Companies</w:t>
      </w:r>
    </w:p>
    <w:p>
      <w:pPr>
        <w:spacing w:after="0" w:line="20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The following table summarizes the aggregate carrying amounts of our investments in affiliated companies that are accounted for under the equity method and our investments in affiliated companies that are not accounted for under the equity method: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6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carrying value of investments in affiliated companies:</w:t>
            </w: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method affiliates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Non-equity method affiliates</w:t>
            </w:r>
          </w:p>
        </w:tc>
        <w:tc>
          <w:tcPr>
            <w:tcW w:w="1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in affiliated companies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from affiliates in the condensed consolidated balance sheets: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8"/>
        </w:trPr>
        <w:tc>
          <w:tcPr>
            <w:tcW w:w="806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March 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340" w:type="dxa"/>
            <w:vAlign w:val="bottom"/>
          </w:tcPr>
          <w:p>
            <w:pPr>
              <w:spacing w:after="0"/>
              <w:rPr>
                <w:sz w:val="17"/>
                <w:szCs w:val="17"/>
                <w:color w:val="auto"/>
              </w:rPr>
            </w:pP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due to affiliates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due from affiliates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43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affiliate transactions: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0"/>
        </w:trPr>
        <w:tc>
          <w:tcPr>
            <w:tcW w:w="8060" w:type="dxa"/>
            <w:vAlign w:val="bottom"/>
          </w:tcPr>
          <w:p>
            <w:pPr>
              <w:spacing w:after="0"/>
              <w:rPr>
                <w:sz w:val="13"/>
                <w:szCs w:val="13"/>
                <w:color w:val="auto"/>
              </w:rPr>
            </w:pPr>
          </w:p>
        </w:tc>
        <w:tc>
          <w:tcPr>
            <w:tcW w:w="2880" w:type="dxa"/>
            <w:vAlign w:val="bottom"/>
            <w:gridSpan w:val="4"/>
          </w:tcPr>
          <w:p>
            <w:pPr>
              <w:jc w:val="right"/>
              <w:ind w:right="60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r>
      <w:tr>
        <w:trPr>
          <w:trHeight w:val="184"/>
        </w:trPr>
        <w:tc>
          <w:tcPr>
            <w:tcW w:w="8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Borders>
              <w:bottom w:val="single" w:sz="8" w:color="auto"/>
            </w:tcBorders>
          </w:tcPr>
          <w:p>
            <w:pPr>
              <w:spacing w:after="0"/>
              <w:rPr>
                <w:sz w:val="16"/>
                <w:szCs w:val="16"/>
                <w:color w:val="auto"/>
              </w:rPr>
            </w:pPr>
          </w:p>
        </w:tc>
      </w:tr>
      <w:tr>
        <w:trPr>
          <w:trHeight w:val="178"/>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5"/>
                <w:szCs w:val="15"/>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from (and payments to) affiliates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to affiliates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majority of the purchase transactions listed above relate to a distributorship agreement with Daikyo Seiko, Ltd. ("Daikyo") that allows the Company to purchase and re-sell Daikyo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long-term debt obligations, net of unamortized debt issuance costs and current maturities. The interest rates shown in parentheses are as of 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due July 2, 2027 (5.65%)</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C notes, due July 5, 2027 (4.02%)</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71"/>
        </w:trPr>
        <w:tc>
          <w:tcPr>
            <w:tcW w:w="8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for Term Loan and Series Notes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200"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color w:val="auto"/>
        </w:rPr>
        <w:t xml:space="preserve">At March 31, 2025, the Company had $130.0 million in borrowings under the New Term Loan which were classified as long-term.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a discussion of the foreign currency hedge associated with the New Term Loan.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Multi-Currency Revolving Credit Facility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the borrowing capacity available under our $500.0 million multi-currency revolving credit facility, including outstanding letters of credit of $2.3 million, was $497.7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March 31, 2025, we were in compliance with all of our debt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Derivative Financial Instruments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Rate Risk</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We have entered into forward exchange contracts, designated as fair value hedges, to manage our exposure to fluctuating foreign exchange rates on cross-currency intercompany loans. As of both March 31, 2025 and December 31, 2024, the notional amounts of these forward exchange contracts were Singapore Dollar (“SGD”) 421.9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both March 31, 2025 and December 31, 2024, the total notional amounts of these forward exchange contracts were Euro ("EUR") 145.3 million and $47.1 million.</w:t>
      </w:r>
    </w:p>
    <w:p>
      <w:pPr>
        <w:spacing w:after="0" w:line="164"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2025, we had outstanding foreign currency contracts to purchase and sell certain pairs of currencies,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Sell</w:t>
            </w:r>
          </w:p>
        </w:tc>
        <w:tc>
          <w:tcPr>
            <w:tcW w:w="2360" w:type="dxa"/>
            <w:vAlign w:val="bottom"/>
            <w:tcBorders>
              <w:bottom w:val="single" w:sz="8" w:color="auto"/>
            </w:tcBorders>
          </w:tcPr>
          <w:p>
            <w:pPr>
              <w:spacing w:after="0"/>
              <w:rPr>
                <w:sz w:val="16"/>
                <w:szCs w:val="16"/>
                <w:color w:val="auto"/>
              </w:rPr>
            </w:pPr>
          </w:p>
        </w:tc>
      </w:tr>
      <w:tr>
        <w:trPr>
          <w:trHeight w:val="171"/>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USD</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w:t>
            </w:r>
          </w:p>
        </w:tc>
        <w:tc>
          <w:tcPr>
            <w:tcW w:w="236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SGD</w:t>
            </w:r>
          </w:p>
        </w:tc>
      </w:tr>
      <w:tr>
        <w:trPr>
          <w:trHeight w:val="171"/>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w:t>
            </w:r>
          </w:p>
        </w:tc>
        <w:tc>
          <w:tcPr>
            <w:tcW w:w="16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JPY</w:t>
            </w:r>
          </w:p>
        </w:tc>
        <w:tc>
          <w:tcPr>
            <w:tcW w:w="1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6,656.2</w:t>
            </w:r>
          </w:p>
        </w:tc>
        <w:tc>
          <w:tcPr>
            <w:tcW w:w="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SGD</w:t>
            </w:r>
          </w:p>
        </w:tc>
        <w:tc>
          <w:tcPr>
            <w:tcW w:w="16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2019, we entered into a cross-currency swap for $90 million, which we designated as a hedge of our net investment in Daikyo. The cross-currency swap had an original maturity date of December 31, 2024, but was extinguished in July 2024. In July 2024, we entered into a new cross-currency swap for $130 million, which we designated as a hedge of our net investment in Daikyo. As of March 31, 2025, the notional amount of the cross-currency swap is ¥17.0 billion ($130.0 million) and the swap termination date is July 2, 2027. Under the cross-currency swap, we receive fixed USD interest rate payments in return for paying fixed JPY interest rate payments.</w:t>
      </w:r>
    </w:p>
    <w:p>
      <w:pPr>
        <w:spacing w:after="0" w:line="16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line="187" w:lineRule="auto"/>
        <w:framePr w:w="1960" w:h="126" w:wrap="auto" w:vAnchor="page" w:hAnchor="page" w:x="8980" w:y="4003"/>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Location on Statement of Income</w:t>
      </w:r>
    </w:p>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202" w:lineRule="exact"/>
        <w:rPr>
          <w:rFonts w:ascii="Times New Roman" w:cs="Times New Roman" w:eastAsia="Times New Roman" w:hAnsi="Times New Roman"/>
          <w:sz w:val="14"/>
          <w:szCs w:val="14"/>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5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We regularly purchase call options on crude oil to mitigate our exposure to such oil-based surcharges and protect operating cash flows with regard to a portion of our forecasted elastomer purchases.</w:t>
      </w:r>
    </w:p>
    <w:p>
      <w:pPr>
        <w:spacing w:after="0" w:line="2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As of March 31, 2025, we had outstanding contracts to purchase 193,786 barrels of crude oil from March 2025 to September 2026, at a weighted-average strike price of $81.81 per barrel.</w:t>
      </w:r>
    </w:p>
    <w:p>
      <w:pPr>
        <w:spacing w:after="0" w:line="18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Derivative Instruments on Financial Position and Results of Operations</w:t>
      </w:r>
    </w:p>
    <w:p>
      <w:pPr>
        <w:spacing w:after="0" w:line="20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the balance sheet location and fair values of our derivative instruments as of March 31, 2025 and December 31, 2024.</w:t>
      </w:r>
    </w:p>
    <w:p>
      <w:pPr>
        <w:spacing w:after="0" w:line="202"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fair value hedges on the condensed consolidated statements of income:</w:t>
      </w:r>
    </w:p>
    <w:p>
      <w:pPr>
        <w:spacing w:after="0" w:line="41" w:lineRule="exact"/>
        <w:rPr>
          <w:rFonts w:ascii="Times New Roman" w:cs="Times New Roman" w:eastAsia="Times New Roman" w:hAnsi="Times New Roman"/>
          <w:sz w:val="14"/>
          <w:szCs w:val="14"/>
          <w:color w:val="auto"/>
        </w:rPr>
      </w:pPr>
    </w:p>
    <w:p>
      <w:pPr>
        <w:ind w:left="4820"/>
        <w:spacing w:after="0"/>
        <w:rPr>
          <w:sz w:val="20"/>
          <w:szCs w:val="20"/>
          <w:color w:val="auto"/>
        </w:rPr>
      </w:pPr>
      <w:r>
        <w:rPr>
          <w:rFonts w:ascii="Times New Roman" w:cs="Times New Roman" w:eastAsia="Times New Roman" w:hAnsi="Times New Roman"/>
          <w:sz w:val="14"/>
          <w:szCs w:val="14"/>
          <w:color w:val="auto"/>
        </w:rPr>
        <w:t>Amount of Gain (Loss) Recognized in Income for the</w:t>
      </w:r>
    </w:p>
    <w:p>
      <w:pPr>
        <w:spacing w:after="0" w:line="12" w:lineRule="exact"/>
        <w:rPr>
          <w:rFonts w:ascii="Times New Roman" w:cs="Times New Roman" w:eastAsia="Times New Roman" w:hAnsi="Times New Roman"/>
          <w:sz w:val="14"/>
          <w:szCs w:val="14"/>
          <w:color w:val="auto"/>
        </w:rPr>
      </w:pPr>
    </w:p>
    <w:p>
      <w:pPr>
        <w:ind w:left="5740"/>
        <w:spacing w:after="0"/>
        <w:rPr>
          <w:sz w:val="20"/>
          <w:szCs w:val="20"/>
          <w:color w:val="auto"/>
        </w:rPr>
      </w:pPr>
      <w:r>
        <w:rPr>
          <w:rFonts w:ascii="Times New Roman" w:cs="Times New Roman" w:eastAsia="Times New Roman" w:hAnsi="Times New Roman"/>
          <w:sz w:val="14"/>
          <w:szCs w:val="14"/>
          <w:color w:val="auto"/>
        </w:rPr>
        <w:t>Three Months Ended</w:t>
      </w:r>
    </w:p>
    <w:p>
      <w:pPr>
        <w:ind w:left="604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5"/>
                <w:szCs w:val="15"/>
                <w:color w:val="auto"/>
              </w:rPr>
            </w:pPr>
          </w:p>
        </w:tc>
        <w:tc>
          <w:tcPr>
            <w:tcW w:w="3240" w:type="dxa"/>
            <w:vAlign w:val="bottom"/>
            <w:tcBorders>
              <w:top w:val="single" w:sz="8" w:color="auto"/>
              <w:bottom w:val="single" w:sz="8" w:color="CCEEFF"/>
            </w:tcBorders>
          </w:tcPr>
          <w:p>
            <w:pPr>
              <w:spacing w:after="0"/>
              <w:rPr>
                <w:sz w:val="15"/>
                <w:szCs w:val="15"/>
                <w:color w:val="auto"/>
              </w:rPr>
            </w:pPr>
          </w:p>
        </w:tc>
      </w:tr>
      <w:tr>
        <w:trPr>
          <w:trHeight w:val="1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Hedged item (intercompany loan)</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designated as hedging instrument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excluded from effectiveness testing</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bl>
    <w:p>
      <w:pPr>
        <w:spacing w:after="0" w:line="251" w:lineRule="exact"/>
        <w:rPr>
          <w:rFonts w:ascii="Times New Roman" w:cs="Times New Roman" w:eastAsia="Times New Roman" w:hAnsi="Times New Roman"/>
          <w:sz w:val="14"/>
          <w:szCs w:val="14"/>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expense recognized in earnings, pre-tax, for forward point components for the three months ended March 31, 2025 and March 31, 2024 was $0.4 million and $1.8 million, respectively.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effects of derivative instruments designated as fair value, cash flow, and net investment hedges on other comprehensive income (“OCI”) and earnings, net of tax:</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Amount of Gain (Loss) Recognized in OCI</w:t>
            </w:r>
          </w:p>
        </w:tc>
        <w:tc>
          <w:tcPr>
            <w:tcW w:w="80" w:type="dxa"/>
            <w:vAlign w:val="bottom"/>
          </w:tcPr>
          <w:p>
            <w:pPr>
              <w:spacing w:after="0"/>
              <w:rPr>
                <w:sz w:val="13"/>
                <w:szCs w:val="13"/>
                <w:color w:val="auto"/>
              </w:rPr>
            </w:pPr>
          </w:p>
        </w:tc>
        <w:tc>
          <w:tcPr>
            <w:tcW w:w="2480" w:type="dxa"/>
            <w:vAlign w:val="bottom"/>
            <w:gridSpan w:val="4"/>
          </w:tcPr>
          <w:p>
            <w:pPr>
              <w:jc w:val="center"/>
              <w:ind w:right="9"/>
              <w:spacing w:after="0"/>
              <w:rPr>
                <w:sz w:val="20"/>
                <w:szCs w:val="20"/>
                <w:color w:val="auto"/>
              </w:rPr>
            </w:pPr>
            <w:r>
              <w:rPr>
                <w:rFonts w:ascii="Times New Roman" w:cs="Times New Roman" w:eastAsia="Times New Roman" w:hAnsi="Times New Roman"/>
                <w:sz w:val="14"/>
                <w:szCs w:val="14"/>
                <w:color w:val="auto"/>
              </w:rPr>
              <w:t>Amount of (Gain) Loss Reclassified from</w:t>
            </w: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for the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center"/>
              <w:ind w:right="9"/>
              <w:spacing w:after="0"/>
              <w:rPr>
                <w:sz w:val="20"/>
                <w:szCs w:val="20"/>
                <w:color w:val="auto"/>
              </w:rPr>
            </w:pPr>
            <w:r>
              <w:rPr>
                <w:rFonts w:ascii="Times New Roman" w:cs="Times New Roman" w:eastAsia="Times New Roman" w:hAnsi="Times New Roman"/>
                <w:sz w:val="14"/>
                <w:szCs w:val="14"/>
                <w:color w:val="auto"/>
              </w:rPr>
              <w:t>Accumulated OCI into Income for the</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80" w:type="dxa"/>
            <w:vAlign w:val="bottom"/>
          </w:tcPr>
          <w:p>
            <w:pPr>
              <w:spacing w:after="0"/>
              <w:rPr>
                <w:sz w:val="13"/>
                <w:szCs w:val="13"/>
                <w:color w:val="auto"/>
              </w:rPr>
            </w:pPr>
          </w:p>
        </w:tc>
        <w:tc>
          <w:tcPr>
            <w:tcW w:w="2100" w:type="dxa"/>
            <w:vAlign w:val="bottom"/>
            <w:gridSpan w:val="3"/>
          </w:tcPr>
          <w:p>
            <w:pPr>
              <w:jc w:val="center"/>
              <w:ind w:left="229"/>
              <w:spacing w:after="0" w:line="155" w:lineRule="exact"/>
              <w:rPr>
                <w:sz w:val="20"/>
                <w:szCs w:val="20"/>
                <w:color w:val="auto"/>
              </w:rPr>
            </w:pPr>
            <w:r>
              <w:rPr>
                <w:rFonts w:ascii="Times New Roman" w:cs="Times New Roman" w:eastAsia="Times New Roman" w:hAnsi="Times New Roman"/>
                <w:sz w:val="14"/>
                <w:szCs w:val="14"/>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Location of (Gain) Loss Reclassified from</w:t>
            </w: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209"/>
              <w:spacing w:after="0"/>
              <w:rPr>
                <w:sz w:val="20"/>
                <w:szCs w:val="20"/>
                <w:color w:val="auto"/>
              </w:rPr>
            </w:pPr>
            <w:r>
              <w:rPr>
                <w:rFonts w:ascii="Times New Roman" w:cs="Times New Roman" w:eastAsia="Times New Roman" w:hAnsi="Times New Roman"/>
                <w:sz w:val="14"/>
                <w:szCs w:val="14"/>
                <w:color w:val="auto"/>
              </w:rPr>
              <w:t>March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Accumulated OCI into Income</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Refer to the above table which summarizes the effects of derivative instruments designated as fair value hedges within the other expense (income) line in our condensed consolidated statements of income for the three months ended March 31, 2025 and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cash flow and net investment hedges by line item in the condensed consolidated statements of income:</w:t>
      </w:r>
    </w:p>
    <w:p>
      <w:pPr>
        <w:spacing w:after="0" w:line="34"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4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w w:val="96"/>
              </w:rPr>
              <w:t>(0.1)</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0.1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not designated as hedges on the condensed 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4"/>
          </w:tcPr>
          <w:p>
            <w:pPr>
              <w:jc w:val="center"/>
              <w:ind w:right="29"/>
              <w:spacing w:after="0"/>
              <w:rPr>
                <w:sz w:val="20"/>
                <w:szCs w:val="20"/>
                <w:color w:val="auto"/>
              </w:rPr>
            </w:pPr>
            <w:r>
              <w:rPr>
                <w:rFonts w:ascii="Times New Roman" w:cs="Times New Roman" w:eastAsia="Times New Roman" w:hAnsi="Times New Roman"/>
                <w:sz w:val="14"/>
                <w:szCs w:val="14"/>
                <w:color w:val="auto"/>
              </w:rPr>
              <w:t>Amount of (Loss) Gain Recognized in Income for the</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left="809"/>
              <w:spacing w:after="0" w:line="142" w:lineRule="exact"/>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91"/>
        </w:trPr>
        <w:tc>
          <w:tcPr>
            <w:tcW w:w="4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789"/>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Location on Statement of Income</w:t>
            </w:r>
          </w:p>
        </w:tc>
      </w:tr>
      <w:tr>
        <w:trPr>
          <w:trHeight w:val="17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9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2025 and 2024, there was no material ineffectiveness related to these hedges.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Fair Value Measurements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5"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Unadjusted 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assets and liabilities recorded at fair value on a recurring basis:</w:t>
      </w:r>
    </w:p>
    <w:p>
      <w:pPr>
        <w:spacing w:after="0" w:line="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Balance at</w:t>
      </w:r>
    </w:p>
    <w:p>
      <w:pPr>
        <w:spacing w:after="0" w:line="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March 31,</w:t>
      </w:r>
    </w:p>
    <w:tbl>
      <w:tblPr>
        <w:tblLayout w:type="fixed"/>
        <w:tblInd w:w="20" w:type="dxa"/>
        <w:tblCellMar>
          <w:top w:w="0" w:type="dxa"/>
          <w:left w:w="0" w:type="dxa"/>
          <w:bottom w:w="0" w:type="dxa"/>
          <w:right w:w="0" w:type="dxa"/>
        </w:tblCellMar>
      </w:tblPr>
      <w:tr>
        <w:trPr>
          <w:trHeight w:val="179"/>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72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Cross-currency swap</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Commodity call options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8"/>
              </w:rPr>
              <w:t>Liabilities:</w:t>
            </w:r>
          </w:p>
        </w:tc>
        <w:tc>
          <w:tcPr>
            <w:tcW w:w="4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0" w:type="dxa"/>
            <w:vAlign w:val="bottom"/>
            <w:tcBorders>
              <w:bottom w:val="single" w:sz="8" w:color="auto"/>
            </w:tcBorders>
            <w:gridSpan w:val="2"/>
            <w:vMerge w:val="continue"/>
          </w:tcPr>
          <w:p>
            <w:pPr>
              <w:spacing w:after="0"/>
              <w:rPr>
                <w:sz w:val="11"/>
                <w:szCs w:val="11"/>
                <w:color w:val="auto"/>
              </w:rPr>
            </w:pPr>
          </w:p>
        </w:tc>
        <w:tc>
          <w:tcPr>
            <w:tcW w:w="4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8"/>
              </w:rPr>
              <w:t>Balance at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9"/>
              <w:spacing w:after="0" w:line="142" w:lineRule="exact"/>
              <w:rPr>
                <w:sz w:val="20"/>
                <w:szCs w:val="20"/>
                <w:color w:val="auto"/>
              </w:rPr>
            </w:pPr>
            <w:r>
              <w:rPr>
                <w:rFonts w:ascii="Times New Roman" w:cs="Times New Roman" w:eastAsia="Times New Roman" w:hAnsi="Times New Roman"/>
                <w:sz w:val="14"/>
                <w:szCs w:val="14"/>
                <w:color w:val="auto"/>
                <w:w w:val="99"/>
              </w:rPr>
              <w:t>December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72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Cross-currency swap</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Commodity call options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8"/>
              </w:rPr>
              <w:t>Liabilities:</w:t>
            </w:r>
          </w:p>
        </w:tc>
        <w:tc>
          <w:tcPr>
            <w:tcW w:w="4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0" w:type="dxa"/>
            <w:vAlign w:val="bottom"/>
            <w:tcBorders>
              <w:bottom w:val="single" w:sz="8" w:color="auto"/>
            </w:tcBorders>
            <w:gridSpan w:val="2"/>
            <w:vMerge w:val="continue"/>
          </w:tcPr>
          <w:p>
            <w:pPr>
              <w:spacing w:after="0"/>
              <w:rPr>
                <w:sz w:val="11"/>
                <w:szCs w:val="11"/>
                <w:color w:val="auto"/>
              </w:rPr>
            </w:pPr>
          </w:p>
        </w:tc>
        <w:tc>
          <w:tcPr>
            <w:tcW w:w="4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-3273425</wp:posOffset>
            </wp:positionV>
            <wp:extent cx="716153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-3044825</wp:posOffset>
            </wp:positionV>
            <wp:extent cx="716153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-2815590</wp:posOffset>
            </wp:positionV>
            <wp:extent cx="716153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-2323465</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-2094865</wp:posOffset>
            </wp:positionV>
            <wp:extent cx="71615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-2566035</wp:posOffset>
            </wp:positionV>
            <wp:extent cx="7161530"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-3509645</wp:posOffset>
            </wp:positionV>
            <wp:extent cx="7161530"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-1326515</wp:posOffset>
            </wp:positionV>
            <wp:extent cx="716153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-1097280</wp:posOffset>
            </wp:positionV>
            <wp:extent cx="716153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-868680</wp:posOffset>
            </wp:positionV>
            <wp:extent cx="716153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6153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-619125</wp:posOffset>
            </wp:positionV>
            <wp:extent cx="716153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7161530" cy="121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309943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94"/>
              </w:rPr>
              <w:t>Level 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347"/>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8.5</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37.8</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46.3</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9"/>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8.6</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8.6</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10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8"/>
        </w:trPr>
        <w:tc>
          <w:tcPr>
            <w:tcW w:w="3100" w:type="dxa"/>
            <w:vAlign w:val="bottom"/>
            <w:gridSpan w:val="5"/>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200" w:type="dxa"/>
            <w:vAlign w:val="bottom"/>
          </w:tcPr>
          <w:p>
            <w:pPr>
              <w:spacing w:after="0"/>
              <w:rPr>
                <w:sz w:val="22"/>
                <w:szCs w:val="22"/>
                <w:color w:val="auto"/>
              </w:rPr>
            </w:pPr>
          </w:p>
        </w:tc>
      </w:tr>
      <w:tr>
        <w:trPr>
          <w:trHeight w:val="329"/>
        </w:trPr>
        <w:tc>
          <w:tcPr>
            <w:tcW w:w="10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94"/>
              </w:rPr>
              <w:t>Level 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347"/>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117.6</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128.7</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9"/>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11.2</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11.2</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-1953260</wp:posOffset>
            </wp:positionV>
            <wp:extent cx="99695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-2580005</wp:posOffset>
            </wp:positionV>
            <wp:extent cx="99695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-2701290</wp:posOffset>
            </wp:positionV>
            <wp:extent cx="99695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-6350</wp:posOffset>
            </wp:positionV>
            <wp:extent cx="99695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-632460</wp:posOffset>
            </wp:positionV>
            <wp:extent cx="9969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-753745</wp:posOffset>
            </wp:positionV>
            <wp:extent cx="9969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-1771015</wp:posOffset>
            </wp:positionV>
            <wp:extent cx="309943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500"/>
            <w:col w:w="4300"/>
          </w:cols>
          <w:pgMar w:left="300" w:top="1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carrying amounts of our cash and accounts receivable approximate their fair values due to their near-term maturities.</w:t>
      </w:r>
    </w:p>
    <w:p>
      <w:pPr>
        <w:spacing w:after="0" w:line="20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estimated fair value of long-term debt is based on quoted market prices for debt issuances with similar terms and maturities and is classified as Level 2 within the fair value hierarchy. At March 31, 2025, the estimated fair value of long-term debt was $201.2 million compared to a carrying amount of $202.6 million. At December 31, 2024, the estimated fair value of long-term debt was $200.5 million and the carrying amount was $202.6 million. As of March 31, 2025 and December 31, 2024, all debt is long-term.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Accumulated Other Comprehensive Loss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61"/>
        </w:trPr>
        <w:tc>
          <w:tcPr>
            <w:tcW w:w="102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three months ended March 31, 2025: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0"/>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rPr>
              <w:t>Change in equity affiliate</w:t>
            </w:r>
          </w:p>
        </w:tc>
        <w:tc>
          <w:tcPr>
            <w:tcW w:w="100" w:type="dxa"/>
            <w:vAlign w:val="bottom"/>
          </w:tcPr>
          <w:p>
            <w:pPr>
              <w:spacing w:after="0"/>
              <w:rPr>
                <w:sz w:val="13"/>
                <w:szCs w:val="13"/>
                <w:color w:val="auto"/>
              </w:rPr>
            </w:pPr>
          </w:p>
        </w:tc>
        <w:tc>
          <w:tcPr>
            <w:tcW w:w="21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Defined benefit pension and other</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color w:val="auto"/>
              </w:rPr>
              <w:t>Foreign currency</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investment AOCI</w:t>
            </w:r>
          </w:p>
        </w:tc>
        <w:tc>
          <w:tcPr>
            <w:tcW w:w="10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postretirement plans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income (loss)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three months ended March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Change in equity affiliate</w:t>
            </w:r>
          </w:p>
        </w:tc>
        <w:tc>
          <w:tcPr>
            <w:tcW w:w="100" w:type="dxa"/>
            <w:vAlign w:val="bottom"/>
          </w:tcPr>
          <w:p>
            <w:pPr>
              <w:spacing w:after="0"/>
              <w:rPr>
                <w:sz w:val="13"/>
                <w:szCs w:val="13"/>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Defined benefit pension and other</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Foreign currency</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investment AOCI</w:t>
            </w:r>
          </w:p>
        </w:tc>
        <w:tc>
          <w:tcPr>
            <w:tcW w:w="10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postretirement plans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(loss) income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reclassifications out from accumulated other comprehensive loss is presented in the following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8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color w:val="auto"/>
              </w:rPr>
              <w:t>March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Detail of components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Location on Statement of Income</w:t>
            </w:r>
          </w:p>
        </w:tc>
        <w:tc>
          <w:tcPr>
            <w:tcW w:w="0" w:type="dxa"/>
            <w:vAlign w:val="bottom"/>
          </w:tcPr>
          <w:p>
            <w:pPr>
              <w:spacing w:after="0"/>
              <w:rPr>
                <w:sz w:val="1"/>
                <w:szCs w:val="1"/>
                <w:color w:val="auto"/>
              </w:rPr>
            </w:pPr>
          </w:p>
        </w:tc>
      </w:tr>
      <w:tr>
        <w:trPr>
          <w:trHeight w:val="171"/>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gains on derivatives:</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Forward treasury locks</w:t>
            </w:r>
          </w:p>
        </w:tc>
        <w:tc>
          <w:tcPr>
            <w:tcW w:w="9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4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Amortization of defined benefit pension and other postretirement plans: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gains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This component is included in the computation of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Shareholders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3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three months ended March 31, 2025:</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70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24"/>
                <w:szCs w:val="24"/>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 in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1"/>
                <w:szCs w:val="11"/>
                <w:color w:val="auto"/>
              </w:rPr>
            </w:pPr>
          </w:p>
        </w:tc>
        <w:tc>
          <w:tcPr>
            <w:tcW w:w="8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6"/>
              </w:rPr>
              <w:t>Shares</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6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Excess of Par</w:t>
            </w:r>
          </w:p>
        </w:tc>
        <w:tc>
          <w:tcPr>
            <w:tcW w:w="9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2,682.3</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($0.21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three months ended March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 in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6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Excess of Par</w:t>
            </w:r>
          </w:p>
        </w:tc>
        <w:tc>
          <w:tcPr>
            <w:tcW w:w="9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Stock-Based Compensation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2025, there were 1.1 million shares remaining in the 2016 Plan for future grants.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2025, the Company granted 53,056 stock options at a weighted average exercise price of $211.00 per share based on the grant-date fair value of our stock to employees under the 2016 Plan. The weighted average grant date fair value of options granted was $91.28 per share as determined by the Black-Scholes option valuation model using the following weighted average assumptions: a risk-free interest rate of 4.5%; expected life of 6.4 years based on prior experience; stock volatility of 37.0% based on historical data; and a dividend yield of 0.4%. Stock option expense is recognized over the vesting period, net of forfeitures.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During the three months ended March 31, 2025, the Company granted 45,921 stock-settled performance share unit (“PSU”) awards at a weighted average grant-date fair value of $211.00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2025, the Company granted 39,671 stock-settled restricted share unit (“RSU”) awards at a weighted average grant-date fair value of $211.00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 was $1.3 million and $5.0 million for the three months ended March 31, 2025 and 2024, respectively.</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14: Other Expense (Income)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consists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8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r>
      <w:tr>
        <w:trPr>
          <w:trHeight w:val="184"/>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78"/>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related charges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transaction losses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items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 and Related Charges</w:t>
      </w:r>
    </w:p>
    <w:p>
      <w:pPr>
        <w:spacing w:after="0" w:line="20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In January 2025, the Company approved a restructuring plan to adjust our operating cost base to better respond to the macroeconomic factors influencing our business. These changes are expected to be implemented over a period of approximately twenty-four to thirty-six months from the date of approval. The plan is expected to require restructuring and related charges of approximately,</w:t>
      </w:r>
    </w:p>
    <w:p>
      <w:pPr>
        <w:spacing w:after="0" w:line="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4"/>
          <w:szCs w:val="14"/>
          <w:color w:val="auto"/>
        </w:rPr>
        <w:t>$30 million to $32 million, with annualized savings in the range of $35 million to $40 million. The following table presents activity related to our restructuring obligations related to our 2025 restructuring plan:</w:t>
      </w: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6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and benefits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Asset-related charges</w:t>
            </w: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 (Credits)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6"/>
              </w:rPr>
              <w:t>(4.5)</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asset write downs</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(0.8)</w:t>
            </w:r>
          </w:p>
        </w:tc>
      </w:tr>
      <w:tr>
        <w:trPr>
          <w:trHeight w:val="196"/>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Contingent consideration represents changes in the fair value of the SmartDose® contingent consideration. 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additional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Income Taxes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4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$24.1 million and $16.4 million for the three months ended March 31, 2025 and 2024, respectively, and the effective tax rate was 21.8% and 12.9%, respectively. The increase in the effective tax rate is primarily due to a decrease in the tax benefit related to stock-based compensation in the three months ended March 31, 2025 as compared to the same period in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continues to address the change in tax laws enacted pursuant to the Organization for Economic Cooperation and Development (OECD)’s 15% global minimum tax initiative (Pillar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2025 forecasted impact of Pillar 2 is not expected to be material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Commitments and Contingencies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significant changes to commitments and contingencies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Segment Information</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information about our reportable segments, reconciled to consolidated totals: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gridSpan w:val="4"/>
          </w:tcPr>
          <w:p>
            <w:pPr>
              <w:jc w:val="right"/>
              <w:ind w:right="94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249"/>
              <w:spacing w:after="0"/>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Proprietary Products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net sales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The following tables provide summarized financial information for our two reportable segments and corporate and unallocated:</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March 31, 2025</w:t>
            </w:r>
          </w:p>
        </w:tc>
        <w:tc>
          <w:tcPr>
            <w:tcW w:w="160" w:type="dxa"/>
            <w:vAlign w:val="bottom"/>
          </w:tcPr>
          <w:p>
            <w:pPr>
              <w:spacing w:after="0"/>
              <w:rPr>
                <w:sz w:val="13"/>
                <w:szCs w:val="13"/>
                <w:color w:val="auto"/>
              </w:rPr>
            </w:pPr>
          </w:p>
        </w:tc>
        <w:tc>
          <w:tcPr>
            <w:tcW w:w="1400" w:type="dxa"/>
            <w:vAlign w:val="bottom"/>
          </w:tcPr>
          <w:p>
            <w:pPr>
              <w:jc w:val="right"/>
              <w:ind w:right="149"/>
              <w:spacing w:after="0" w:line="155" w:lineRule="exact"/>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Corporate and Unallocated</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 consolidated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6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unallocated assets primarily include investments in affiliated companies, cash and cash equivalents, property, plant and equipment used in our corporate operations and deferred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color w:val="auto"/>
              </w:rPr>
              <w:t>March 31,</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2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73"/>
              <w:spacing w:after="0" w:line="140"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and Unallocated</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consolidated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color w:val="auto"/>
              </w:rPr>
              <w:t>March 31,</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2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73"/>
              <w:spacing w:after="0" w:line="140"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Proprietary Products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and Unallocated</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consolidated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
        </w:trPr>
        <w:tc>
          <w:tcPr>
            <w:tcW w:w="46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provides summarized financial information for our segments:</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6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color w:val="auto"/>
              </w:rPr>
              <w:t>Three months ended March 31, 2025</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color w:val="auto"/>
              </w:rPr>
              <w:t>Three months ended March 31, 2024</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Proprietary Products</w:t>
            </w: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Contract Manufacturing</w:t>
            </w:r>
          </w:p>
        </w:tc>
        <w:tc>
          <w:tcPr>
            <w:tcW w:w="26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Proprietary Products</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Contract Manufacturing</w:t>
            </w:r>
          </w:p>
        </w:tc>
        <w:tc>
          <w:tcPr>
            <w:tcW w:w="140" w:type="dxa"/>
            <w:vAlign w:val="bottom"/>
          </w:tcPr>
          <w:p>
            <w:pPr>
              <w:spacing w:after="0"/>
              <w:rPr>
                <w:sz w:val="14"/>
                <w:szCs w:val="14"/>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698.0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Cost of goods and services sold</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Other segment expense (income)</w:t>
            </w:r>
            <w:r>
              <w:rPr>
                <w:rFonts w:ascii="Times New Roman" w:cs="Times New Roman" w:eastAsia="Times New Roman" w:hAnsi="Times New Roman"/>
                <w:sz w:val="16"/>
                <w:szCs w:val="16"/>
                <w:color w:val="auto"/>
                <w:vertAlign w:val="superscript"/>
              </w:rPr>
              <w:t>(4)</w:t>
            </w: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Segment operating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144.1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10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profit or loss: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Corporate general costs</w:t>
            </w:r>
            <w:r>
              <w:rPr>
                <w:rFonts w:ascii="Times New Roman" w:cs="Times New Roman" w:eastAsia="Times New Roman" w:hAnsi="Times New Roman"/>
                <w:sz w:val="16"/>
                <w:szCs w:val="16"/>
                <w:color w:val="auto"/>
                <w:vertAlign w:val="superscript"/>
              </w:rPr>
              <w:t>(1)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Unallocated items: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ind w:left="260"/>
              <w:spacing w:after="0" w:line="172" w:lineRule="exact"/>
              <w:rPr>
                <w:sz w:val="20"/>
                <w:szCs w:val="20"/>
                <w:color w:val="auto"/>
              </w:rPr>
            </w:pPr>
            <w:r>
              <w:rPr>
                <w:rFonts w:ascii="Times New Roman" w:cs="Times New Roman" w:eastAsia="Times New Roman" w:hAnsi="Times New Roman"/>
                <w:sz w:val="13"/>
                <w:szCs w:val="13"/>
                <w:color w:val="auto"/>
              </w:rPr>
              <w:t>Restructuring and related charges</w:t>
            </w:r>
            <w:r>
              <w:rPr>
                <w:rFonts w:ascii="Times New Roman" w:cs="Times New Roman" w:eastAsia="Times New Roman" w:hAnsi="Times New Roman"/>
                <w:sz w:val="16"/>
                <w:szCs w:val="16"/>
                <w:color w:val="auto"/>
                <w:vertAlign w:val="superscript"/>
              </w:rPr>
              <w:t>(2)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3"/>
          </w:tcPr>
          <w:p>
            <w:pPr>
              <w:ind w:left="260"/>
              <w:spacing w:after="0" w:line="170" w:lineRule="exact"/>
              <w:rPr>
                <w:sz w:val="20"/>
                <w:szCs w:val="20"/>
                <w:color w:val="auto"/>
              </w:rPr>
            </w:pPr>
            <w:r>
              <w:rPr>
                <w:rFonts w:ascii="Times New Roman" w:cs="Times New Roman" w:eastAsia="Times New Roman" w:hAnsi="Times New Roman"/>
                <w:sz w:val="13"/>
                <w:szCs w:val="13"/>
                <w:color w:val="auto"/>
              </w:rPr>
              <w:t>Amortization of acquisition-related intangible assets</w:t>
            </w:r>
            <w:r>
              <w:rPr>
                <w:rFonts w:ascii="Times New Roman" w:cs="Times New Roman" w:eastAsia="Times New Roman" w:hAnsi="Times New Roman"/>
                <w:sz w:val="16"/>
                <w:szCs w:val="16"/>
                <w:color w:val="auto"/>
                <w:vertAlign w:val="superscript"/>
              </w:rPr>
              <w:t>(3)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consolidated operating profit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20" w:type="dxa"/>
            <w:vAlign w:val="bottom"/>
            <w:gridSpan w:val="3"/>
          </w:tcPr>
          <w:p>
            <w:pPr>
              <w:ind w:left="120"/>
              <w:spacing w:after="0" w:line="128" w:lineRule="exact"/>
              <w:rPr>
                <w:sz w:val="20"/>
                <w:szCs w:val="20"/>
                <w:color w:val="auto"/>
              </w:rPr>
            </w:pPr>
            <w:r>
              <w:rPr>
                <w:rFonts w:ascii="Times New Roman" w:cs="Times New Roman" w:eastAsia="Times New Roman" w:hAnsi="Times New Roman"/>
                <w:sz w:val="13"/>
                <w:szCs w:val="13"/>
                <w:color w:val="auto"/>
              </w:rPr>
              <w:t>Interest (income) expense and other nonoperating expense</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ind w:left="58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(income), net</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332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Income before income taxes and equity in net income of</w:t>
            </w: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affiliated companies</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5"/>
        <w:spacing w:after="0" w:line="287"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costs includes executive and director compensation, certain pension and other retirement benefit costs, and other corporate facilities and administrative expenses not allocated to the segments.</w:t>
      </w:r>
    </w:p>
    <w:p>
      <w:pPr>
        <w:spacing w:after="0" w:line="145" w:lineRule="exact"/>
        <w:rPr>
          <w:rFonts w:ascii="Times New Roman" w:cs="Times New Roman" w:eastAsia="Times New Roman" w:hAnsi="Times New Roman"/>
          <w:sz w:val="14"/>
          <w:szCs w:val="14"/>
          <w:color w:val="auto"/>
        </w:rPr>
      </w:pPr>
    </w:p>
    <w:p>
      <w:pPr>
        <w:ind w:firstLine="5"/>
        <w:spacing w:after="0" w:line="270"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52525"/>
        </w:rPr>
        <w:t xml:space="preserve">During the three months ended </w:t>
      </w:r>
      <w:r>
        <w:rPr>
          <w:rFonts w:ascii="Times New Roman" w:cs="Times New Roman" w:eastAsia="Times New Roman" w:hAnsi="Times New Roman"/>
          <w:sz w:val="14"/>
          <w:szCs w:val="14"/>
          <w:color w:val="000000"/>
        </w:rPr>
        <w:t>March 31, 2025, the Company recorded charges of $17.8 million related to restructuring programs. The Company recorded $16.4 million of the charge within other</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expense (income), related to severance and acceleration of depreciation and lease costs in connection with the Company's 2025 restructuring plan. The remaining $1.4 million of expense, recorded within selling, general and administrative expenses, relates to our plan to optimize the legal structure of the Company and its subsidiaries.</w:t>
      </w:r>
    </w:p>
    <w:p>
      <w:pPr>
        <w:spacing w:after="0" w:line="156" w:lineRule="exact"/>
        <w:rPr>
          <w:rFonts w:ascii="Times New Roman" w:cs="Times New Roman" w:eastAsia="Times New Roman" w:hAnsi="Times New Roman"/>
          <w:sz w:val="14"/>
          <w:szCs w:val="14"/>
          <w:color w:val="auto"/>
        </w:rPr>
      </w:pPr>
    </w:p>
    <w:p>
      <w:pPr>
        <w:ind w:right="60" w:firstLine="5"/>
        <w:spacing w:after="0" w:line="287"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2025 and 2024, we recorded $0.2 million of amortization expense within operating profit associated with an intangible asset acquired during the second quarter of 2020.</w:t>
      </w:r>
    </w:p>
    <w:p>
      <w:pPr>
        <w:spacing w:after="0" w:line="145" w:lineRule="exact"/>
        <w:rPr>
          <w:rFonts w:ascii="Times New Roman" w:cs="Times New Roman" w:eastAsia="Times New Roman" w:hAnsi="Times New Roman"/>
          <w:sz w:val="14"/>
          <w:szCs w:val="14"/>
          <w:color w:val="auto"/>
        </w:rPr>
      </w:pPr>
    </w:p>
    <w:p>
      <w:pPr>
        <w:ind w:right="300" w:firstLine="5"/>
        <w:spacing w:after="0" w:line="287"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 (income) primarily includes foreign exchange transaction gains and losses, adjustments to contingent consideration and asset impairments attributable to the segments during the three months ended March 31, 2025 and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14, </w:t>
      </w:r>
      <w:r>
        <w:rPr>
          <w:rFonts w:ascii="Times New Roman" w:cs="Times New Roman" w:eastAsia="Times New Roman" w:hAnsi="Times New Roman"/>
          <w:sz w:val="14"/>
          <w:szCs w:val="14"/>
          <w:i w:val="1"/>
          <w:iCs w:val="1"/>
          <w:u w:val="single" w:color="auto"/>
          <w:color w:val="0000FF"/>
        </w:rPr>
        <w:t>Other Expense (Income)</w:t>
      </w:r>
      <w:r>
        <w:rPr>
          <w:rFonts w:ascii="Times New Roman" w:cs="Times New Roman" w:eastAsia="Times New Roman" w:hAnsi="Times New Roman"/>
          <w:sz w:val="14"/>
          <w:szCs w:val="14"/>
          <w:color w:val="auto"/>
        </w:rPr>
        <w:t>, for further discussion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2024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2024 Annual Report and in Part II, Item 1A of this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Throughout this section, references to “Notes” refer to the notes to our condensed consolidated financial statements (unaudited) in Part I, Item 1 of this Form 10-Q, unless otherwise indicated.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Factors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recent months, the U.S. government has imposed additional tariffs and trade restrictions on certain goods produced outside of the United States. In response to these actions, certain jurisdictions, including China, Mexico, Canada and the European Union, have imposed or are considering imposing tariffs and restrictions on certain goods produced in the United States. We continue to monitor this dynamic situation to assess the impact of these tariffs on our business and actions we can take to minimize their impact. Based on the information available at this time, we do not believe the impact will be material to our 2025 results.</w:t>
      </w:r>
    </w:p>
    <w:p>
      <w:pPr>
        <w:spacing w:after="0" w:line="16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Performance Summary</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400" w:type="dxa"/>
            <w:vAlign w:val="bottom"/>
            <w:gridSpan w:val="8"/>
          </w:tcPr>
          <w:p>
            <w:pPr>
              <w:spacing w:after="0"/>
              <w:rPr>
                <w:sz w:val="20"/>
                <w:szCs w:val="20"/>
                <w:color w:val="auto"/>
              </w:rPr>
            </w:pPr>
            <w:r>
              <w:rPr>
                <w:rFonts w:ascii="Times New Roman" w:cs="Times New Roman" w:eastAsia="Times New Roman" w:hAnsi="Times New Roman"/>
                <w:sz w:val="14"/>
                <w:szCs w:val="14"/>
                <w:color w:val="252525"/>
              </w:rPr>
              <w:t xml:space="preserve">The following tables present a reconciliation from U.S. GAAP to non-U.S. GAAP financial measures for the three months ended </w:t>
            </w:r>
            <w:r>
              <w:rPr>
                <w:rFonts w:ascii="Times New Roman" w:cs="Times New Roman" w:eastAsia="Times New Roman" w:hAnsi="Times New Roman"/>
                <w:sz w:val="14"/>
                <w:szCs w:val="14"/>
                <w:color w:val="000000"/>
              </w:rPr>
              <w:t>March 31, 2025:</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Profit</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7"/>
                <w:szCs w:val="17"/>
                <w:color w:val="auto"/>
              </w:rPr>
            </w:pPr>
          </w:p>
        </w:tc>
        <w:tc>
          <w:tcPr>
            <w:tcW w:w="13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 March 31, 2025 GAAP</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180"/>
        </w:trPr>
        <w:tc>
          <w:tcPr>
            <w:tcW w:w="4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 March 31, 2025 adjusted amounts (non-U.S. GAAP)</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During the </w:t>
      </w:r>
      <w:r>
        <w:rPr>
          <w:rFonts w:ascii="Times New Roman" w:cs="Times New Roman" w:eastAsia="Times New Roman" w:hAnsi="Times New Roman"/>
          <w:sz w:val="14"/>
          <w:szCs w:val="14"/>
          <w:color w:val="252525"/>
        </w:rPr>
        <w:t>three months ended</w:t>
      </w:r>
      <w:r>
        <w:rPr>
          <w:rFonts w:ascii="Times New Roman" w:cs="Times New Roman" w:eastAsia="Times New Roman" w:hAnsi="Times New Roman"/>
          <w:sz w:val="14"/>
          <w:szCs w:val="14"/>
          <w:color w:val="auto"/>
        </w:rPr>
        <w:t xml:space="preserve"> March 31, 2025, we recorded a tax benefit of $1.7 million associated with stock-based compensation.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gridSpan w:val="8"/>
          </w:tcPr>
          <w:p>
            <w:pPr>
              <w:spacing w:after="0"/>
              <w:rPr>
                <w:sz w:val="20"/>
                <w:szCs w:val="20"/>
                <w:color w:val="auto"/>
              </w:rPr>
            </w:pPr>
            <w:r>
              <w:rPr>
                <w:rFonts w:ascii="Times New Roman" w:cs="Times New Roman" w:eastAsia="Times New Roman" w:hAnsi="Times New Roman"/>
                <w:sz w:val="14"/>
                <w:szCs w:val="14"/>
                <w:color w:val="252525"/>
              </w:rPr>
              <w:t xml:space="preserve">The following tables present a reconciliation from U.S. GAAP to non-U.S. GAAP financial measures for the three months ended </w:t>
            </w:r>
            <w:r>
              <w:rPr>
                <w:rFonts w:ascii="Times New Roman" w:cs="Times New Roman" w:eastAsia="Times New Roman" w:hAnsi="Times New Roman"/>
                <w:sz w:val="14"/>
                <w:szCs w:val="14"/>
                <w:color w:val="000000"/>
              </w:rPr>
              <w:t>March 31, 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Profit</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7"/>
                <w:szCs w:val="17"/>
                <w:color w:val="auto"/>
              </w:rPr>
            </w:pPr>
          </w:p>
        </w:tc>
        <w:tc>
          <w:tcPr>
            <w:tcW w:w="13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Diluted EPS</w:t>
            </w:r>
          </w:p>
        </w:tc>
      </w:tr>
      <w:tr>
        <w:trPr>
          <w:trHeight w:val="192"/>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 March 31, 2024 GAAP</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March 31, 2024 adjusted amounts (non-U.S. GAAP)</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During the </w:t>
      </w:r>
      <w:r>
        <w:rPr>
          <w:rFonts w:ascii="Times New Roman" w:cs="Times New Roman" w:eastAsia="Times New Roman" w:hAnsi="Times New Roman"/>
          <w:sz w:val="14"/>
          <w:szCs w:val="14"/>
          <w:color w:val="252525"/>
        </w:rPr>
        <w:t>three months ended</w:t>
      </w:r>
      <w:r>
        <w:rPr>
          <w:rFonts w:ascii="Times New Roman" w:cs="Times New Roman" w:eastAsia="Times New Roman" w:hAnsi="Times New Roman"/>
          <w:sz w:val="14"/>
          <w:szCs w:val="14"/>
          <w:color w:val="auto"/>
        </w:rPr>
        <w:t xml:space="preserve"> March 31, 2024, we recorded a tax benefit of $10.9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40" w:hanging="260"/>
        <w:spacing w:after="0" w:line="270" w:lineRule="auto"/>
        <w:tabs>
          <w:tab w:leader="none" w:pos="51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During the three months ended </w:t>
      </w:r>
      <w:r>
        <w:rPr>
          <w:rFonts w:ascii="Times New Roman" w:cs="Times New Roman" w:eastAsia="Times New Roman" w:hAnsi="Times New Roman"/>
          <w:sz w:val="14"/>
          <w:szCs w:val="14"/>
          <w:color w:val="000000"/>
        </w:rPr>
        <w:t>March 31, 2025, the Company recorded charges of $17.8 million related to restructuring programs. The Company recorded $16.4 million of the charge within</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other expense (income), related to severance and acceleration of depreciation and lease costs in connection with the Company's 2025 restructuring plan. The remaining $1.4 million of expense, recorded within selling, general and administrative expenses, relates to our plan to optimize the legal structure of the Company and its subsidiaries.</w:t>
      </w:r>
    </w:p>
    <w:p>
      <w:pPr>
        <w:spacing w:after="0" w:line="156" w:lineRule="exact"/>
        <w:rPr>
          <w:rFonts w:ascii="Times New Roman" w:cs="Times New Roman" w:eastAsia="Times New Roman" w:hAnsi="Times New Roman"/>
          <w:sz w:val="14"/>
          <w:szCs w:val="14"/>
          <w:color w:val="252525"/>
        </w:rPr>
      </w:pPr>
    </w:p>
    <w:p>
      <w:pPr>
        <w:ind w:left="520" w:right="160" w:hanging="260"/>
        <w:spacing w:after="0" w:line="270" w:lineRule="auto"/>
        <w:tabs>
          <w:tab w:leader="none" w:pos="515" w:val="left"/>
        </w:tabs>
        <w:numPr>
          <w:ilvl w:val="0"/>
          <w:numId w:val="6"/>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During the three months ended </w:t>
      </w:r>
      <w:r>
        <w:rPr>
          <w:rFonts w:ascii="Times New Roman" w:cs="Times New Roman" w:eastAsia="Times New Roman" w:hAnsi="Times New Roman"/>
          <w:sz w:val="14"/>
          <w:szCs w:val="14"/>
          <w:color w:val="000000"/>
        </w:rPr>
        <w:t>March 31, 2025 and 2024</w:t>
      </w:r>
      <w:r>
        <w:rPr>
          <w:rFonts w:ascii="Times New Roman" w:cs="Times New Roman" w:eastAsia="Times New Roman" w:hAnsi="Times New Roman"/>
          <w:sz w:val="14"/>
          <w:szCs w:val="14"/>
          <w:color w:val="252525"/>
        </w:rPr>
        <w:t xml:space="preserve">, the Company recorded </w:t>
      </w:r>
      <w:r>
        <w:rPr>
          <w:rFonts w:ascii="Times New Roman" w:cs="Times New Roman" w:eastAsia="Times New Roman" w:hAnsi="Times New Roman"/>
          <w:sz w:val="14"/>
          <w:szCs w:val="14"/>
          <w:color w:val="000000"/>
        </w:rPr>
        <w:t>$0.2 million</w:t>
      </w:r>
      <w:r>
        <w:rPr>
          <w:rFonts w:ascii="Times New Roman" w:cs="Times New Roman" w:eastAsia="Times New Roman" w:hAnsi="Times New Roman"/>
          <w:sz w:val="14"/>
          <w:szCs w:val="14"/>
          <w:color w:val="252525"/>
        </w:rPr>
        <w:t xml:space="preserve"> of amortization expense within operating profit associated with an intangible asset acquired during </w:t>
      </w:r>
      <w:r>
        <w:rPr>
          <w:rFonts w:ascii="Times New Roman" w:cs="Times New Roman" w:eastAsia="Times New Roman" w:hAnsi="Times New Roman"/>
          <w:sz w:val="14"/>
          <w:szCs w:val="14"/>
          <w:color w:val="000000"/>
        </w:rPr>
        <w:t>the second quarter of 2020. During the</w:t>
      </w:r>
      <w:r>
        <w:rPr>
          <w:rFonts w:ascii="Times New Roman" w:cs="Times New Roman" w:eastAsia="Times New Roman" w:hAnsi="Times New Roman"/>
          <w:sz w:val="14"/>
          <w:szCs w:val="14"/>
          <w:color w:val="252525"/>
        </w:rPr>
        <w:t xml:space="preserve"> three months ended </w:t>
      </w:r>
      <w:r>
        <w:rPr>
          <w:rFonts w:ascii="Times New Roman" w:cs="Times New Roman" w:eastAsia="Times New Roman" w:hAnsi="Times New Roman"/>
          <w:sz w:val="14"/>
          <w:szCs w:val="14"/>
          <w:color w:val="000000"/>
        </w:rPr>
        <w:t>March 31, 2025 and 2024, the Company recorded $0.4 million and $0.5 million, respectively, of amortization expense</w:t>
      </w:r>
      <w:r>
        <w:rPr>
          <w:rFonts w:ascii="Times New Roman" w:cs="Times New Roman" w:eastAsia="Times New Roman" w:hAnsi="Times New Roman"/>
          <w:sz w:val="14"/>
          <w:szCs w:val="14"/>
          <w:color w:val="252525"/>
        </w:rPr>
        <w:t xml:space="preserve"> in association with an acquisition of increased ownership interest in Daikyo.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Percentages in the following tables and throughout the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xml:space="preserve"> section may reflect rounding adjustments.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sales, consolidated and by reportable segment, for the three months ended March 31, 2025 and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4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color w:val="auto"/>
              </w:rPr>
              <w:t>Percentage Change</w:t>
            </w:r>
          </w:p>
        </w:tc>
        <w:tc>
          <w:tcPr>
            <w:tcW w:w="1100" w:type="dxa"/>
            <w:vAlign w:val="bottom"/>
            <w:tcBorders>
              <w:bottom w:val="single" w:sz="8" w:color="auto"/>
            </w:tcBorders>
          </w:tcPr>
          <w:p>
            <w:pPr>
              <w:spacing w:after="0"/>
              <w:rPr>
                <w:sz w:val="16"/>
                <w:szCs w:val="16"/>
                <w:color w:val="auto"/>
              </w:rPr>
            </w:pPr>
          </w:p>
        </w:tc>
      </w:tr>
      <w:tr>
        <w:trPr>
          <w:trHeight w:val="17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23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As-Reported</w:t>
            </w:r>
          </w:p>
        </w:tc>
        <w:tc>
          <w:tcPr>
            <w:tcW w:w="11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Organic</w:t>
            </w:r>
          </w:p>
        </w:tc>
      </w:tr>
      <w:tr>
        <w:trPr>
          <w:trHeight w:val="17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Consolidated net sales increased by $2.6 million, or 0.4%, for the three months ended March 31, 2025, as compared to the same period in 2024, including an unfavorable foreign currency translation impact of $11.7 million. Excluding foreign currency translation effects, consolidated net sales for the three months ended March 31, 2025 increased by $14.3 million, or 2.1%, as compared to the same period in 2024.</w:t>
      </w:r>
    </w:p>
    <w:p>
      <w:pPr>
        <w:spacing w:after="0" w:line="15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net sales increased by $3.5 million, or 0.6%, for the three months ended March 31, 2025, as compared to the same period in 2024,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$9.7 million. Excluding foreign currency translation effects, net sales for the three months ended March 31, 2025 increased by $13.2 million, or 2.4%, as compared to the same period in 2024, due primarily to an increase in sales of self-injection device platforms, partially offset by a decline in sales of FluroTec®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net sales decreased by $0.9 million, or 0.7%, for the three months ended March 31, 2025,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including an unfavorable foreign currency translation impact of $2.0 million. Excluding foreign currency translation effects, net sales for the three months ended March 31, 2025 increased by $1.1 million, or 0.8%, as compared to the same period in 2024, due primarily to an increase in sales of self-injection devices for obesity and diabetes, offset by a decrease in sales of healthcare diagnostic devices.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1"/>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gross profit and related gross profit margins, consolidated and by reportable segment:</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0"/>
        </w:trPr>
        <w:tc>
          <w:tcPr>
            <w:tcW w:w="7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r>
      <w:tr>
        <w:trPr>
          <w:trHeight w:val="184"/>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178"/>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r>
      <w:tr>
        <w:trPr>
          <w:trHeight w:val="16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210.2</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207.1</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23.1</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17.0 %</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gross profit</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231.9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Consolidated gross profit margin</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33.2 %</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33.1 %</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Consolidated gross profit increased by $1.7 million, or 0.7%, for the three months ended March 31, 2025, as compared to the same period in 2024, including an unfavorable foreign currency translation impact of $3.6 million for the three months ended March 31, 2025, as compared to the same period in 2024. Consolidated gross profit margin increased by 0.1 margin points for the three months ended March 31, 2025, as compared to the same period in 2024.</w:t>
      </w:r>
    </w:p>
    <w:p>
      <w:pPr>
        <w:spacing w:after="0" w:line="1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gross profit increased by $3.1 million, or 1.5%, for the three months ended March 31, 2025, as compared to the same period in 2024,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$3.3 million. Proprietary Products gross profit margin increased by 0.3 margin points for the three months ended March 31, 2025, as compared to the same periods in 2024, primarily due to higher plant absorption from increased customer demand and sales price increases. These were offset by a shift in sales mix from HVP Components to HVP Delivery Devices, which have lower profitability.</w:t>
      </w:r>
    </w:p>
    <w:p>
      <w:pPr>
        <w:spacing w:after="0" w:line="15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gross profit decreased by $1.4 million, or 6.1%, for the three months ended March 31, 2025,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including an unfavorable foreign currency translation impact of $0.3 million. Contract-Manufactured Products gross profit margin decreased by 0.9 margin points for the three months ended March 31, 2025, as compared to the same period in 2024, primarily due to plant spend for additional manufacturing capacity to support the GLP-1 business, offset by increased sales prices.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(“R&amp;D”)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consolidated R&amp;D costs:</w:t>
      </w:r>
    </w:p>
    <w:p>
      <w:pPr>
        <w:spacing w:after="0" w:line="34"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040"/>
        <w:spacing w:after="0"/>
        <w:rPr>
          <w:sz w:val="20"/>
          <w:szCs w:val="20"/>
          <w:color w:val="auto"/>
        </w:rPr>
      </w:pPr>
      <w:r>
        <w:rPr>
          <w:rFonts w:ascii="Times New Roman" w:cs="Times New Roman" w:eastAsia="Times New Roman" w:hAnsi="Times New Roman"/>
          <w:sz w:val="14"/>
          <w:szCs w:val="14"/>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R&amp;D costs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Consolidated R&amp;D costs decreased by $1.3 million, or 7.4%, for the three months ended March 31, 2025, as compared to the same period in 2024, due primarily to reduced salary and wages and a decrease in professional services. Efforts remain focused on the continued investment in elastomeric packaging components, formulation development, drug containment systems, self-injection systems and drug administration consumable.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R&amp;D costs incurred in the three months ended March 31, 2025 and 2024 related to Proprietary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(“SG&amp;A”)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SG&amp;A costs, consolidated and by reportable segment and corporate and unallocated items:</w:t>
      </w:r>
    </w:p>
    <w:p>
      <w:pPr>
        <w:spacing w:after="0" w:line="34"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7860"/>
        <w:spacing w:after="0"/>
        <w:rPr>
          <w:sz w:val="20"/>
          <w:szCs w:val="20"/>
          <w:color w:val="auto"/>
        </w:rPr>
      </w:pPr>
      <w:r>
        <w:rPr>
          <w:rFonts w:ascii="Times New Roman" w:cs="Times New Roman" w:eastAsia="Times New Roman" w:hAnsi="Times New Roman"/>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11430</wp:posOffset>
            </wp:positionV>
            <wp:extent cx="21691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millions)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Proprietary Products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Consolidated SG&amp;A costs</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SG&amp;A as a % of net sales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79"/>
        <w:spacing w:after="0"/>
        <w:rPr>
          <w:sz w:val="20"/>
          <w:szCs w:val="20"/>
          <w:color w:val="auto"/>
        </w:rPr>
      </w:pP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14605</wp:posOffset>
            </wp:positionV>
            <wp:extent cx="7161530" cy="121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239" w:hanging="1239"/>
        <w:spacing w:after="0"/>
        <w:tabs>
          <w:tab w:leader="none" w:pos="123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60.3</w:t>
      </w:r>
    </w:p>
    <w:p>
      <w:pPr>
        <w:spacing w:after="0" w:line="23" w:lineRule="exact"/>
        <w:rPr>
          <w:rFonts w:ascii="Times New Roman" w:cs="Times New Roman" w:eastAsia="Times New Roman" w:hAnsi="Times New Roman"/>
          <w:sz w:val="14"/>
          <w:szCs w:val="14"/>
          <w:color w:val="auto"/>
        </w:rPr>
      </w:pPr>
    </w:p>
    <w:p>
      <w:pPr>
        <w:ind w:left="129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w:t>
      </w:r>
    </w:p>
    <w:p>
      <w:pPr>
        <w:spacing w:after="0" w:line="19" w:lineRule="exact"/>
        <w:rPr>
          <w:sz w:val="20"/>
          <w:szCs w:val="20"/>
          <w:color w:val="auto"/>
        </w:rPr>
      </w:pPr>
    </w:p>
    <w:p>
      <w:pPr>
        <w:ind w:left="1239"/>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-101600</wp:posOffset>
            </wp:positionV>
            <wp:extent cx="7161530"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1239" w:hanging="1239"/>
        <w:spacing w:after="0"/>
        <w:tabs>
          <w:tab w:leader="none" w:pos="123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88.0</w:t>
      </w:r>
    </w:p>
    <w:p>
      <w:pPr>
        <w:spacing w:after="0" w:line="61" w:lineRule="exact"/>
        <w:rPr>
          <w:rFonts w:ascii="Times New Roman" w:cs="Times New Roman" w:eastAsia="Times New Roman" w:hAnsi="Times New Roman"/>
          <w:sz w:val="14"/>
          <w:szCs w:val="14"/>
          <w:color w:val="auto"/>
        </w:rPr>
      </w:pPr>
    </w:p>
    <w:p>
      <w:pPr>
        <w:ind w:left="123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-125730</wp:posOffset>
            </wp:positionV>
            <wp:extent cx="7161530" cy="168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14"/>
          <w:szCs w:val="14"/>
          <w:color w:val="auto"/>
        </w:rPr>
        <w:t>2024</w:t>
      </w:r>
    </w:p>
    <w:p>
      <w:pPr>
        <w:spacing w:after="0" w:line="30" w:lineRule="exact"/>
        <w:rPr>
          <w:sz w:val="20"/>
          <w:szCs w:val="20"/>
          <w:color w:val="auto"/>
        </w:rPr>
      </w:pPr>
    </w:p>
    <w:p>
      <w:pPr>
        <w:ind w:left="1229" w:hanging="1229"/>
        <w:spacing w:after="0"/>
        <w:tabs>
          <w:tab w:leader="none" w:pos="12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60.7</w:t>
      </w:r>
    </w:p>
    <w:p>
      <w:pPr>
        <w:spacing w:after="0" w:line="23" w:lineRule="exact"/>
        <w:rPr>
          <w:rFonts w:ascii="Times New Roman" w:cs="Times New Roman" w:eastAsia="Times New Roman" w:hAnsi="Times New Roman"/>
          <w:sz w:val="14"/>
          <w:szCs w:val="14"/>
          <w:color w:val="auto"/>
        </w:rPr>
      </w:pPr>
    </w:p>
    <w:p>
      <w:pPr>
        <w:ind w:left="130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w:t>
      </w:r>
    </w:p>
    <w:p>
      <w:pPr>
        <w:spacing w:after="0" w:line="19"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10579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6" w:lineRule="exact"/>
        <w:rPr>
          <w:sz w:val="20"/>
          <w:szCs w:val="20"/>
          <w:color w:val="auto"/>
        </w:rPr>
      </w:pPr>
    </w:p>
    <w:p>
      <w:pPr>
        <w:ind w:left="1229" w:hanging="1229"/>
        <w:spacing w:after="0"/>
        <w:tabs>
          <w:tab w:leader="none" w:pos="122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86.7</w:t>
      </w:r>
    </w:p>
    <w:p>
      <w:pPr>
        <w:spacing w:after="0" w:line="61" w:lineRule="exact"/>
        <w:rPr>
          <w:rFonts w:ascii="Times New Roman" w:cs="Times New Roman" w:eastAsia="Times New Roman" w:hAnsi="Times New Roman"/>
          <w:sz w:val="14"/>
          <w:szCs w:val="14"/>
          <w:color w:val="auto"/>
        </w:rPr>
      </w:pPr>
    </w:p>
    <w:p>
      <w:pPr>
        <w:ind w:left="12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10579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05791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-125730</wp:posOffset>
            </wp:positionV>
            <wp:extent cx="10579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3">
            <w:col w:w="7161" w:space="720"/>
            <w:col w:w="1639" w:space="111"/>
            <w:col w:w="1649"/>
          </w:cols>
          <w:pgMar w:left="300" w:top="127" w:right="319" w:bottom="1440" w:gutter="0" w:footer="0" w:header="0"/>
          <w:type w:val="continuous"/>
        </w:sectPr>
      </w:pPr>
    </w:p>
    <w:p>
      <w:pPr>
        <w:spacing w:after="0" w:line="9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Consolidated SG&amp;A costs increased by $1.3 million, or 1.5%, for the three months ended March 31, 2025, as compared to the same period in 2024, including a favorable foreign currency translation impact of $0.9 million, due primarily to increased salary and wages, offset by decreases in expense related to stock-based compensation and professional services.</w:t>
      </w:r>
    </w:p>
    <w:p>
      <w:pPr>
        <w:spacing w:after="0" w:line="14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SG&amp;A costs decreased by $0.4 million, or 0.7%, for the three months ended March 31, 2025, as compared to the same period in 2024, including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favorable foreign currency translation impact of $0.8 million. Proprietary Products SG&amp;A costs decreased primarily due to decreased costs related to professional services, offset by increased salary and wages.</w:t>
      </w:r>
    </w:p>
    <w:p>
      <w:pPr>
        <w:spacing w:after="0" w:line="15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SG&amp;A costs increased by $1.4 million, or 22.6%, for the three months ended March 31, 2025, as compared to the same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2024, including a favorable foreign currency translation impact of $0.1 million, due primarily to increased salary and wages.</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SG&amp;A costs increased by $0.3 million, or 1.5%, for the three months ended March 31, 2025, as compared to the same period in 2024,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expenses in connection with a plan to optimize the legal structure of the Company and its subsidiaries, offset by a decrease in expense related to stock-based compensation.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other income and expense items, consolidated and by reportable segment, corporate and unallocated items: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8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(Income)</w:t>
            </w: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w w:val="96"/>
              </w:rPr>
              <w:t>(0.2)</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other expense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Other expense and income items consist of restructuring and related charges, foreign exchange transaction gains and losses, contingent consideration, asset impairments and miscellaneous income and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other expense (income) changed by $17.5 million for the three months ended March 31, 2025, as compared to the same period in 2024, due to the factors described below.</w:t>
      </w:r>
    </w:p>
    <w:p>
      <w:pPr>
        <w:spacing w:after="0" w:line="198"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other expense (income) changed by $0.5 million for the three months ended March 31, 2025, as compared to the same period in 2024,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increased contingent consideration expense being recorded in the three months ended March 31, 2025, as compared to the same period in 2024.</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other expense (income) changed by $0.8 million for the three months ended March 31, 2025,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primarily due to increased foreign exchange losses in the three months ended March 31, 2025, as compared to the same period in 2024.</w:t>
      </w:r>
    </w:p>
    <w:p>
      <w:pPr>
        <w:spacing w:after="0" w:line="14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and unallocated items changed by $16.2 million for the three months ended March 31, 2025, as compared to the same period in 2024,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recording restructuring and other charges of $16.4 million in the three months ended March 31, 2025 that did not occur in the same period in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adjusted operating profit, consolidated and by reportable segment, corporate and unallocated items: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400" w:type="dxa"/>
            <w:vAlign w:val="bottom"/>
          </w:tcPr>
          <w:p>
            <w:pPr>
              <w:spacing w:after="0"/>
              <w:rPr>
                <w:sz w:val="15"/>
                <w:szCs w:val="15"/>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 margin</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consolidated operating profit</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Adjusted consolidated operating profit margin</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17.9 %</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Consolidated operating profit decreased by $15.8 million, or 12.9%, for the three months ended March 31, 2025, as compared to the same period in 2024, including an unfavorable foreign currency translation impact of $2.6 million for the three months ended March 31, 2025, as compared to the same period in 2024.</w:t>
      </w:r>
    </w:p>
    <w:p>
      <w:pPr>
        <w:spacing w:after="0" w:line="143" w:lineRule="exact"/>
        <w:rPr>
          <w:sz w:val="20"/>
          <w:szCs w:val="20"/>
          <w:color w:val="auto"/>
        </w:rPr>
      </w:pPr>
    </w:p>
    <w:p>
      <w:pPr>
        <w:jc w:val="both"/>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operating profit increased by $4.3 million, or 3.4%, for the three months ended March 31, 2025, as compared to the same period in 2024,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$2.4 million, due to the factors described above, most notably higher plant absorption from increased customer demand and sales price increases.</w:t>
      </w:r>
    </w:p>
    <w:p>
      <w:pPr>
        <w:spacing w:after="0" w:line="141"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operating profit decreased by $3.6 million, or 21.1%, for the three months ended March 31, 2025, as compared to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in 2024, including an unfavorable foreign currency translation impact of $0.2 million, due to the factors described above, most notably plant spend for additional manufacturing capacity to support the GLP-1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 </w:t>
      </w:r>
      <w:r>
        <w:rPr>
          <w:rFonts w:ascii="Times New Roman" w:cs="Times New Roman" w:eastAsia="Times New Roman" w:hAnsi="Times New Roman"/>
          <w:sz w:val="14"/>
          <w:szCs w:val="14"/>
          <w:color w:val="auto"/>
        </w:rPr>
        <w:t>Excluding the unallocated items, Corporate costs decreased by $1.3 million, or 6.4%, for the three months ended March 31, 2025,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due to the factors described above, most notably the decrease in expense related to stock-based compensation.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For unallocated items, please refer to the Financial Performance Summary section above for details.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Net and Interest Income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interest expense, net, by significant component: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8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r>
      <w:tr>
        <w:trPr>
          <w:trHeight w:val="184"/>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r>
      <w:tr>
        <w:trPr>
          <w:trHeight w:val="178"/>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w w:val="96"/>
              </w:rPr>
              <w:t>(3.8)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6"/>
              </w:rPr>
              <w:t>(2.0)</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80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w w:val="96"/>
              </w:rPr>
              <w:t>(4.1)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6"/>
              </w:rPr>
              <w:t>(6.2)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 decreased by $1.2 million, for the three months ended March 31, 2025, as compared to the same period in 2024, primarily due to an increase in capitalized interest.</w:t>
      </w:r>
    </w:p>
    <w:p>
      <w:pPr>
        <w:spacing w:after="0" w:line="200"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Interest income decreased by $2.1 million for the three months ended March 31, 2025, as compared to the same period in 2024, due to the Company having a lower average cash balance during 2025 and a decline in interest rates in 2025, as compared to the same period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Nonoperating Expense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nonoperating expense (income) was $0.2 million and $0.0 million for the three months ended March 31,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$24.1 million and $16.4 million for the three months ended March 31, 2025 and 2024, respectively, and the effective tax rate was 21.8% and 12.9%, respectively. The increase in the effective tax rate is primarily due to a decrease in the tax benefit related to stock-based compensation in the three months ended March 31, 2025 as compared to the same period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 Net Income of Affiliated Companies</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Equity in net income of affiliated companies was $3.4 million and $4.3 million for the three months ended March 31, 2025 and 2024, respectively. Equity in net income of affiliated companies decreased by $0.9 million for the three months ended March 31, 2025, as compared to the same period in 2024, primarily due to less favorable operating results at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cash flow data for the three months ended March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r>
    </w:tbl>
    <w:p>
      <w:pPr>
        <w:spacing w:after="0" w:line="24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Provided by Operating Activities – </w:t>
      </w:r>
      <w:r>
        <w:rPr>
          <w:rFonts w:ascii="Times New Roman" w:cs="Times New Roman" w:eastAsia="Times New Roman" w:hAnsi="Times New Roman"/>
          <w:sz w:val="14"/>
          <w:szCs w:val="14"/>
          <w:color w:val="auto"/>
        </w:rPr>
        <w:t>Net cash provided by operating activities increased by $11.2 million for the three months ended March 31, 2025,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primarily due to favorable working capital management, offset by less favorable operating results.</w:t>
      </w:r>
    </w:p>
    <w:p>
      <w:pPr>
        <w:spacing w:after="0" w:line="14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Investing Activities – </w:t>
      </w:r>
      <w:r>
        <w:rPr>
          <w:rFonts w:ascii="Times New Roman" w:cs="Times New Roman" w:eastAsia="Times New Roman" w:hAnsi="Times New Roman"/>
          <w:sz w:val="14"/>
          <w:szCs w:val="14"/>
          <w:color w:val="auto"/>
        </w:rPr>
        <w:t>Net cash used in investing activities decreased by $19.3 million for the three months ended March 31, 2025, as compared to the same period in 2024,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decrease in capital expenditures.</w:t>
      </w:r>
    </w:p>
    <w:p>
      <w:pPr>
        <w:spacing w:after="0" w:line="141"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Financing Activities – </w:t>
      </w:r>
      <w:r>
        <w:rPr>
          <w:rFonts w:ascii="Times New Roman" w:cs="Times New Roman" w:eastAsia="Times New Roman" w:hAnsi="Times New Roman"/>
          <w:sz w:val="14"/>
          <w:szCs w:val="14"/>
          <w:color w:val="auto"/>
        </w:rPr>
        <w:t>Net cash used in financing activities decreased by $124.0 million for the three months ended March 31, 2025, as compared to the same period in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due to a decrease in purchases under our share repurchase programs.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1"/>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selected liquidity and capital measures: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0"/>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Pr>
          <w:p>
            <w:pPr>
              <w:spacing w:after="0"/>
              <w:rPr>
                <w:sz w:val="13"/>
                <w:szCs w:val="13"/>
                <w:color w:val="auto"/>
              </w:rPr>
            </w:pPr>
          </w:p>
        </w:tc>
        <w:tc>
          <w:tcPr>
            <w:tcW w:w="134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2,682.3</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987.7</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all instruments that have maturities of ninety days or less when purchased. Working capital is defined as current assets less current liabilities.</w:t>
      </w:r>
    </w:p>
    <w:p>
      <w:pPr>
        <w:spacing w:after="0" w:line="19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 </w:t>
      </w:r>
      <w:r>
        <w:rPr>
          <w:rFonts w:ascii="Times New Roman" w:cs="Times New Roman" w:eastAsia="Times New Roman" w:hAnsi="Times New Roman"/>
          <w:sz w:val="14"/>
          <w:szCs w:val="14"/>
          <w:color w:val="auto"/>
        </w:rPr>
        <w:t>Our cash and cash equivalents balance at March 31, 2025 consisted of cash held in depository accounts with banks around the world and cash invested in high-quality,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short-term investments. The cash and cash equivalents balance at March 31, 2025 included $44.6 million of cash held by subsidiaries within the U.S., and $359.6 million of cash held by subsidiaries outside of the U.S. During the three months ended March 31, 2025, we purchased 550,281 shares of our common stock under the share repurchase program at a cost of $133.5 million, or an average price of $242.63 per share.</w:t>
      </w:r>
    </w:p>
    <w:p>
      <w:pPr>
        <w:spacing w:after="0" w:line="15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Working capital – </w:t>
      </w:r>
      <w:r>
        <w:rPr>
          <w:rFonts w:ascii="Times New Roman" w:cs="Times New Roman" w:eastAsia="Times New Roman" w:hAnsi="Times New Roman"/>
          <w:sz w:val="14"/>
          <w:szCs w:val="14"/>
          <w:color w:val="auto"/>
        </w:rPr>
        <w:t>Working capital at March 31, 2025 decreased by $56.9 million, or 5.8%, as compared to December 31, 2024, which includes a favorable foreign currency translation impact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$15.3 million. Excluding the impact of currency exchange rates, cash and cash equivalents, total current liabilities and accounts receivable decreased by $89.1 million, $35.2 million and $17.6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decrease in cash and cash equivalents was due to share repurchases and capital expenditures, offset by cash from operations during the three months ended March 31, 2025. The decrease in total current liabilities was primarily driven by reductions in accounts payable and income taxes payable, as well as the payout of the 2024 annual incentive plan accrual during the three months ended March 31, 2025 . The decrease in accounts receivable is primarily due to decreased net sales leading up to the March 31, 2025 balance sheet date as compared to the December 31, 2024 balance sheet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and credit facilities – </w:t>
      </w:r>
      <w:r>
        <w:rPr>
          <w:rFonts w:ascii="Times New Roman" w:cs="Times New Roman" w:eastAsia="Times New Roman" w:hAnsi="Times New Roman"/>
          <w:sz w:val="14"/>
          <w:szCs w:val="14"/>
          <w:color w:val="auto"/>
        </w:rPr>
        <w:t>The total debt balance of $202.6 million at March 31, 2025 is consistent with the total debt balance at December 31, 2024.</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sources of liquidity include our multi-currency revolving credit facility. At March 31, 2025, we had no outstanding borrowings under the multi-currency revolving credit facility. At March 31, 2025, the borrowing capacity available under the multi-currency revolving credit facility, including outstanding letters of credit of $2.3 million, was $497.7 million. We do not expect any significant limitations on our ability to access this source of funds.</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2025, we were in compliance with all of our debt covenants.</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 summary of future material cash payments resulting from commitments and contractual obligations was provided in our 2024 Annual Report. During the three months ended March 31, 2025, there were no material changes outside of the ordinary course of business to our commitments and contractual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At March 31, 2025, we had no off-balance sheet financing arrangements other than unconditional purchase obligations incurred in the ordinary course of business and outstanding letters of credit related to various insurance programs, as noted in our 2024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to the Critical Accounting Policies and Estimates disclosed in Part II, Item 7 of our 2024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information on new accounting standards see Note 2, </w:t>
      </w:r>
      <w:r>
        <w:rPr>
          <w:rFonts w:ascii="Times New Roman" w:cs="Times New Roman" w:eastAsia="Times New Roman" w:hAnsi="Times New Roman"/>
          <w:sz w:val="14"/>
          <w:szCs w:val="14"/>
          <w:i w:val="1"/>
          <w:iCs w:val="1"/>
          <w:u w:val="single" w:color="auto"/>
          <w:color w:val="0000FF"/>
        </w:rPr>
        <w:t>New Accounting Standards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16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some important factors that could cause our actual results to differ from our expectations in any forward-looking statements:</w:t>
      </w:r>
    </w:p>
    <w:p>
      <w:pPr>
        <w:spacing w:after="0" w:line="94" w:lineRule="exact"/>
        <w:rPr>
          <w:sz w:val="20"/>
          <w:szCs w:val="20"/>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demand and our ability to meet that demand;</w:t>
      </w:r>
    </w:p>
    <w:p>
      <w:pPr>
        <w:spacing w:after="0" w:line="93" w:lineRule="exact"/>
        <w:rPr>
          <w:rFonts w:ascii="Times New Roman" w:cs="Times New Roman" w:eastAsia="Times New Roman" w:hAnsi="Times New Roman"/>
          <w:sz w:val="14"/>
          <w:szCs w:val="14"/>
          <w:color w:val="auto"/>
        </w:rPr>
      </w:pPr>
    </w:p>
    <w:p>
      <w:pPr>
        <w:ind w:left="760" w:right="60" w:hanging="246"/>
        <w:spacing w:after="0" w:line="287"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providers in our businesses, including customers’ in-house operations, and from lower-cost producers in emerging markets, which can impact unit volume, price and profitability;</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changing inventory requirements and manufacturing plans that alter existing orders or ordering patterns for the products we supply to them;</w:t>
      </w:r>
    </w:p>
    <w:p>
      <w:pPr>
        <w:spacing w:after="0" w:line="93" w:lineRule="exact"/>
        <w:rPr>
          <w:rFonts w:ascii="Times New Roman" w:cs="Times New Roman" w:eastAsia="Times New Roman" w:hAnsi="Times New Roman"/>
          <w:sz w:val="14"/>
          <w:szCs w:val="14"/>
          <w:color w:val="auto"/>
        </w:rPr>
      </w:pPr>
    </w:p>
    <w:p>
      <w:pPr>
        <w:ind w:left="760" w:right="300" w:hanging="246"/>
        <w:spacing w:after="0" w:line="27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50"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regulatory approval and commercial success of customer products that incorporate our products and systems;</w:t>
      </w:r>
    </w:p>
    <w:p>
      <w:pPr>
        <w:spacing w:after="0" w:line="93" w:lineRule="exact"/>
        <w:rPr>
          <w:rFonts w:ascii="Times New Roman" w:cs="Times New Roman" w:eastAsia="Times New Roman" w:hAnsi="Times New Roman"/>
          <w:sz w:val="14"/>
          <w:szCs w:val="14"/>
          <w:color w:val="auto"/>
        </w:rPr>
      </w:pPr>
    </w:p>
    <w:p>
      <w:pPr>
        <w:ind w:left="760" w:hanging="246"/>
        <w:spacing w:after="0" w:line="27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50" w:lineRule="exact"/>
        <w:rPr>
          <w:rFonts w:ascii="Times New Roman" w:cs="Times New Roman" w:eastAsia="Times New Roman" w:hAnsi="Times New Roman"/>
          <w:sz w:val="14"/>
          <w:szCs w:val="14"/>
          <w:color w:val="auto"/>
        </w:rPr>
      </w:pPr>
    </w:p>
    <w:p>
      <w:pPr>
        <w:ind w:left="760" w:right="340" w:hanging="246"/>
        <w:spacing w:after="0" w:line="287"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profitability, or mix, of the products sold in any reporting period, including lower-than-expected sales growth of our high-value proprietary product offerings;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or improving production efficiencies and overhead absorption;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suppliers and partners, some of which are single-source suppliers of critical materials and products, including our Japanese partner and affiliate, Daikyo;</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personnel or highly-skilled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60" w:right="120" w:hanging="246"/>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skilled employees required to meet increased production, managerial, research and other needs, including professional employees and persons employed under collective bargaining agreements;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and timely implementation of price increases necessary to offset rising production costs, including raw material prices, particularly petroleum-based raw materials;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progress of development, regulatory approval and marketing of new products;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licenses in any jurisdiction in which we do business;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strength of USD in relation to other currencies, particularly the Euro, SGD, the Danish Krone, Yen, Colombian Peso, Brazilian Real, and the South Korean Won;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effects of global healthcare legislation on customer demand, product pricing and profitability.</w:t>
      </w:r>
    </w:p>
    <w:p>
      <w:pPr>
        <w:spacing w:after="0" w:line="20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2024 Annual Report as well as Part II, section 1A of this quarterly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required by law or regulation, we undertake no obligation to publicly update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in our exposure to market risk or the information provided in Part II, Item 7A of our 2024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CONTROLS AND PROCEDURES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2025, our disclosure controls and procedures are effective.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2025,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7"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material changes to the risk factors disclosed in Part I, Item 1A of our 2024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information with respect to purchases of our common stock made during the three months ended March 31, 2025 by us or any of our “affiliated purchasers” as defined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10b-18(a)(3) under the Exchange Act:</w:t>
      </w:r>
    </w:p>
    <w:p>
      <w:pPr>
        <w:sectPr>
          <w:pgSz w:w="11900" w:h="16838" w:orient="portrait"/>
          <w:cols w:equalWidth="0" w:num="1">
            <w:col w:w="11280"/>
          </w:cols>
          <w:pgMar w:left="300" w:top="127" w:right="319" w:bottom="1440" w:gutter="0" w:footer="0" w:header="0"/>
        </w:sect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Period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January 1 - 31,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1 - 28,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1 - 31, 2025</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 number of shares purchased</w:t>
            </w: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Total number of shares purchased as</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of shares that</w:t>
            </w:r>
          </w:p>
        </w:tc>
        <w:tc>
          <w:tcPr>
            <w:tcW w:w="0" w:type="dxa"/>
            <w:vAlign w:val="bottom"/>
          </w:tcPr>
          <w:p>
            <w:pPr>
              <w:spacing w:after="0"/>
              <w:rPr>
                <w:sz w:val="1"/>
                <w:szCs w:val="1"/>
                <w:color w:val="auto"/>
              </w:rPr>
            </w:pPr>
          </w:p>
        </w:tc>
      </w:tr>
      <w:tr>
        <w:trPr>
          <w:trHeight w:val="138"/>
        </w:trPr>
        <w:tc>
          <w:tcPr>
            <w:tcW w:w="2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part of publicly announced plans or</w:t>
            </w:r>
          </w:p>
        </w:tc>
        <w:tc>
          <w:tcPr>
            <w:tcW w:w="21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may yet be purchased under the</w:t>
            </w:r>
          </w:p>
        </w:tc>
        <w:tc>
          <w:tcPr>
            <w:tcW w:w="0" w:type="dxa"/>
            <w:vAlign w:val="bottom"/>
          </w:tcPr>
          <w:p>
            <w:pPr>
              <w:spacing w:after="0"/>
              <w:rPr>
                <w:sz w:val="1"/>
                <w:szCs w:val="1"/>
                <w:color w:val="auto"/>
              </w:rPr>
            </w:pPr>
          </w:p>
        </w:tc>
      </w:tr>
      <w:tr>
        <w:trPr>
          <w:trHeight w:val="191"/>
        </w:trPr>
        <w:tc>
          <w:tcPr>
            <w:tcW w:w="212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price paid per share (1)</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programs (1)</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 or programs (1)</w:t>
            </w:r>
          </w:p>
        </w:tc>
        <w:tc>
          <w:tcPr>
            <w:tcW w:w="0" w:type="dxa"/>
            <w:vAlign w:val="bottom"/>
          </w:tcPr>
          <w:p>
            <w:pPr>
              <w:spacing w:after="0"/>
              <w:rPr>
                <w:sz w:val="1"/>
                <w:szCs w:val="1"/>
                <w:color w:val="auto"/>
              </w:rPr>
            </w:pPr>
          </w:p>
        </w:tc>
      </w:tr>
      <w:tr>
        <w:trPr>
          <w:trHeight w:val="167"/>
        </w:trPr>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336.96</w:t>
            </w:r>
          </w:p>
        </w:tc>
        <w:tc>
          <w:tcPr>
            <w:tcW w:w="100" w:type="dxa"/>
            <w:vAlign w:val="bottom"/>
          </w:tcPr>
          <w:p>
            <w:pPr>
              <w:spacing w:after="0"/>
              <w:rPr>
                <w:sz w:val="14"/>
                <w:szCs w:val="14"/>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46,069</w:t>
            </w:r>
          </w:p>
        </w:tc>
        <w:tc>
          <w:tcPr>
            <w:tcW w:w="100" w:type="dxa"/>
            <w:vAlign w:val="bottom"/>
          </w:tcPr>
          <w:p>
            <w:pPr>
              <w:spacing w:after="0"/>
              <w:rPr>
                <w:sz w:val="14"/>
                <w:szCs w:val="14"/>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506,524</w:t>
            </w:r>
          </w:p>
        </w:tc>
        <w:tc>
          <w:tcPr>
            <w:tcW w:w="0" w:type="dxa"/>
            <w:vAlign w:val="bottom"/>
          </w:tcPr>
          <w:p>
            <w:pPr>
              <w:spacing w:after="0"/>
              <w:rPr>
                <w:sz w:val="1"/>
                <w:szCs w:val="1"/>
                <w:color w:val="auto"/>
              </w:rPr>
            </w:pPr>
          </w:p>
        </w:tc>
      </w:tr>
      <w:tr>
        <w:trPr>
          <w:trHeight w:val="180"/>
        </w:trPr>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269.18</w:t>
            </w: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w:t>
            </w: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462,938</w:t>
            </w:r>
          </w:p>
        </w:tc>
        <w:tc>
          <w:tcPr>
            <w:tcW w:w="0" w:type="dxa"/>
            <w:vAlign w:val="bottom"/>
          </w:tcPr>
          <w:p>
            <w:pPr>
              <w:spacing w:after="0"/>
              <w:rPr>
                <w:sz w:val="1"/>
                <w:szCs w:val="1"/>
                <w:color w:val="auto"/>
              </w:rPr>
            </w:pPr>
          </w:p>
        </w:tc>
      </w:tr>
      <w:tr>
        <w:trPr>
          <w:trHeight w:val="184"/>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460,626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230.68</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460,626</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550,281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100" w:type="dxa"/>
            <w:vAlign w:val="bottom"/>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550,281</w:t>
            </w:r>
          </w:p>
        </w:tc>
        <w:tc>
          <w:tcPr>
            <w:tcW w:w="100" w:type="dxa"/>
            <w:vAlign w:val="bottom"/>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-262255</wp:posOffset>
            </wp:positionV>
            <wp:extent cx="7161530" cy="114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-497840</wp:posOffset>
            </wp:positionV>
            <wp:extent cx="7161530" cy="121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60"/>
          </w:cols>
          <w:pgMar w:left="300" w:top="127" w:right="319" w:bottom="1440" w:gutter="0" w:footer="0" w:header="0"/>
          <w:type w:val="continuous"/>
        </w:sectPr>
      </w:pPr>
    </w:p>
    <w:p>
      <w:pPr>
        <w:spacing w:after="0" w:line="51" w:lineRule="exact"/>
        <w:rPr>
          <w:sz w:val="20"/>
          <w:szCs w:val="20"/>
          <w:color w:val="auto"/>
        </w:rPr>
      </w:pPr>
    </w:p>
    <w:p>
      <w:pPr>
        <w:ind w:left="260" w:right="120" w:hanging="255"/>
        <w:spacing w:after="0" w:line="261" w:lineRule="auto"/>
        <w:tabs>
          <w:tab w:leader="none" w:pos="25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2,593 shares purchased during the period were under the February 2023 plan, which completed the plan during January 2025. Additionally, during December 2024, the Board of Directors approved a share repurchase program under which the Company may repurchase up to 550,000 shares of common stock on the open market or in privately-negotiated transactions. The number of shares to be repurchased and the timing of such transactions depended on a variety of factors, including market conditions. 547,688 shares purchased during the three months ended March 31, 2025 were under the December 2024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93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1006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Our Amended and Restated Articles of Incorporation, effective April 24, 2024 (incorporated by reference to Exhibit 3.1 to the Company's Form 10-Q report for the quarter ended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80" w:type="dxa"/>
            <w:vAlign w:val="bottom"/>
            <w:gridSpan w:val="17"/>
          </w:tcPr>
          <w:p>
            <w:pPr>
              <w:spacing w:after="0" w:line="150"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June 30, 2024, filed July 25, 2024).</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8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Our Amended and Restated Bylaws, effective October 23, 2023 (incorporated by reference to Exhibit 3.2 to the Company's Form 10-Q report for the quarter ended September 30,</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2023, filed October 26, 2023).</w:t>
              </w:r>
            </w:hyperlink>
          </w:p>
        </w:tc>
        <w:tc>
          <w:tcPr>
            <w:tcW w:w="83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0080" w:type="dxa"/>
            <w:vAlign w:val="bottom"/>
            <w:gridSpan w:val="17"/>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80" w:type="dxa"/>
            <w:vAlign w:val="bottom"/>
            <w:gridSpan w:val="17"/>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Articles 5, 8(c) and 9 of our Amended and Restated Articles of Incorporation, effective April 24, 2024 (incorporated by reference to Exhibit 3.1 to the Company's Form 10-Q</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report for the quarter ended June 30, 2024, filed July 25, 2024).</w:t>
              </w:r>
            </w:hyperlink>
          </w:p>
        </w:tc>
        <w:tc>
          <w:tcPr>
            <w:tcW w:w="6220" w:type="dxa"/>
            <w:vAlign w:val="bottom"/>
            <w:tcBorders>
              <w:top w:val="single" w:sz="8" w:color="0000FF"/>
            </w:tcBorders>
            <w:gridSpan w:val="10"/>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080" w:type="dxa"/>
            <w:vAlign w:val="bottom"/>
            <w:gridSpan w:val="17"/>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Articles I and IV of our Bylaws, as amended through October 23, 2023 (incorporated by reference to Exhibit 3.2 to the Company's Form 10-Q report for the quarter ended</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0"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September 30, 2023, filed October 26, 2023).</w:t>
              </w:r>
            </w:hyperlink>
          </w:p>
        </w:tc>
        <w:tc>
          <w:tcPr>
            <w:tcW w:w="4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8"/>
                <w:szCs w:val="18"/>
                <w:color w:val="auto"/>
                <w:vertAlign w:val="superscript"/>
              </w:rPr>
              <w:t>(1)</w:t>
            </w:r>
          </w:p>
        </w:tc>
        <w:tc>
          <w:tcPr>
            <w:tcW w:w="8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Form of 2025 Restricted Stock Unit Agreement, issued pursuant to the 2016 Omnibus Incentive Compensation Plan.</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line="20" w:lineRule="exact"/>
              <w:rPr>
                <w:sz w:val="1"/>
                <w:szCs w:val="1"/>
                <w:color w:val="auto"/>
              </w:rPr>
            </w:pPr>
          </w:p>
        </w:tc>
        <w:tc>
          <w:tcPr>
            <w:tcW w:w="58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Form of 2025 Performance Stock Unit Agreement, issued pursuant to the 2016 Omnibus Incentive Compensation Plan.</w:t>
            </w:r>
          </w:p>
        </w:tc>
        <w:tc>
          <w:tcPr>
            <w:tcW w:w="33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6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Form of 2025 Stock Option Agreement, issued pursuant to the 2016 Omnibus Incentive Compensation Plan.</w:t>
            </w:r>
          </w:p>
        </w:tc>
        <w:tc>
          <w:tcPr>
            <w:tcW w:w="39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5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Section 302 of the Sarbanes-Oxley Act of 2002.</w:t>
            </w:r>
          </w:p>
        </w:tc>
        <w:tc>
          <w:tcPr>
            <w:tcW w:w="41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line="20" w:lineRule="exact"/>
              <w:rPr>
                <w:sz w:val="1"/>
                <w:szCs w:val="1"/>
                <w:color w:val="auto"/>
              </w:rPr>
            </w:pPr>
          </w:p>
        </w:tc>
        <w:tc>
          <w:tcPr>
            <w:tcW w:w="5880" w:type="dxa"/>
            <w:vAlign w:val="bottom"/>
            <w:gridSpan w:val="6"/>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18 U.S.C. Section 1350, as Adopted Pursuant to Section 906 of the Sarbanes-Oxley Act of 2002.</w:t>
            </w:r>
          </w:p>
        </w:tc>
        <w:tc>
          <w:tcPr>
            <w:tcW w:w="14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8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18 U.S.C. Section 1350, as Adopted Pursuant to Section 906 of the Sarbanes-Oxley Act of 2002.</w:t>
            </w:r>
          </w:p>
        </w:tc>
        <w:tc>
          <w:tcPr>
            <w:tcW w:w="14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5"/>
                <w:szCs w:val="15"/>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0" w:type="dxa"/>
            <w:vAlign w:val="bottom"/>
          </w:tcPr>
          <w:p>
            <w:pPr>
              <w:spacing w:after="0"/>
              <w:rPr>
                <w:sz w:val="15"/>
                <w:szCs w:val="15"/>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0" w:type="dxa"/>
            <w:vAlign w:val="bottom"/>
          </w:tcPr>
          <w:p>
            <w:pPr>
              <w:spacing w:after="0"/>
              <w:rPr>
                <w:sz w:val="15"/>
                <w:szCs w:val="15"/>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0" w:type="dxa"/>
            <w:vAlign w:val="bottom"/>
          </w:tcPr>
          <w:p>
            <w:pPr>
              <w:spacing w:after="0"/>
              <w:rPr>
                <w:sz w:val="15"/>
                <w:szCs w:val="15"/>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0" w:type="dxa"/>
            <w:vAlign w:val="bottom"/>
          </w:tcPr>
          <w:p>
            <w:pPr>
              <w:spacing w:after="0"/>
              <w:rPr>
                <w:sz w:val="16"/>
                <w:szCs w:val="16"/>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bl>
    <w:p>
      <w:pPr>
        <w:ind w:left="1080" w:hanging="1061"/>
        <w:spacing w:after="0"/>
        <w:tabs>
          <w:tab w:leader="none" w:pos="10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80" w:lineRule="exact"/>
        <w:rPr>
          <w:rFonts w:ascii="Times New Roman" w:cs="Times New Roman" w:eastAsia="Times New Roman" w:hAnsi="Times New Roman"/>
          <w:sz w:val="14"/>
          <w:szCs w:val="14"/>
          <w:color w:val="auto"/>
        </w:rPr>
      </w:pPr>
    </w:p>
    <w:p>
      <w:pPr>
        <w:ind w:right="2380" w:firstLine="5"/>
        <w:spacing w:after="0" w:line="560" w:lineRule="auto"/>
        <w:tabs>
          <w:tab w:leader="none" w:pos="142"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-676275</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West Pharmaceutical Services, Inc.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900"/>
          </w:cols>
          <w:pgMar w:left="300" w:top="127" w:right="69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M. Green, certify that:</w:t>
      </w:r>
    </w:p>
    <w:p>
      <w:pPr>
        <w:spacing w:after="0" w:line="13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ectPr>
          <w:pgSz w:w="11900" w:h="16838" w:orient="portrait"/>
          <w:cols w:equalWidth="0" w:num="1">
            <w:col w:w="11280"/>
          </w:cols>
          <w:pgMar w:left="300" w:top="1141"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Bernard J. Birkett, certify that:</w:t>
      </w:r>
    </w:p>
    <w:p>
      <w:pPr>
        <w:spacing w:after="0" w:line="136"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ectPr>
          <w:pgSz w:w="11900" w:h="16838" w:orient="portrait"/>
          <w:cols w:equalWidth="0" w:num="1">
            <w:col w:w="11280"/>
          </w:cols>
          <w:pgMar w:left="300" w:top="1141"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March 31, 2025,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51" w:lineRule="exact"/>
        <w:rPr>
          <w:sz w:val="20"/>
          <w:szCs w:val="20"/>
          <w:color w:val="auto"/>
        </w:rPr>
      </w:pPr>
    </w:p>
    <w:p>
      <w:pPr>
        <w:ind w:left="200" w:hanging="195"/>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ectPr>
          <w:pgSz w:w="11900" w:h="16838" w:orient="portrait"/>
          <w:cols w:equalWidth="0" w:num="1">
            <w:col w:w="11280"/>
          </w:cols>
          <w:pgMar w:left="300" w:top="1141"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March 31, 2025, as filed with the Securities and Exchange Commission on the date hereof (the “Report”), I, Bernard J. Birkett, Senior Vice President,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200" w:hanging="195"/>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lvl w:ilvl="1">
      <w:lvlJc w:val="left"/>
      <w:lvlText w:val="%2"/>
      <w:numFmt w:val="decimal"/>
      <w:start w:val="104"/>
    </w:lvl>
  </w:abstractNum>
  <w:abstractNum w:abstractNumId="14">
    <w:nsid w:val="25E45D32"/>
    <w:multiLevelType w:val="hybridMultilevel"/>
    <w:lvl w:ilvl="0">
      <w:lvlJc w:val="left"/>
      <w:lvlText w:val="(%1)"/>
      <w:numFmt w:val="decimal"/>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7" Type="http://schemas.openxmlformats.org/officeDocument/2006/relationships/hyperlink" Target="https://www.sec.gov/ix?doc=/Archives/edgar/data/0000105770/000010577025000013/wst-20241231.htm" TargetMode="External"/><Relationship Id="rId80" Type="http://schemas.openxmlformats.org/officeDocument/2006/relationships/hyperlink" Target="https://www.sec.gov/ix?doc=/Archives/edgar/data/105770/000010577024000066/wst-20240630.htm" TargetMode="External"/><Relationship Id="rId81" Type="http://schemas.openxmlformats.org/officeDocument/2006/relationships/hyperlink" Target="https://www.sec.gov/Archives/edgar/data/105770/000010577023000068/amendedrestatedbylawsoct20.htm" TargetMode="External"/><Relationship Id="rId82" Type="http://schemas.openxmlformats.org/officeDocument/2006/relationships/hyperlink" Target="https://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2025-04-24T15:31:51Z</dcterms:created>
  <dcterms:modified xsi:type="dcterms:W3CDTF">2025-04-24T15:31:51Z</dcterms:modified>
</cp:coreProperties>
</file>