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w:t>
      </w:r>
    </w:p>
    <w:p>
      <w:pPr>
        <w:spacing w:after="0" w:line="280" w:lineRule="exact"/>
        <w:rPr>
          <w:sz w:val="24"/>
          <w:szCs w:val="24"/>
          <w:color w:val="auto"/>
        </w:rPr>
      </w:pPr>
    </w:p>
    <w:p>
      <w:pPr>
        <w:ind w:left="41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5"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23-1210010</w:t>
            </w:r>
          </w:p>
        </w:tc>
      </w:tr>
      <w:tr>
        <w:trPr>
          <w:trHeight w:val="234"/>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87"/>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530 Herman O. West Drive, Exton, PA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19341-0645</w:t>
            </w:r>
          </w:p>
        </w:tc>
      </w:tr>
      <w:tr>
        <w:trPr>
          <w:trHeight w:val="234"/>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1283"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60" w:space="720"/>
            <w:col w:w="1520" w:space="720"/>
            <w:col w:w="3900"/>
          </w:cols>
          <w:pgMar w:left="320" w:top="1283" w:right="459" w:bottom="1440" w:gutter="0" w:footer="0" w:header="0"/>
          <w:type w:val="continuous"/>
        </w:sectPr>
      </w:pPr>
    </w:p>
    <w:p>
      <w:pPr>
        <w:spacing w:after="0" w:line="7"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94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17, 2022, there were 74,032,987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660" w:type="dxa"/>
            <w:vAlign w:val="bottom"/>
            <w:gridSpan w:val="17"/>
            <w:vMerge w:val="restart"/>
          </w:tcPr>
          <w:p>
            <w:pPr>
              <w:spacing w:after="0"/>
              <w:rPr>
                <w:sz w:val="18"/>
                <w:szCs w:val="18"/>
                <w:color w:val="auto"/>
              </w:rPr>
            </w:pPr>
          </w:p>
        </w:tc>
        <w:tc>
          <w:tcPr>
            <w:tcW w:w="94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5"/>
            <w:vMerge w:val="continue"/>
          </w:tcPr>
          <w:p>
            <w:pPr>
              <w:spacing w:after="0"/>
              <w:rPr>
                <w:sz w:val="18"/>
                <w:szCs w:val="18"/>
                <w:color w:val="auto"/>
              </w:rPr>
            </w:pPr>
          </w:p>
        </w:tc>
        <w:tc>
          <w:tcPr>
            <w:tcW w:w="6660" w:type="dxa"/>
            <w:vAlign w:val="bottom"/>
            <w:gridSpan w:val="17"/>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5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(UNAUDITED)</w:t>
            </w:r>
          </w:p>
        </w:tc>
        <w:tc>
          <w:tcPr>
            <w:tcW w:w="36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Income for the Three and Nine Months ended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September 30, 2022 and 2021</w:t>
            </w:r>
          </w:p>
        </w:tc>
        <w:tc>
          <w:tcPr>
            <w:tcW w:w="430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16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for the Three and Nine</w:t>
            </w:r>
          </w:p>
        </w:tc>
        <w:tc>
          <w:tcPr>
            <w:tcW w:w="70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Months ended September 30, 2022 and 2021</w:t>
            </w:r>
          </w:p>
        </w:tc>
        <w:tc>
          <w:tcPr>
            <w:tcW w:w="840" w:type="dxa"/>
            <w:vAlign w:val="bottom"/>
            <w:tcBorders>
              <w:top w:val="single" w:sz="8" w:color="0000FF"/>
              <w:bottom w:val="single" w:sz="8" w:color="0000FF"/>
            </w:tcBorders>
            <w:gridSpan w:val="2"/>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at September 30, 2022 and December 31, 2021</w:t>
            </w:r>
          </w:p>
        </w:tc>
        <w:tc>
          <w:tcPr>
            <w:tcW w:w="50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Cash Flows for the Nine Months ended September 30,</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2022 and 2021</w:t>
            </w:r>
          </w:p>
        </w:tc>
        <w:tc>
          <w:tcPr>
            <w:tcW w:w="5840" w:type="dxa"/>
            <w:vAlign w:val="bottom"/>
            <w:gridSpan w:val="14"/>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8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0000FF"/>
              </w:rPr>
              <w:t>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RESULTS OF OPERATIONS</w:t>
            </w:r>
          </w:p>
        </w:tc>
        <w:tc>
          <w:tcPr>
            <w:tcW w:w="4200" w:type="dxa"/>
            <w:vAlign w:val="bottom"/>
            <w:tcBorders>
              <w:top w:val="single" w:sz="8" w:color="0000FF"/>
            </w:tcBorders>
            <w:gridSpan w:val="9"/>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72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6960" w:type="dxa"/>
            <w:vAlign w:val="bottom"/>
            <w:gridSpan w:val="18"/>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660" w:type="dxa"/>
            <w:vAlign w:val="bottom"/>
            <w:tcBorders>
              <w:top w:val="single" w:sz="8" w:color="0000FF"/>
            </w:tcBorders>
          </w:tcPr>
          <w:p>
            <w:pPr>
              <w:spacing w:after="0"/>
              <w:rPr>
                <w:sz w:val="18"/>
                <w:szCs w:val="18"/>
                <w:color w:val="auto"/>
              </w:rPr>
            </w:pPr>
          </w:p>
        </w:tc>
        <w:tc>
          <w:tcPr>
            <w:tcW w:w="5180" w:type="dxa"/>
            <w:vAlign w:val="bottom"/>
            <w:gridSpan w:val="13"/>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780" w:type="dxa"/>
            <w:vAlign w:val="bottom"/>
            <w:gridSpan w:val="6"/>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F-1</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right="50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INCOME (UNAUDITED) </w:t>
      </w:r>
      <w:r>
        <w:rPr>
          <w:rFonts w:ascii="Times New Roman" w:cs="Times New Roman" w:eastAsia="Times New Roman" w:hAnsi="Times New Roman"/>
          <w:sz w:val="18"/>
          <w:szCs w:val="18"/>
          <w:color w:val="auto"/>
        </w:rPr>
        <w:t>West Pharmaceutical Services, Inc. and Subsidiaries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686.9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418.9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w:t>
            </w: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268.0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(Note 15)</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w:t>
            </w:r>
          </w:p>
        </w:tc>
      </w:tr>
      <w:tr>
        <w:trPr>
          <w:trHeight w:val="21"/>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ectPr>
          <w:pgSz w:w="11900" w:h="16838" w:orient="portrait"/>
          <w:cols w:equalWidth="0" w:num="1">
            <w:col w:w="11240"/>
          </w:cols>
          <w:pgMar w:left="320" w:top="124" w:right="339" w:bottom="1440" w:gutter="0" w:footer="0" w:header="0"/>
        </w:sectPr>
      </w:pPr>
    </w:p>
    <w:p>
      <w:pPr>
        <w:spacing w:after="0" w:line="43" w:lineRule="exact"/>
        <w:rPr>
          <w:sz w:val="20"/>
          <w:szCs w:val="20"/>
          <w:color w:val="auto"/>
        </w:rPr>
      </w:pPr>
    </w:p>
    <w:p>
      <w:pPr>
        <w:ind w:right="170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20" w:right="160"/>
        <w:spacing w:after="0" w:line="234" w:lineRule="auto"/>
        <w:rPr>
          <w:sz w:val="20"/>
          <w:szCs w:val="20"/>
          <w:color w:val="auto"/>
        </w:rPr>
      </w:pPr>
      <w:r>
        <w:rPr>
          <w:rFonts w:ascii="Times New Roman" w:cs="Times New Roman" w:eastAsia="Times New Roman" w:hAnsi="Times New Roman"/>
          <w:sz w:val="18"/>
          <w:szCs w:val="18"/>
          <w:color w:val="auto"/>
        </w:rPr>
        <w:t>Foreign currency translation adjustments, net of tax of $1.1, $0.1, $3.8 and $1.8, respectively</w:t>
      </w:r>
    </w:p>
    <w:p>
      <w:pPr>
        <w:spacing w:after="0" w:line="10" w:lineRule="exact"/>
        <w:rPr>
          <w:sz w:val="20"/>
          <w:szCs w:val="20"/>
          <w:color w:val="auto"/>
        </w:rPr>
      </w:pPr>
    </w:p>
    <w:p>
      <w:pPr>
        <w:ind w:left="220" w:right="120"/>
        <w:spacing w:after="0" w:line="237" w:lineRule="auto"/>
        <w:rPr>
          <w:sz w:val="20"/>
          <w:szCs w:val="20"/>
          <w:color w:val="auto"/>
        </w:rPr>
      </w:pPr>
      <w:r>
        <w:rPr>
          <w:rFonts w:ascii="Times New Roman" w:cs="Times New Roman" w:eastAsia="Times New Roman" w:hAnsi="Times New Roman"/>
          <w:sz w:val="18"/>
          <w:szCs w:val="18"/>
          <w:color w:val="auto"/>
        </w:rPr>
        <w:t>Defined benefit pension and other postretirement plan adjustments, net of tax of $14.6, $0.2, $15.5, and $0.4, respectively</w:t>
      </w:r>
    </w:p>
    <w:p>
      <w:pPr>
        <w:spacing w:after="0" w:line="10" w:lineRule="exact"/>
        <w:rPr>
          <w:sz w:val="20"/>
          <w:szCs w:val="20"/>
          <w:color w:val="auto"/>
        </w:rPr>
      </w:pPr>
    </w:p>
    <w:p>
      <w:pPr>
        <w:ind w:left="220" w:right="200"/>
        <w:spacing w:after="0" w:line="237" w:lineRule="auto"/>
        <w:rPr>
          <w:sz w:val="20"/>
          <w:szCs w:val="20"/>
          <w:color w:val="auto"/>
        </w:rPr>
      </w:pPr>
      <w:r>
        <w:rPr>
          <w:rFonts w:ascii="Times New Roman" w:cs="Times New Roman" w:eastAsia="Times New Roman" w:hAnsi="Times New Roman"/>
          <w:sz w:val="18"/>
          <w:szCs w:val="18"/>
          <w:color w:val="auto"/>
        </w:rPr>
        <w:t>Net loss on equity affiliate accumulated other comprehensive income, net of tax of $0.0, $0.0, $0.0 and $0.0,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20" w:right="440"/>
        <w:spacing w:after="0" w:line="237" w:lineRule="auto"/>
        <w:rPr>
          <w:sz w:val="20"/>
          <w:szCs w:val="20"/>
          <w:color w:val="auto"/>
        </w:rPr>
      </w:pPr>
      <w:r>
        <w:rPr>
          <w:rFonts w:ascii="Times New Roman" w:cs="Times New Roman" w:eastAsia="Times New Roman" w:hAnsi="Times New Roman"/>
          <w:sz w:val="18"/>
          <w:szCs w:val="18"/>
          <w:color w:val="auto"/>
        </w:rPr>
        <w:t>Net (loss) gain on derivatives, net of tax of $0.0, $(0.4), $(0.8) and $(0.4),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8"/>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120.6</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175.6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643"/>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(76.0)</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419"/>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8"/>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7"/>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-1515745</wp:posOffset>
            </wp:positionV>
            <wp:extent cx="1825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400"/>
            <w:col w:w="538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469.0</w:t>
            </w:r>
          </w:p>
        </w:tc>
      </w:tr>
      <w:tr>
        <w:trPr>
          <w:trHeight w:val="20"/>
        </w:trPr>
        <w:tc>
          <w:tcPr>
            <w:tcW w:w="5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17"/>
                <w:szCs w:val="17"/>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762.6</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1,742.0</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1,157.5</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 payable and other current debt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978.4</w:t>
            </w:r>
          </w:p>
        </w:tc>
        <w:tc>
          <w:tcPr>
            <w:tcW w:w="0" w:type="dxa"/>
            <w:vAlign w:val="bottom"/>
          </w:tcPr>
          <w:p>
            <w:pPr>
              <w:spacing w:after="0"/>
              <w:rPr>
                <w:sz w:val="1"/>
                <w:szCs w:val="1"/>
                <w:color w:val="auto"/>
              </w:rPr>
            </w:pPr>
          </w:p>
        </w:tc>
      </w:tr>
      <w:tr>
        <w:trPr>
          <w:trHeight w:val="92"/>
        </w:trPr>
        <w:tc>
          <w:tcPr>
            <w:tcW w:w="7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3.0 million shares authorized; 0 shares issued and outstanding</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798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par value $0.25 per share; 200.0 million shares authorized; shares issued: 75.3 million and 75.3</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3"/>
        </w:trPr>
        <w:tc>
          <w:tcPr>
            <w:tcW w:w="7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million, respectively; shares outstanding: 74.0 million and 74.2 million, respectively</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2,456.7</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(1.3 million and 1.1 million shares, respectively)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2,335.4</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5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(UNAUDITED) </w:t>
      </w:r>
      <w:r>
        <w:rPr>
          <w:rFonts w:ascii="Times New Roman" w:cs="Times New Roman" w:eastAsia="Times New Roman" w:hAnsi="Times New Roman"/>
          <w:sz w:val="18"/>
          <w:szCs w:val="18"/>
          <w:color w:val="auto"/>
        </w:rPr>
        <w:t>West Pharmaceutical Services, Inc. and Subsidiaries (in millions)</w:t>
      </w:r>
    </w:p>
    <w:p>
      <w:pPr>
        <w:spacing w:after="0" w:line="20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796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142"/>
        </w:trPr>
        <w:tc>
          <w:tcPr>
            <w:tcW w:w="7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payments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stock-based compensation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162"/>
        </w:trPr>
        <w:tc>
          <w:tcPr>
            <w:tcW w:w="7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condensed consolidated financial statements included in this report are unaudited and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2022,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2021 (the “</w:t>
      </w:r>
      <w:hyperlink r:id="rId20">
        <w:r>
          <w:rPr>
            <w:rFonts w:ascii="Times New Roman" w:cs="Times New Roman" w:eastAsia="Times New Roman" w:hAnsi="Times New Roman"/>
            <w:sz w:val="18"/>
            <w:szCs w:val="18"/>
            <w:u w:val="single" w:color="auto"/>
            <w:color w:val="0000FF"/>
          </w:rPr>
          <w:t>2021 Annual Report</w:t>
        </w:r>
      </w:hyperlink>
      <w:r>
        <w:rPr>
          <w:rFonts w:ascii="Times New Roman" w:cs="Times New Roman" w:eastAsia="Times New Roman" w:hAnsi="Times New Roman"/>
          <w:sz w:val="18"/>
          <w:szCs w:val="18"/>
          <w:color w:val="auto"/>
        </w:rPr>
        <w:t>”). The results of operations for any interim period are not necessarily indicative of results for the full year.</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West has been actively monitoring the coronavirus (“COVID-19”) situation and its impact globally. Our production facilities continue to operate as they had prior to the COVID-19 pandemic, other than for enhanced safety measures intended to prevent the spread of the virus. The remote working arrangements and travel restrictions imposed by various governments had limited impact on our ability to maintain operations, as our manufacturing operations have generally been exempted from stay-at-home orders.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guidance that seeks to improve the transparency of financial disclosures for government assistance received by business entities. The amendment requires disclosures for transactions with a government accounted for by applying a grant or contribution accounting model by analogy, including (1) the types of transactions, (2) the accounting for those transactions, and (3) the effect of those transactions on an entity’s financial statements. This guidance is effective for fiscal years beginning after December 15, 2021. We adopted this guidance as of January 1, 2022, on a prospective basis. The adoption did not have a material impact on our financial statements.</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adopted this guidance during the quarter and its adoption did not have a material impact on our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860" w:type="dxa"/>
            <w:vAlign w:val="bottom"/>
            <w:gridSpan w:val="6"/>
          </w:tcPr>
          <w:p>
            <w:pPr>
              <w:jc w:val="center"/>
              <w:ind w:right="6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400" w:type="dxa"/>
            <w:vAlign w:val="bottom"/>
            <w:gridSpan w:val="5"/>
          </w:tcPr>
          <w:p>
            <w:pPr>
              <w:jc w:val="center"/>
              <w:ind w:right="4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980" w:type="dxa"/>
            <w:vAlign w:val="bottom"/>
          </w:tcPr>
          <w:p>
            <w:pPr>
              <w:spacing w:after="0"/>
              <w:rPr>
                <w:sz w:val="18"/>
                <w:szCs w:val="18"/>
                <w:color w:val="auto"/>
              </w:rPr>
            </w:pPr>
          </w:p>
        </w:tc>
        <w:tc>
          <w:tcPr>
            <w:tcW w:w="386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0" w:type="dxa"/>
            <w:vAlign w:val="bottom"/>
            <w:gridSpan w:val="5"/>
          </w:tcPr>
          <w:p>
            <w:pPr>
              <w:jc w:val="center"/>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Components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High-Value Product Delivery Devices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860" w:type="dxa"/>
            <w:vAlign w:val="bottom"/>
            <w:gridSpan w:val="6"/>
          </w:tcPr>
          <w:p>
            <w:pPr>
              <w:jc w:val="center"/>
              <w:ind w:right="6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400" w:type="dxa"/>
            <w:vAlign w:val="bottom"/>
            <w:gridSpan w:val="5"/>
          </w:tcPr>
          <w:p>
            <w:pPr>
              <w:jc w:val="center"/>
              <w:ind w:right="4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9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 following table summarizes our contract assets and liabilities, excluding amounts included in accounts receivable, net: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2021</w:t>
            </w: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September 30, 2022</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2021</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September 30, 2022</w:t>
            </w: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assets are included within other current assets and deferred income is included within other current liabilities and other long-term liabilities. During the nine months ended September 30, 2022, $23.6 million of revenue was recognized that was included in deferred income at the beginning of the year.</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within a specific therapeutic area. As of September 30, 2022, there was $3.2 million of deferred income related to this payment, of which $0.9 million was included in other current liabilities and $2.3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there were 0.2 million and 0.0 million shares, respectively, from stock-based compensation plans not included in the computation of diluted net income per share because their impact was antidilutive. There were 0.1 million and 0.0 million antidilutive shares outstanding during the nine months ended September 30, 2022 and 2021, respectively.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2021, we announced a share repurchase program for calendar-year 2022 authorizing the repurchase of up to 650,000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This share repurchase program is expected to be completed by December 31, 2022.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we purchased 86,667 shares of our common stock under the program at a cost of $27.2 million, or an average price of $313.22 per share. During the nine months ended September 30, 2022, we purchased 563,334 shares of our common stock under the program at a cost of $202.9 million, or an average price of $360.03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Inventory balances were as follows:</w:t>
            </w:r>
          </w:p>
        </w:tc>
        <w:tc>
          <w:tcPr>
            <w:tcW w:w="1720" w:type="dxa"/>
            <w:vAlign w:val="bottom"/>
          </w:tcPr>
          <w:p>
            <w:pPr>
              <w:spacing w:after="0"/>
              <w:rPr>
                <w:sz w:val="24"/>
                <w:szCs w:val="24"/>
                <w:color w:val="auto"/>
              </w:rPr>
            </w:pPr>
          </w:p>
        </w:tc>
      </w:tr>
      <w:tr>
        <w:trPr>
          <w:trHeight w:val="202"/>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Pr>
          <w:p>
            <w:pPr>
              <w:spacing w:after="0"/>
              <w:rPr>
                <w:sz w:val="17"/>
                <w:szCs w:val="17"/>
                <w:color w:val="auto"/>
              </w:rPr>
            </w:pPr>
          </w:p>
        </w:tc>
        <w:tc>
          <w:tcPr>
            <w:tcW w:w="172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23"/>
        </w:trPr>
        <w:tc>
          <w:tcPr>
            <w:tcW w:w="66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5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8"/>
          </w:tcPr>
          <w:p>
            <w:pPr>
              <w:ind w:left="56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5"/>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4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color w:val="auto"/>
                <w:w w:val="99"/>
              </w:rPr>
              <w:t>September 30,</w:t>
            </w:r>
          </w:p>
        </w:tc>
        <w:tc>
          <w:tcPr>
            <w:tcW w:w="1100" w:type="dxa"/>
            <w:vAlign w:val="bottom"/>
            <w:tcBorders>
              <w:bottom w:val="single" w:sz="8" w:color="auto"/>
            </w:tcBorders>
          </w:tcPr>
          <w:p>
            <w:pPr>
              <w:spacing w:after="0"/>
              <w:rPr>
                <w:sz w:val="20"/>
                <w:szCs w:val="20"/>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7"/>
        </w:trPr>
        <w:tc>
          <w:tcPr>
            <w:tcW w:w="6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8"/>
          </w:tcPr>
          <w:p>
            <w:pPr>
              <w:ind w:left="58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5"/>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September 30,</w:t>
            </w:r>
          </w:p>
        </w:tc>
        <w:tc>
          <w:tcPr>
            <w:tcW w:w="1100" w:type="dxa"/>
            <w:vAlign w:val="bottom"/>
            <w:tcBorders>
              <w:bottom w:val="single" w:sz="8" w:color="auto"/>
            </w:tcBorders>
          </w:tcPr>
          <w:p>
            <w:pPr>
              <w:spacing w:after="0"/>
              <w:rPr>
                <w:sz w:val="20"/>
                <w:szCs w:val="20"/>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156"/>
        </w:trPr>
        <w:tc>
          <w:tcPr>
            <w:tcW w:w="4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 weighted average remaining lease term for operating leases was 8.9 and 10.7 years,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 weighted average discount rate was 3.27% and 3.58%,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period as of)</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8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At September 30, 2022 and December 31, 2021, the aggregate carrying amount of our investment in affiliated companies that are accounted for under the equity method was $177.2 million and $201.2 million, respectively, and the aggregate carrying amount of our investment in affiliated companies that are not accounted for under the equity method was $11.4 million and $6.5 million, respectively. We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purchases from, and royalty payments made to, affiliates totaled $33.6 million and $131.2 million for the three and nine months ended September 30, 2022, respectively, as compared to $34.0 million and $119.6 million, respectively, for the same periods in 2021. As of September 30, 2022 and December 31, 2021, the payable balance due to affiliates was $20.8 million and $25.5 million, respectively. The majority of these transactions related to a distributorship agreement with Daikyo Seiko, Ltd. ("Daikyo") that allows us to purchase and re-sell Daikyo products.</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Sales to affiliates were $2.6 million and $10.2 million, respectively, for the three and nine months ended September 30, 2022, as compared to $2.8 million and $8.8 million, respectively, for the same periods in 2021. As of September 30, 2022 and December 31, 2021, the receivable balance due from affiliates was $1.8 million and $2.3 million, respectively.</w:t>
      </w:r>
    </w:p>
    <w:p>
      <w:pPr>
        <w:spacing w:after="0" w:line="20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refer to Note 7, </w:t>
      </w:r>
      <w:hyperlink r:id="rId20">
        <w:r>
          <w:rPr>
            <w:rFonts w:ascii="Times New Roman" w:cs="Times New Roman" w:eastAsia="Times New Roman" w:hAnsi="Times New Roman"/>
            <w:sz w:val="18"/>
            <w:szCs w:val="18"/>
            <w:i w:val="1"/>
            <w:iCs w:val="1"/>
            <w:u w:val="single" w:color="auto"/>
            <w:color w:val="0000FF"/>
          </w:rPr>
          <w:t>Affiliated Companies</w:t>
        </w:r>
      </w:hyperlink>
      <w:r>
        <w:rPr>
          <w:rFonts w:ascii="Times New Roman" w:cs="Times New Roman" w:eastAsia="Times New Roman" w:hAnsi="Times New Roman"/>
          <w:sz w:val="18"/>
          <w:szCs w:val="18"/>
          <w:color w:val="auto"/>
        </w:rPr>
        <w:t xml:space="preserve">, to the consolidated financial statements in our </w:t>
      </w:r>
      <w:hyperlink r:id="rId20">
        <w:r>
          <w:rPr>
            <w:rFonts w:ascii="Times New Roman" w:cs="Times New Roman" w:eastAsia="Times New Roman" w:hAnsi="Times New Roman"/>
            <w:sz w:val="18"/>
            <w:szCs w:val="18"/>
            <w:u w:val="single" w:color="auto"/>
            <w:color w:val="0000FF"/>
          </w:rPr>
          <w:t>2021 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The interest rates shown in parentheses are as of September 30, 2022, with the exception of the Series A notes which is as of December 31, 2021.</w:t>
      </w: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5"/>
                <w:szCs w:val="15"/>
                <w:color w:val="auto"/>
              </w:rPr>
            </w:pPr>
          </w:p>
        </w:tc>
        <w:tc>
          <w:tcPr>
            <w:tcW w:w="136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December 31, 2024 (4.53%)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notes, due July 5, 2022 (3.67%)</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notes, due July 5, 2024 (3.82%)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7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we amended and extended the existing credit facility (entered into in March 2019), which was scheduled to expire in March 2024,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million to a $500.0 million senior unsecured revolving credit facility by entering into a Second Amendment and Joinder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"Amended Credit Agreement"). The Amended Credit Agreement, which expires March 2027, contains a senior unsecured, multi-currency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of $500.0 million, with sublimits of up to $50.0 million for swing line loans for Domestic Borrowers in U.S. dollars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swing line loan for West Pharmaceuticals Services Holding GmbH and up to $50.0 million for the issuance of standby letters of credit.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may be increased from time-to-time by the greater of (a) $929.0 million or (b) EBITDA for the preceding twelve month period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through an increase in the revolving credit facility, subject to the satisfaction of certain conditions. Borrowings under the credit facility bear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the Company’s option, at either: (a) the Term Secured Overnight Financing Rate (“SOFR”) plus 0.10% plus an applicable margin; or (b) a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defined as the highest of: (i) the Bank of America “prime rate”; (ii) the Federal Funds effective rate plus 0.50%; and (iii) Term SOFR plus 1.00%.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is based on the ratio of the Company’s Net Consolidated Debt to its modified EBITDA, ranging from 0 to 37.5 basis points for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87.5 to 137.5 basis points for Term SOFR loans. The Amended Credit Agreement contains financial covenants providing that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permit the ratio of the Company’s Net Consolidated Debt to its Modified EBITDA to be greater than 3.5 to 1; provided that, no more than three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term of the Amended Credit Agreement, upon the occurrence of a Qualified Acquisition for each of the four fiscal quarters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such Qualified Acquisition, the ratio set forth above shall be increased to 4.0 to 1. The Amended Credit Agreement also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limitations on liens securing indebtedness of the Company and its subsidiaries, fundamental changes (mergers, consolidations, liquidations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dissolutions), asset sales, distributions and acquisitions.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2022, the borrowing capacity available under our $500.0 million multi-currency revolving credit facility (the “Credit Facility”), including outstanding letters of credit of $2.4 million, was $497.6 million.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2022, we were in compliance with all of our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At September 30, 2022, we had $83.8 million in borrowings under the Term Loan, of which $2.2 million was classified as current and $81.6 million was classified as long-term.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a discussion of the foreign currency hedge associated with the Term Loan.</w:t>
      </w:r>
    </w:p>
    <w:p>
      <w:pPr>
        <w:spacing w:after="0" w:line="201"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refer to Note 10, </w:t>
      </w:r>
      <w:hyperlink r:id="rId20">
        <w:r>
          <w:rPr>
            <w:rFonts w:ascii="Times New Roman" w:cs="Times New Roman" w:eastAsia="Times New Roman" w:hAnsi="Times New Roman"/>
            <w:sz w:val="18"/>
            <w:szCs w:val="18"/>
            <w:i w:val="1"/>
            <w:iCs w:val="1"/>
            <w:u w:val="single" w:color="auto"/>
            <w:color w:val="0000FF"/>
          </w:rPr>
          <w:t>Debt</w:t>
        </w:r>
      </w:hyperlink>
      <w:r>
        <w:rPr>
          <w:rFonts w:ascii="Times New Roman" w:cs="Times New Roman" w:eastAsia="Times New Roman" w:hAnsi="Times New Roman"/>
          <w:sz w:val="18"/>
          <w:szCs w:val="18"/>
          <w:color w:val="auto"/>
        </w:rPr>
        <w:t xml:space="preserve">, to the consolidated financial statements in our </w:t>
      </w:r>
      <w:hyperlink r:id="rId20">
        <w:r>
          <w:rPr>
            <w:rFonts w:ascii="Times New Roman" w:cs="Times New Roman" w:eastAsia="Times New Roman" w:hAnsi="Times New Roman"/>
            <w:sz w:val="18"/>
            <w:szCs w:val="18"/>
            <w:u w:val="single" w:color="auto"/>
            <w:color w:val="0000FF"/>
          </w:rPr>
          <w:t>2021 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details regarding our debt agreements.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2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September 30, 2022, the notional amount of these forward exchange contracts was Singapore Dollar (“SGD”) 601.5 million and $13.4 million.</w:t>
      </w:r>
    </w:p>
    <w:p>
      <w:pPr>
        <w:spacing w:after="0" w:line="20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2022, we had outstanding foreign currency contracts to purchase and sell certain pairs of currencies,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Sell</w:t>
            </w:r>
          </w:p>
        </w:tc>
        <w:tc>
          <w:tcPr>
            <w:tcW w:w="1820" w:type="dxa"/>
            <w:vAlign w:val="bottom"/>
          </w:tcPr>
          <w:p>
            <w:pPr>
              <w:spacing w:after="0"/>
              <w:rPr>
                <w:sz w:val="19"/>
                <w:szCs w:val="19"/>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5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96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8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Euro</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33.7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3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cross-currency swap for $90 million, which we designated as a hedge of our net investment in Daikyo. As of September 30, 2022, the notional amount of the cross-currency swap is ¥9.2 billion ($83.8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principal payments of USD in return for paying fixed principal payments of Yen.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From November 2017 through September 2022, we purchased several series of call options for a total of 823,536 barrels of crude oil to mitigate our exposure to such oil-based surcharges and protect operating cash flows with regard to a portion of our forecasted elastomer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we had outstanding contracts to purchase 259,559 barrels of crude oil from September 2022 to June 2024, at a weighted-average strike price of $109.84 per barrel.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25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September 30, 2022 and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on the condensed consolidated statements of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6"/>
                <w:szCs w:val="16"/>
                <w:color w:val="auto"/>
              </w:rPr>
            </w:pPr>
          </w:p>
        </w:tc>
        <w:tc>
          <w:tcPr>
            <w:tcW w:w="1940" w:type="dxa"/>
            <w:vAlign w:val="bottom"/>
            <w:gridSpan w:val="3"/>
          </w:tcPr>
          <w:p>
            <w:pPr>
              <w:jc w:val="center"/>
              <w:ind w:left="2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19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 (intercompany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testing</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7"/>
              </w:rPr>
              <w:t>0.9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 in earnings the initial value of forward point components on a straight-line basis over the life of the fair value hedge. The amounts recognized in earnings, pre-tax, for forward point components for the three and nine months ended September 30, 2022 and 2021 were $1.1 million, $2.8 million, and $0.6 million,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other comprehensive income (“OCI”) and earnings, net of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220" w:type="dxa"/>
            <w:vAlign w:val="bottom"/>
          </w:tcPr>
          <w:p>
            <w:pPr>
              <w:spacing w:after="0"/>
              <w:rPr>
                <w:sz w:val="17"/>
                <w:szCs w:val="17"/>
                <w:color w:val="auto"/>
              </w:rPr>
            </w:pPr>
          </w:p>
        </w:tc>
        <w:tc>
          <w:tcPr>
            <w:tcW w:w="19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6"/>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OCI for the</w:t>
            </w:r>
          </w:p>
        </w:tc>
        <w:tc>
          <w:tcPr>
            <w:tcW w:w="220" w:type="dxa"/>
            <w:vAlign w:val="bottom"/>
          </w:tcPr>
          <w:p>
            <w:pPr>
              <w:spacing w:after="0"/>
              <w:rPr>
                <w:sz w:val="22"/>
                <w:szCs w:val="22"/>
                <w:color w:val="auto"/>
              </w:rPr>
            </w:pPr>
          </w:p>
        </w:tc>
        <w:tc>
          <w:tcPr>
            <w:tcW w:w="2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OCI into Income for the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Loss</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5"/>
                <w:szCs w:val="15"/>
                <w:color w:val="auto"/>
              </w:rPr>
            </w:pPr>
          </w:p>
        </w:tc>
        <w:tc>
          <w:tcPr>
            <w:tcW w:w="1940" w:type="dxa"/>
            <w:vAlign w:val="bottom"/>
            <w:gridSpan w:val="3"/>
          </w:tcPr>
          <w:p>
            <w:pPr>
              <w:jc w:val="center"/>
              <w:ind w:lef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1"/>
                <w:szCs w:val="21"/>
                <w:color w:val="auto"/>
              </w:rPr>
            </w:pPr>
          </w:p>
        </w:tc>
        <w:tc>
          <w:tcPr>
            <w:tcW w:w="1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220" w:type="dxa"/>
            <w:vAlign w:val="bottom"/>
          </w:tcPr>
          <w:p>
            <w:pPr>
              <w:spacing w:after="0"/>
              <w:rPr>
                <w:sz w:val="24"/>
                <w:szCs w:val="24"/>
                <w:color w:val="auto"/>
              </w:rPr>
            </w:pPr>
          </w:p>
        </w:tc>
        <w:tc>
          <w:tcPr>
            <w:tcW w:w="19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6"/>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OCI for the</w:t>
            </w:r>
          </w:p>
        </w:tc>
        <w:tc>
          <w:tcPr>
            <w:tcW w:w="220" w:type="dxa"/>
            <w:vAlign w:val="bottom"/>
          </w:tcPr>
          <w:p>
            <w:pPr>
              <w:spacing w:after="0"/>
              <w:rPr>
                <w:sz w:val="22"/>
                <w:szCs w:val="22"/>
                <w:color w:val="auto"/>
              </w:rPr>
            </w:pPr>
          </w:p>
        </w:tc>
        <w:tc>
          <w:tcPr>
            <w:tcW w:w="20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OCI into Income for the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Loss</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5"/>
                <w:szCs w:val="15"/>
                <w:color w:val="auto"/>
              </w:rPr>
            </w:pPr>
          </w:p>
        </w:tc>
        <w:tc>
          <w:tcPr>
            <w:tcW w:w="19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0" w:type="dxa"/>
            <w:vAlign w:val="bottom"/>
          </w:tcPr>
          <w:p>
            <w:pPr>
              <w:spacing w:after="0"/>
              <w:rPr>
                <w:sz w:val="1"/>
                <w:szCs w:val="1"/>
                <w:color w:val="auto"/>
              </w:rPr>
            </w:pP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740" w:type="dxa"/>
            <w:vAlign w:val="bottom"/>
            <w:gridSpan w:val="4"/>
          </w:tcPr>
          <w:p>
            <w:pPr>
              <w:jc w:val="center"/>
              <w:ind w:left="370"/>
              <w:spacing w:after="0" w:line="18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center"/>
              <w:ind w:right="250"/>
              <w:spacing w:after="0" w:line="18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20" w:type="dxa"/>
            <w:vAlign w:val="bottom"/>
          </w:tcPr>
          <w:p>
            <w:pPr>
              <w:spacing w:after="0"/>
              <w:rPr>
                <w:sz w:val="19"/>
                <w:szCs w:val="19"/>
                <w:color w:val="auto"/>
              </w:rPr>
            </w:pPr>
          </w:p>
        </w:tc>
        <w:tc>
          <w:tcPr>
            <w:tcW w:w="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Pr>
          <w:p>
            <w:pPr>
              <w:spacing w:after="0"/>
              <w:rPr>
                <w:sz w:val="20"/>
                <w:szCs w:val="20"/>
                <w:color w:val="auto"/>
              </w:rPr>
            </w:pPr>
          </w:p>
        </w:tc>
        <w:tc>
          <w:tcPr>
            <w:tcW w:w="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on the condensed consolidated statements of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(Loss) Gain</w:t>
            </w:r>
          </w:p>
        </w:tc>
        <w:tc>
          <w:tcPr>
            <w:tcW w:w="120" w:type="dxa"/>
            <w:vAlign w:val="bottom"/>
          </w:tcPr>
          <w:p>
            <w:pPr>
              <w:spacing w:after="0"/>
              <w:rPr>
                <w:sz w:val="17"/>
                <w:szCs w:val="17"/>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6"/>
                <w:szCs w:val="16"/>
                <w:color w:val="auto"/>
              </w:rPr>
            </w:pPr>
          </w:p>
        </w:tc>
        <w:tc>
          <w:tcPr>
            <w:tcW w:w="2060" w:type="dxa"/>
            <w:vAlign w:val="bottom"/>
            <w:gridSpan w:val="3"/>
          </w:tcPr>
          <w:p>
            <w:pPr>
              <w:jc w:val="center"/>
              <w:ind w:lef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5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and 2021, there was no material ineffectiveness related to our hedges.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0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9"/>
              </w:rPr>
              <w:t>September 30,</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8"/>
          <w:szCs w:val="18"/>
          <w:i w:val="1"/>
          <w:iCs w:val="1"/>
          <w:u w:val="single" w:color="auto"/>
          <w:color w:val="0000FF"/>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Instruments</w:t>
      </w:r>
      <w:r>
        <w:rPr>
          <w:rFonts w:ascii="Times New Roman" w:cs="Times New Roman" w:eastAsia="Times New Roman" w:hAnsi="Times New Roman"/>
          <w:sz w:val="18"/>
          <w:szCs w:val="18"/>
          <w:color w:val="000000"/>
        </w:rPr>
        <w:t>, for further discussion of our derivatives. The fair value of our commodity call options, included within other current and other noncurrent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assets, is valued using a market approach. The fair value of the contingent consideration liability, within current and long-term liabilities, related to the SmartDose</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xml:space="preserve"> technology platform (the “SmartDose</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(income) expense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that the carrying amounts of our cash and cash equivalents and accounts receivable approximate their fair values due to their near-term maturities.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 of long-term debt is based on quoted market prices for debt issuances with similar terms and maturities and is classified as Level 2 within the fair value hierarchy. At September 30, 2022, the estimated fair value of long-term debt was $202.2 million compared to a carrying amount of $207.2 million. At December 31, 2021, the estimated fair value of long-term debt was $217.9 million and the carrying amount was $208.8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w:t>
      </w:r>
    </w:p>
    <w:p>
      <w:pPr>
        <w:sectPr>
          <w:pgSz w:w="11900" w:h="16838" w:orient="portrait"/>
          <w:cols w:equalWidth="0" w:num="1">
            <w:col w:w="11240"/>
          </w:cols>
          <w:pgMar w:left="320" w:top="124"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2022:</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7" w:lineRule="exact"/>
        <w:rPr>
          <w:sz w:val="20"/>
          <w:szCs w:val="20"/>
          <w:color w:val="auto"/>
        </w:rPr>
      </w:pPr>
    </w:p>
    <w:p>
      <w:pPr>
        <w:ind w:left="100" w:right="3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0" w:lineRule="exact"/>
        <w:rPr>
          <w:sz w:val="20"/>
          <w:szCs w:val="20"/>
          <w:color w:val="auto"/>
        </w:rPr>
      </w:pPr>
    </w:p>
    <w:p>
      <w:pPr>
        <w:ind w:left="100"/>
        <w:spacing w:after="0" w:line="236" w:lineRule="auto"/>
        <w:rPr>
          <w:sz w:val="20"/>
          <w:szCs w:val="20"/>
          <w:color w:val="auto"/>
        </w:rPr>
      </w:pPr>
      <w:r>
        <w:rPr>
          <w:rFonts w:ascii="Times New Roman" w:cs="Times New Roman" w:eastAsia="Times New Roman" w:hAnsi="Times New Roman"/>
          <w:sz w:val="17"/>
          <w:szCs w:val="17"/>
          <w:color w:val="auto"/>
        </w:rPr>
        <w:t>Amounts reclassified out from accumulated other comprehensive (loss)</w:t>
      </w:r>
    </w:p>
    <w:p>
      <w:pPr>
        <w:ind w:left="100"/>
        <w:spacing w:after="0"/>
        <w:rPr>
          <w:sz w:val="20"/>
          <w:szCs w:val="20"/>
          <w:color w:val="auto"/>
        </w:rPr>
      </w:pPr>
      <w:r>
        <w:rPr>
          <w:rFonts w:ascii="Times New Roman" w:cs="Times New Roman" w:eastAsia="Times New Roman" w:hAnsi="Times New Roman"/>
          <w:sz w:val="18"/>
          <w:szCs w:val="18"/>
          <w:color w:val="auto"/>
        </w:rPr>
        <w:t>income</w:t>
      </w:r>
    </w:p>
    <w:p>
      <w:pPr>
        <w:spacing w:after="0" w:line="7" w:lineRule="exact"/>
        <w:rPr>
          <w:sz w:val="20"/>
          <w:szCs w:val="20"/>
          <w:color w:val="auto"/>
        </w:rPr>
      </w:pPr>
    </w:p>
    <w:p>
      <w:pPr>
        <w:ind w:left="100" w:right="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net of tax</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(Losses) gains on</w:t>
            </w: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398"/>
        </w:trPr>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24"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the components of accumulated other comprehensive income ("AOCI") (loss), net of tax, for the nine months</w:t>
      </w:r>
    </w:p>
    <w:p>
      <w:pPr>
        <w:sectPr>
          <w:pgSz w:w="11900" w:h="16838" w:orient="portrait"/>
          <w:cols w:equalWidth="0" w:num="1">
            <w:col w:w="11240"/>
          </w:cols>
          <w:pgMar w:left="320" w:top="124"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2021:</w:t>
      </w: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2020</w:t>
      </w:r>
    </w:p>
    <w:p>
      <w:pPr>
        <w:spacing w:after="0" w:line="27" w:lineRule="exact"/>
        <w:rPr>
          <w:sz w:val="20"/>
          <w:szCs w:val="20"/>
          <w:color w:val="auto"/>
        </w:rPr>
      </w:pPr>
    </w:p>
    <w:p>
      <w:pPr>
        <w:ind w:left="100" w:right="320"/>
        <w:spacing w:after="0" w:line="234" w:lineRule="auto"/>
        <w:rPr>
          <w:sz w:val="20"/>
          <w:szCs w:val="20"/>
          <w:color w:val="auto"/>
        </w:rPr>
      </w:pPr>
      <w:r>
        <w:rPr>
          <w:rFonts w:ascii="Times New Roman" w:cs="Times New Roman" w:eastAsia="Times New Roman" w:hAnsi="Times New Roman"/>
          <w:sz w:val="18"/>
          <w:szCs w:val="18"/>
          <w:color w:val="auto"/>
        </w:rPr>
        <w:t>Other comprehensive (loss) income before reclassifications</w:t>
      </w:r>
    </w:p>
    <w:p>
      <w:pPr>
        <w:spacing w:after="0" w:line="10" w:lineRule="exact"/>
        <w:rPr>
          <w:sz w:val="20"/>
          <w:szCs w:val="20"/>
          <w:color w:val="auto"/>
        </w:rPr>
      </w:pPr>
    </w:p>
    <w:p>
      <w:pPr>
        <w:ind w:left="100"/>
        <w:spacing w:after="0" w:line="226" w:lineRule="auto"/>
        <w:rPr>
          <w:sz w:val="20"/>
          <w:szCs w:val="20"/>
          <w:color w:val="auto"/>
        </w:rPr>
      </w:pPr>
      <w:r>
        <w:rPr>
          <w:rFonts w:ascii="Times New Roman" w:cs="Times New Roman" w:eastAsia="Times New Roman" w:hAnsi="Times New Roman"/>
          <w:sz w:val="18"/>
          <w:szCs w:val="18"/>
          <w:color w:val="auto"/>
        </w:rPr>
        <w:t>Amounts reclassified out from accumulated other comprehensive (loss) income</w:t>
      </w:r>
    </w:p>
    <w:p>
      <w:pPr>
        <w:spacing w:after="0" w:line="9" w:lineRule="exact"/>
        <w:rPr>
          <w:sz w:val="20"/>
          <w:szCs w:val="20"/>
          <w:color w:val="auto"/>
        </w:rPr>
      </w:pPr>
    </w:p>
    <w:p>
      <w:pPr>
        <w:ind w:left="100" w:right="20"/>
        <w:spacing w:after="0" w:line="237" w:lineRule="auto"/>
        <w:rPr>
          <w:sz w:val="20"/>
          <w:szCs w:val="20"/>
          <w:color w:val="auto"/>
        </w:rPr>
      </w:pPr>
      <w:r>
        <w:rPr>
          <w:rFonts w:ascii="Times New Roman" w:cs="Times New Roman" w:eastAsia="Times New Roman" w:hAnsi="Times New Roman"/>
          <w:sz w:val="18"/>
          <w:szCs w:val="18"/>
          <w:color w:val="auto"/>
        </w:rPr>
        <w:t>Other comprehensive (loss) income, net of tax</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(Losses) gains on</w:t>
            </w: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594"/>
        </w:trPr>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of accumulated other comprehensive loss is presented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7"/>
                <w:szCs w:val="17"/>
                <w:color w:val="auto"/>
              </w:rPr>
            </w:pPr>
          </w:p>
        </w:tc>
        <w:tc>
          <w:tcPr>
            <w:tcW w:w="17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1"/>
                <w:szCs w:val="21"/>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1"/>
                <w:szCs w:val="21"/>
                <w:color w:val="auto"/>
              </w:rPr>
            </w:pPr>
          </w:p>
        </w:tc>
        <w:tc>
          <w:tcPr>
            <w:tcW w:w="13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50"/>
        </w:trPr>
        <w:tc>
          <w:tcPr>
            <w:tcW w:w="41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r>
      <w:tr>
        <w:trPr>
          <w:trHeight w:val="230"/>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plans: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service credit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gains (losses)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components are included in the computation of net periodic benefit cost. Please refer to Note 14,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 for additional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changes in shareholders’ equity for the nine months ended September 30, 2022:</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8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Common</w:t>
            </w:r>
          </w:p>
        </w:tc>
        <w:tc>
          <w:tcPr>
            <w:tcW w:w="98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6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6"/>
              </w:rPr>
              <w:t>Treasury</w:t>
            </w:r>
          </w:p>
        </w:tc>
        <w:tc>
          <w:tcPr>
            <w:tcW w:w="8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($0.18 per share)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($0.18 per share)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$ 2,792.5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$ 2,913.1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88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($0.17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($0.17 per share)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$ 2,160.2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$ 2,335.8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September 30, 2022, there were 1,692,482 shares remaining in the 2016 Plan for future grants.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we granted 116,820 stock options at a weighted average exercise price of $366.15 per share based on the grant-date fair value of our stock to employees under the 2016 Plan. The weighted average grant date fair value of options granted was $96.63 per share as determined by the Black-Scholes option valuation model using the following weighted average assumptions: a risk-free interest rate of 1.8%; expected life of 5.6 years based on prior experience; stock volatility of 25.1% based on historical data; and a dividend yield of 0.2%. Stock option expense is recognized over the vesting period, net of forfeitures.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we granted 31,597 stock-settled performance share unit (“PSU”) awards at a weighted average grant-date fair value of $364.54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21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granted 4,987 stock-settled restricted share unit (“RSU”) awards at a weighted average grant-date fair value of $354.65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$6.0 million and $17.0 million for the three and nine months ended September 30, 2022, respectively. For the three and nine months ended September 30, 2021, stock-based compensation expense was $11.4 million and $27.5 million,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Other retirement benefits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(1.3)</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0.2</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(1.1)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nine months ended September 30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3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2"/>
                <w:szCs w:val="22"/>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4.6</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(9.0)</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(0.2)</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0.7</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(3.8)</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1.1</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During 2021, the Company approved the termination of our U.S. qualified defined benefit pension plan (the "U.S. pension plan"). Prior to the third quarter of 2022, a Notice of Intent to Terminate was sent to all interested parties and a favorable determination letter was received from the Internal Revenue Service. During the three months ended September 30, 2022, lump sum payments were offered to all current employees and former employees with vested benefits under the U.S. pension plan. A cash contribution of $6.5 million was then made by the Company to ensure the U.S. pension plan was fully funded in preparation for the group annuity contract purchase which was executed in August of 2022 to settle the outstanding benefit obligations. During the three and nine months ended September 30, 2022, we recorded $49.6 million and $50.8 million in pension settlement charges, respectively, within other nonoperating expense (income), which for the nine months ended September 30, 2022 relieved the historical balance sheet position, inclusive of accumulated other comprehensive income, of the U.S. pension plan. During the nine months ended September 30, 2021, we recorded a $0.7 million pension settlement charge within other nonoperating expense (income), as we determined that normal-course lump-sum payments for the U.S.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Other (Income) Expense</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consists of:</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780" w:type="dxa"/>
            <w:vAlign w:val="bottom"/>
            <w:gridSpan w:val="4"/>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2.5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 impairments and loss on sale of equipment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0.6</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0.9</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(gains) losses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1.5</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(4.0)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3.0</w:t>
            </w:r>
          </w:p>
        </w:tc>
      </w:tr>
      <w:tr>
        <w:trPr>
          <w:trHeight w:val="20"/>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restructuring and related charges of approximately $5 million to $6 million, with annualized savings in the range of $0.9 million to $1.6 million. Since its approval, we recorded a net pre-tax amount equal to $5.2 million in restructuring and related charges associated with this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activity related to our restructuring obligations related to our 2020 restructuring plan: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Severance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benefits</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charges</w:t>
            </w:r>
          </w:p>
        </w:tc>
        <w:tc>
          <w:tcPr>
            <w:tcW w:w="320" w:type="dxa"/>
            <w:vAlign w:val="bottom"/>
          </w:tcPr>
          <w:p>
            <w:pPr>
              <w:spacing w:after="0"/>
              <w:rPr>
                <w:sz w:val="21"/>
                <w:szCs w:val="21"/>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7"/>
              </w:rPr>
              <w:t>3.3</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Charges</w:t>
            </w:r>
          </w:p>
        </w:tc>
        <w:tc>
          <w:tcPr>
            <w:tcW w:w="200" w:type="dxa"/>
            <w:vAlign w:val="bottom"/>
          </w:tcPr>
          <w:p>
            <w:pPr>
              <w:spacing w:after="0"/>
              <w:rPr>
                <w:sz w:val="19"/>
                <w:szCs w:val="19"/>
                <w:color w:val="auto"/>
              </w:rPr>
            </w:pPr>
          </w:p>
        </w:tc>
        <w:tc>
          <w:tcPr>
            <w:tcW w:w="12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7"/>
              </w:rPr>
              <w:t>0.9</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54" w:lineRule="exact"/>
        <w:rPr>
          <w:sz w:val="20"/>
          <w:szCs w:val="20"/>
          <w:color w:val="auto"/>
        </w:rPr>
      </w:pPr>
    </w:p>
    <w:p>
      <w:pPr>
        <w:ind w:right="1040"/>
        <w:spacing w:after="0" w:line="230" w:lineRule="auto"/>
        <w:rPr>
          <w:sz w:val="20"/>
          <w:szCs w:val="20"/>
          <w:color w:val="auto"/>
        </w:rPr>
      </w:pPr>
      <w:r>
        <w:rPr>
          <w:rFonts w:ascii="Times New Roman" w:cs="Times New Roman" w:eastAsia="Times New Roman" w:hAnsi="Times New Roman"/>
          <w:sz w:val="18"/>
          <w:szCs w:val="18"/>
          <w:color w:val="auto"/>
        </w:rPr>
        <w:t>Contingent consideration represents changes in the fair value of the SmartDose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contingent consideration. Please refer to Note 10, </w:t>
      </w:r>
      <w:r>
        <w:rPr>
          <w:rFonts w:ascii="Times New Roman" w:cs="Times New Roman" w:eastAsia="Times New Roman" w:hAnsi="Times New Roman"/>
          <w:sz w:val="18"/>
          <w:szCs w:val="18"/>
          <w:i w:val="1"/>
          <w:iCs w:val="1"/>
          <w:u w:val="single" w:color="auto"/>
          <w:color w:val="0000FF"/>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Measurements</w:t>
      </w:r>
      <w:r>
        <w:rPr>
          <w:rFonts w:ascii="Times New Roman" w:cs="Times New Roman" w:eastAsia="Times New Roman" w:hAnsi="Times New Roman"/>
          <w:sz w:val="18"/>
          <w:szCs w:val="18"/>
          <w:color w:val="000000"/>
        </w:rPr>
        <w:t>, for additional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25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2022, we recorded a loss of $1.5 million and a gain of $1.6 million, respectively, related to oil hedges. During the three and nine months ended September 30, 2021, we recorded a gain of $0.5 million and $1.6 million, respectively, related to oil hedges.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further discussion of our hedging activity.</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2021, we recorded a net loss of $0.9 million on the sale of one of the Company's cost investments. During the nine months ended September 30, 2021, we recorded a net loss in our cost investment activity of $1.8 million, inclusive of an impairment charge of $2.2 million for one of the Company's cost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8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$20.4 million and $12.0 million for the three months ended September 30, 2022 and 2021, respectively, and the effective tax rate was 15.0% and 6.6%, respectively. The provision for income taxes was $85.8 million and $73.0 million for the nine months ended September 30, 2022 and 2021, respectively, and the effective tax rate was 15.6% and 12.9%, respectively.</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increase in effective tax rate for the three months ended September 30, 2022 and 2021 is the result of the </w:t>
      </w:r>
      <w:r>
        <w:rPr>
          <w:rFonts w:ascii="Times New Roman" w:cs="Times New Roman" w:eastAsia="Times New Roman" w:hAnsi="Times New Roman"/>
          <w:sz w:val="18"/>
          <w:szCs w:val="18"/>
          <w:color w:val="252525"/>
        </w:rPr>
        <w:t>Company's prepayment of future royalties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from one of its subsidiaries in 2021, which resulted in a $20.4 million tax benefit that was not repeated in 2022, as well as a larger tax benefit related to stock-based compensation in 2021 when compared to 2022, offset by the tax benefit of $20.0 million recorded related to the termination of the U.S. pension plan recorded in 2022, a</w:t>
      </w:r>
      <w:r>
        <w:rPr>
          <w:rFonts w:ascii="Times New Roman" w:cs="Times New Roman" w:eastAsia="Times New Roman" w:hAnsi="Times New Roman"/>
          <w:sz w:val="18"/>
          <w:szCs w:val="18"/>
          <w:color w:val="000000"/>
        </w:rPr>
        <w:t>s mentioned in Note 14,</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did not elect to reclassify to retained earnings the stranded tax effects 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items within AOCI related to the Tax Cuts and Jobs Act of 2017, and therefore included within the </w:t>
      </w:r>
      <w:r>
        <w:rPr>
          <w:rFonts w:ascii="Times New Roman" w:cs="Times New Roman" w:eastAsia="Times New Roman" w:hAnsi="Times New Roman"/>
          <w:sz w:val="18"/>
          <w:szCs w:val="18"/>
          <w:color w:val="252525"/>
        </w:rPr>
        <w:t>$20.0 million</w:t>
      </w:r>
      <w:r>
        <w:rPr>
          <w:rFonts w:ascii="Times New Roman" w:cs="Times New Roman" w:eastAsia="Times New Roman" w:hAnsi="Times New Roman"/>
          <w:sz w:val="18"/>
          <w:szCs w:val="18"/>
          <w:color w:val="000000"/>
        </w:rPr>
        <w:t xml:space="preserve"> benefit is a deferred tax benefit of</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$8.0 million. This is due to the reversal of stranded tax effects in AOCI for the historic accrual of deferred tax on pension AOCI at historic federal and state income tax rates while the related deferred tax asset was adjusted to the latest enacted income tax rates through net income.</w:t>
      </w:r>
    </w:p>
    <w:p>
      <w:pPr>
        <w:spacing w:after="0" w:line="2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increase in effective tax rate for the nine months ended September 30, 2022 and 2021 is the result of the </w:t>
      </w:r>
      <w:r>
        <w:rPr>
          <w:rFonts w:ascii="Times New Roman" w:cs="Times New Roman" w:eastAsia="Times New Roman" w:hAnsi="Times New Roman"/>
          <w:sz w:val="18"/>
          <w:szCs w:val="18"/>
          <w:color w:val="252525"/>
        </w:rPr>
        <w:t>Company's prepayment of future royalties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from one of its subsidiaries in 2021, which resulted in a $20.4 million tax benefit that was not repeated in 2022, as well as a larger tax benefit related to stock-based compensation in 2021 when compared to 2022, offset by the tax benefit of $20.3 million recorded related to the termination of the U.S. pension plan recorded in 2022, a</w:t>
      </w:r>
      <w:r>
        <w:rPr>
          <w:rFonts w:ascii="Times New Roman" w:cs="Times New Roman" w:eastAsia="Times New Roman" w:hAnsi="Times New Roman"/>
          <w:sz w:val="18"/>
          <w:szCs w:val="18"/>
          <w:color w:val="000000"/>
        </w:rPr>
        <w:t>s mentioned in Note 14,</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did not elect to reclassify to retained earnings the stranded tax effects 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items within AOCI related to the Tax Cuts and Jobs Act of 2017, and therefore included within the </w:t>
      </w:r>
      <w:r>
        <w:rPr>
          <w:rFonts w:ascii="Times New Roman" w:cs="Times New Roman" w:eastAsia="Times New Roman" w:hAnsi="Times New Roman"/>
          <w:sz w:val="18"/>
          <w:szCs w:val="18"/>
          <w:color w:val="252525"/>
        </w:rPr>
        <w:t>$20.3 million</w:t>
      </w:r>
      <w:r>
        <w:rPr>
          <w:rFonts w:ascii="Times New Roman" w:cs="Times New Roman" w:eastAsia="Times New Roman" w:hAnsi="Times New Roman"/>
          <w:sz w:val="18"/>
          <w:szCs w:val="18"/>
          <w:color w:val="000000"/>
        </w:rPr>
        <w:t xml:space="preserve"> benefit is a deferred tax benefit of</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$8.0 million. This is due to the reversal of stranded tax effects in AOCI for the historic accrual of deferred tax on pension AOCI at historic federal and state income tax rates while the related deferred tax asset was adjusted to the latest enacted income tax rates through net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0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the commitments and contingencies included in our </w:t>
      </w:r>
      <w:hyperlink r:id="rId20">
        <w:r>
          <w:rPr>
            <w:rFonts w:ascii="Times New Roman" w:cs="Times New Roman" w:eastAsia="Times New Roman" w:hAnsi="Times New Roman"/>
            <w:sz w:val="18"/>
            <w:szCs w:val="18"/>
            <w:u w:val="single" w:color="auto"/>
            <w:color w:val="0000FF"/>
          </w:rPr>
          <w:t>2021 Annual Report</w:t>
        </w:r>
      </w:hyperlink>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30"/>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summarized financial information for our segments: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Pr>
          <w:p>
            <w:pPr>
              <w:spacing w:after="0"/>
              <w:rPr>
                <w:sz w:val="17"/>
                <w:szCs w:val="17"/>
                <w:color w:val="auto"/>
              </w:rPr>
            </w:pPr>
          </w:p>
        </w:tc>
      </w:tr>
      <w:tr>
        <w:trPr>
          <w:trHeight w:val="236"/>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615.9</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594.3</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663.9</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646.2</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costs (1)</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 (2)</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investment activity</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Corporate and Unallocated</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604.3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568.3</w:t>
            </w:r>
          </w:p>
        </w:tc>
      </w:tr>
      <w:tr>
        <w:trPr>
          <w:trHeight w:val="155"/>
        </w:trPr>
        <w:tc>
          <w:tcPr>
            <w:tcW w:w="49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Interest expense (income) and other nonoperating expense (income),</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551.2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567.0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88"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2022, the Company recorded $0.2 million and $0.6 million, respectively, of amortization expense within operating profit associated with an intangible asset acquired during the second quarter of 2020. During the three and nine months ended September 30, 2021, the Company recorded $0.2 million and $0.6 million, respectively, of amortization expense within operating profit associated with an intangible asset acquired during the second quarter of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15, </w:t>
      </w:r>
      <w:r>
        <w:rPr>
          <w:rFonts w:ascii="Times New Roman" w:cs="Times New Roman" w:eastAsia="Times New Roman" w:hAnsi="Times New Roman"/>
          <w:sz w:val="18"/>
          <w:szCs w:val="18"/>
          <w:i w:val="1"/>
          <w:iCs w:val="1"/>
          <w:u w:val="single" w:color="auto"/>
          <w:color w:val="0000FF"/>
        </w:rPr>
        <w:t>Other (Income) Expense</w:t>
      </w:r>
      <w:r>
        <w:rPr>
          <w:rFonts w:ascii="Times New Roman" w:cs="Times New Roman" w:eastAsia="Times New Roman" w:hAnsi="Times New Roman"/>
          <w:sz w:val="18"/>
          <w:szCs w:val="18"/>
          <w:color w:val="auto"/>
        </w:rPr>
        <w:t>, for further discussion of these items.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2021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2021 Annual Report and in Part II, Item 1A of this Form 10-Q.</w:t>
      </w:r>
    </w:p>
    <w:p>
      <w:pPr>
        <w:spacing w:after="0" w:line="21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Throughout this section, references to “Notes” refer to the notes to our condensed consolidated financial statements (unaudited) in Part I, Item 1 of this Form 10-Q, unless otherwise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 For a reconciliation of each non-U.S. GAAP financial measure to the most directly comparable U.S. GAAP financial measure, refer to the "2022 Financial Performance Summary"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medical device companies in the world.</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and other Macroeconomic Factors</w:t>
      </w:r>
    </w:p>
    <w:p>
      <w:pPr>
        <w:spacing w:after="0" w:line="25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West has been actively monitoring the COVID-19 pandemic and its impact globally. Our primary objectives have remained the same throughout the pandemic: to support the safety of our team members and their families and continue to support patients around the world. Our production facilities continue to operate as they had prior to the COVID-19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had limited impact on our ability to maintain operations, as our manufacturing operations have generally been exempted from stay-at-home orders.</w:t>
      </w:r>
    </w:p>
    <w:p>
      <w:pPr>
        <w:spacing w:after="0" w:line="2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Through the nine months ended September 30, 2022, the war between Russia and Ukraine has not had a material impact on the Company’s business, financial condition or results of operations as we do not have manufacturing operations or significant commercial relationships in either country. However, the Company is closely monitoring the broader impact that this war has on availability of raw materials, logistics and access to European energy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Performance Summary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law changes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56"/>
        </w:trPr>
        <w:tc>
          <w:tcPr>
            <w:tcW w:w="46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Three months ended September 30, 2022 adjusted amounts</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center"/>
              <w:ind w:left="6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severance related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6"/>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Royalty acceleration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6"/>
              </w:rPr>
              <w:t>(0.02)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law changes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55"/>
        </w:trPr>
        <w:tc>
          <w:tcPr>
            <w:tcW w:w="46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Nine months ended September 30, 2022 adjusted amounts (non-</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center"/>
              <w:ind w:left="69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2022, we recorded a tax benefit of $2.1 million and $12.3 million, respectively, associated with stock-based compensation.</w:t>
      </w:r>
    </w:p>
    <w:p>
      <w:pPr>
        <w:sectPr>
          <w:pgSz w:w="11900" w:h="16838" w:orient="portrait"/>
          <w:cols w:equalWidth="0" w:num="1">
            <w:col w:w="11040"/>
          </w:cols>
          <w:pgMar w:left="320" w:top="12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4" w:right="5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severance related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Royalty acceleration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investment activity </w:t>
            </w:r>
            <w:r>
              <w:rPr>
                <w:rFonts w:ascii="Times New Roman" w:cs="Times New Roman" w:eastAsia="Times New Roman" w:hAnsi="Times New Roman"/>
                <w:sz w:val="23"/>
                <w:szCs w:val="23"/>
                <w:color w:val="auto"/>
                <w:vertAlign w:val="superscript"/>
              </w:rPr>
              <w:t>(6)</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56"/>
        </w:trPr>
        <w:tc>
          <w:tcPr>
            <w:tcW w:w="4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Three months ended September 30, 2021 adjusted amounts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severance related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Royalty acceleration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law changes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investment activity </w:t>
            </w:r>
            <w:r>
              <w:rPr>
                <w:rFonts w:ascii="Times New Roman" w:cs="Times New Roman" w:eastAsia="Times New Roman" w:hAnsi="Times New Roman"/>
                <w:sz w:val="23"/>
                <w:szCs w:val="23"/>
                <w:color w:val="auto"/>
                <w:vertAlign w:val="superscript"/>
              </w:rPr>
              <w:t>(6)</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55"/>
        </w:trPr>
        <w:tc>
          <w:tcPr>
            <w:tcW w:w="4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Nine months ended September 30, 2021 adjusted amounts (non-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2021, we recorded a tax benefit of $8.4 million and $26.9 million, respectively, associated with stock-based compensation.</w:t>
      </w:r>
    </w:p>
    <w:p>
      <w:pPr>
        <w:spacing w:after="0" w:line="189" w:lineRule="exact"/>
        <w:rPr>
          <w:sz w:val="20"/>
          <w:szCs w:val="20"/>
          <w:color w:val="auto"/>
        </w:rPr>
      </w:pPr>
    </w:p>
    <w:p>
      <w:pPr>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w:t>
      </w:r>
      <w:r>
        <w:rPr>
          <w:rFonts w:ascii="Times New Roman" w:cs="Times New Roman" w:eastAsia="Times New Roman" w:hAnsi="Times New Roman"/>
          <w:sz w:val="18"/>
          <w:szCs w:val="18"/>
          <w:color w:val="000000"/>
        </w:rPr>
        <w:t>nine months ended September 30, 2022</w:t>
      </w:r>
      <w:r>
        <w:rPr>
          <w:rFonts w:ascii="Times New Roman" w:cs="Times New Roman" w:eastAsia="Times New Roman" w:hAnsi="Times New Roman"/>
          <w:sz w:val="18"/>
          <w:szCs w:val="18"/>
          <w:color w:val="252525"/>
        </w:rPr>
        <w:t xml:space="preserve">, the Company recorded a benefit of $1.6 million in restructuring and severance related costs in connection with its 2020 plan related to revised severance estimates. During the three and nine months ended </w:t>
      </w:r>
      <w:r>
        <w:rPr>
          <w:rFonts w:ascii="Times New Roman" w:cs="Times New Roman" w:eastAsia="Times New Roman" w:hAnsi="Times New Roman"/>
          <w:sz w:val="18"/>
          <w:szCs w:val="18"/>
          <w:color w:val="000000"/>
        </w:rPr>
        <w:t>September 30, 2021, the Company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recorded $0.3 million and $2.5 million, respectively, of restructuring and severance related costs.</w:t>
      </w:r>
    </w:p>
    <w:p>
      <w:pPr>
        <w:spacing w:after="0" w:line="202" w:lineRule="exact"/>
        <w:rPr>
          <w:rFonts w:ascii="Times New Roman" w:cs="Times New Roman" w:eastAsia="Times New Roman" w:hAnsi="Times New Roman"/>
          <w:sz w:val="18"/>
          <w:szCs w:val="18"/>
          <w:color w:val="252525"/>
        </w:rPr>
      </w:pPr>
    </w:p>
    <w:p>
      <w:pPr>
        <w:ind w:left="660" w:right="100" w:hanging="328"/>
        <w:spacing w:after="0" w:line="258"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2022, we recorded a gross pension settlement charge of $49.6 million and $50.8 million, respectively, within other nonoperating expense (income), that fully settles the U.S. qualified defined benefit plan (the "U.S. pension plan"). </w:t>
      </w:r>
      <w:r>
        <w:rPr>
          <w:rFonts w:ascii="Times New Roman" w:cs="Times New Roman" w:eastAsia="Times New Roman" w:hAnsi="Times New Roman"/>
          <w:sz w:val="18"/>
          <w:szCs w:val="18"/>
          <w:color w:val="252525"/>
        </w:rPr>
        <w:t xml:space="preserve">During the </w:t>
      </w:r>
      <w:r>
        <w:rPr>
          <w:rFonts w:ascii="Times New Roman" w:cs="Times New Roman" w:eastAsia="Times New Roman" w:hAnsi="Times New Roman"/>
          <w:sz w:val="18"/>
          <w:szCs w:val="18"/>
          <w:color w:val="000000"/>
        </w:rPr>
        <w:t>nine months ended September 30, 2021, we</w:t>
      </w:r>
      <w:r>
        <w:rPr>
          <w:rFonts w:ascii="Times New Roman" w:cs="Times New Roman" w:eastAsia="Times New Roman" w:hAnsi="Times New Roman"/>
          <w:sz w:val="18"/>
          <w:szCs w:val="18"/>
          <w:color w:val="252525"/>
        </w:rPr>
        <w:t xml:space="preserve"> recorded a pension settlement charge within other nonoperating expense (income), as it was determined that normal-course lump-sum payments for our U.S. pension plan exceeded the threshold for settlement accounting. </w:t>
      </w:r>
      <w:r>
        <w:rPr>
          <w:rFonts w:ascii="Times New Roman" w:cs="Times New Roman" w:eastAsia="Times New Roman" w:hAnsi="Times New Roman"/>
          <w:sz w:val="18"/>
          <w:szCs w:val="18"/>
          <w:color w:val="000000"/>
        </w:rPr>
        <w:t>Please refer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to Note 14,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i w:val="1"/>
          <w:iCs w:val="1"/>
          <w:color w:val="000000"/>
          <w:highlight w:val="white"/>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highlight w:val="white"/>
        </w:rPr>
        <w:t>for further discussion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60" w:hanging="328"/>
        <w:spacing w:after="0" w:line="255"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52525"/>
        </w:rPr>
        <w:t xml:space="preserve">, the Company recorded $0.2 million and $0.6 million, respectively, of amortization expense within operating profit associated with an intangible asset acquired during the second quarter of </w:t>
      </w:r>
      <w:r>
        <w:rPr>
          <w:rFonts w:ascii="Times New Roman" w:cs="Times New Roman" w:eastAsia="Times New Roman" w:hAnsi="Times New Roman"/>
          <w:sz w:val="18"/>
          <w:szCs w:val="18"/>
          <w:color w:val="000000"/>
        </w:rPr>
        <w:t>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2022, the Company recorded $0.6 million and $1.6 million, respectively, of amortization expense</w:t>
      </w:r>
      <w:r>
        <w:rPr>
          <w:rFonts w:ascii="Times New Roman" w:cs="Times New Roman" w:eastAsia="Times New Roman" w:hAnsi="Times New Roman"/>
          <w:sz w:val="18"/>
          <w:szCs w:val="18"/>
          <w:color w:val="252525"/>
        </w:rPr>
        <w:t xml:space="preserve"> in association with an acquisition of increased ownership interest in Daikyo. During the three and nine months ended </w:t>
      </w:r>
      <w:r>
        <w:rPr>
          <w:rFonts w:ascii="Times New Roman" w:cs="Times New Roman" w:eastAsia="Times New Roman" w:hAnsi="Times New Roman"/>
          <w:sz w:val="18"/>
          <w:szCs w:val="18"/>
          <w:color w:val="000000"/>
        </w:rPr>
        <w:t>September 30, 2021,</w:t>
      </w:r>
      <w:r>
        <w:rPr>
          <w:rFonts w:ascii="Times New Roman" w:cs="Times New Roman" w:eastAsia="Times New Roman" w:hAnsi="Times New Roman"/>
          <w:sz w:val="18"/>
          <w:szCs w:val="18"/>
          <w:color w:val="252525"/>
        </w:rPr>
        <w:t xml:space="preserve"> the Company recorded $0.2 million and $0.6 million, respectively, of amortization expense within operating profit associated with an intangible asset acquired during the second quarter of </w:t>
      </w:r>
      <w:r>
        <w:rPr>
          <w:rFonts w:ascii="Times New Roman" w:cs="Times New Roman" w:eastAsia="Times New Roman" w:hAnsi="Times New Roman"/>
          <w:sz w:val="18"/>
          <w:szCs w:val="18"/>
          <w:color w:val="000000"/>
        </w:rPr>
        <w:t>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2021, the Company recorded $0.5 million and $1.6 million,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respectively, of amortization expense </w:t>
      </w:r>
      <w:r>
        <w:rPr>
          <w:rFonts w:ascii="Times New Roman" w:cs="Times New Roman" w:eastAsia="Times New Roman" w:hAnsi="Times New Roman"/>
          <w:sz w:val="18"/>
          <w:szCs w:val="18"/>
          <w:color w:val="252525"/>
        </w:rPr>
        <w:t>in association with an acquisition of increased ownership interest in Daikyo.</w:t>
      </w:r>
    </w:p>
    <w:p>
      <w:pPr>
        <w:spacing w:after="0" w:line="215" w:lineRule="exact"/>
        <w:rPr>
          <w:rFonts w:ascii="Times New Roman" w:cs="Times New Roman" w:eastAsia="Times New Roman" w:hAnsi="Times New Roman"/>
          <w:sz w:val="18"/>
          <w:szCs w:val="18"/>
          <w:color w:val="252525"/>
        </w:rPr>
      </w:pPr>
    </w:p>
    <w:p>
      <w:pPr>
        <w:jc w:val="both"/>
        <w:ind w:left="660" w:right="220" w:hanging="328"/>
        <w:spacing w:after="0" w:line="266"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w:t>
      </w:r>
      <w:r>
        <w:rPr>
          <w:rFonts w:ascii="Times New Roman" w:cs="Times New Roman" w:eastAsia="Times New Roman" w:hAnsi="Times New Roman"/>
          <w:sz w:val="18"/>
          <w:szCs w:val="18"/>
          <w:color w:val="000000"/>
        </w:rPr>
        <w:t>nine months ended September 30, 2022</w:t>
      </w:r>
      <w:r>
        <w:rPr>
          <w:rFonts w:ascii="Times New Roman" w:cs="Times New Roman" w:eastAsia="Times New Roman" w:hAnsi="Times New Roman"/>
          <w:sz w:val="18"/>
          <w:szCs w:val="18"/>
          <w:color w:val="252525"/>
        </w:rPr>
        <w:t xml:space="preserve">, the Company increased its expected tax benefit related to the prepayment of future royalties from one of its subsidiaries by $1.3 million. </w:t>
      </w:r>
      <w:r>
        <w:rPr>
          <w:rFonts w:ascii="Times New Roman" w:cs="Times New Roman" w:eastAsia="Times New Roman" w:hAnsi="Times New Roman"/>
          <w:sz w:val="18"/>
          <w:szCs w:val="18"/>
          <w:color w:val="000000"/>
        </w:rPr>
        <w:t>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2021, the Company prepaid future royalties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from one of its subsidiaries, which resulted in a $20.4 million tax benefit.</w:t>
      </w:r>
    </w:p>
    <w:p>
      <w:pPr>
        <w:spacing w:after="0" w:line="202" w:lineRule="exact"/>
        <w:rPr>
          <w:rFonts w:ascii="Times New Roman" w:cs="Times New Roman" w:eastAsia="Times New Roman" w:hAnsi="Times New Roman"/>
          <w:sz w:val="18"/>
          <w:szCs w:val="18"/>
          <w:color w:val="252525"/>
        </w:rPr>
      </w:pPr>
    </w:p>
    <w:p>
      <w:pPr>
        <w:jc w:val="both"/>
        <w:ind w:left="660" w:right="120" w:hanging="328"/>
        <w:spacing w:after="0" w:line="266"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52525"/>
        </w:rPr>
        <w:t xml:space="preserve">, the Company incurred additional tax expense of $3.2 million due to the impact of a tax law change in the state of Pennsylvania enacted during the period. </w:t>
      </w:r>
      <w:r>
        <w:rPr>
          <w:rFonts w:ascii="Times New Roman" w:cs="Times New Roman" w:eastAsia="Times New Roman" w:hAnsi="Times New Roman"/>
          <w:sz w:val="18"/>
          <w:szCs w:val="18"/>
          <w:color w:val="000000"/>
        </w:rPr>
        <w:t>During the nine months ended September 30, 2021, the Company recorded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a tax benefit of $1.4 million due to the impact of a United Kingdom tax law change enacted during the period.</w:t>
      </w:r>
    </w:p>
    <w:p>
      <w:pPr>
        <w:spacing w:after="0" w:line="202" w:lineRule="exact"/>
        <w:rPr>
          <w:rFonts w:ascii="Times New Roman" w:cs="Times New Roman" w:eastAsia="Times New Roman" w:hAnsi="Times New Roman"/>
          <w:sz w:val="18"/>
          <w:szCs w:val="18"/>
          <w:color w:val="252525"/>
        </w:rPr>
      </w:pPr>
    </w:p>
    <w:p>
      <w:pPr>
        <w:ind w:left="660" w:right="100" w:hanging="328"/>
        <w:spacing w:after="0" w:line="266"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During the three months ended September 30, 2021, we recorded a net loss on the sale of one of the Company's cost investments. During the nine months ended September 30, 2021, we recorded an impairment charge on one of our cost investments, partially offset by the gain on the sale of one of our cost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in the following tables and throughout the Results of Operations section may reflect rounding adjustments.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three months ended September 30, 2022 and 2021:</w:t>
            </w:r>
          </w:p>
        </w:tc>
        <w:tc>
          <w:tcPr>
            <w:tcW w:w="1200" w:type="dxa"/>
            <w:vAlign w:val="bottom"/>
          </w:tcPr>
          <w:p>
            <w:pPr>
              <w:spacing w:after="0"/>
              <w:rPr>
                <w:sz w:val="24"/>
                <w:szCs w:val="24"/>
                <w:color w:val="auto"/>
              </w:rPr>
            </w:pPr>
          </w:p>
        </w:tc>
      </w:tr>
      <w:tr>
        <w:trPr>
          <w:trHeight w:val="202"/>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As-Reported</w:t>
            </w: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Consolidated net sales decreased by $19.6 million, or 2.8%, for the three months ended September 30, 2022, as compared to the same period in 2021, including an unfavorable foreign currency translation impact of $49.8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Excluding foreign currency translation effects, consolidated net sales for the three months ended September 30, 2022 increased by $30.2 million, or 4.3%, as compared to the same period in 2021.</w:t>
      </w:r>
    </w:p>
    <w:p>
      <w:pPr>
        <w:spacing w:after="0" w:line="18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decreased by $10.0 million, or 1.7%, for the three months ended September 30, 2022,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2021, including an unfavorable foreign currency translation impact of $41.7 million. Excluding foreign currency translation effects, net sales for the three months ended September 30, 2022 increased by $31.7 million, or 5.5%, as compared to the same period in 2021, primarily due to growth in our high-value product offerings, including our Westar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NovaPure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and sales price increases, offset by a decline in COVID-19 related activity for COVID-19 vaccines and antiviral treatments.</w:t>
      </w:r>
    </w:p>
    <w:p>
      <w:pPr>
        <w:spacing w:after="0" w:line="22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decreased by $9.7 million, or 7.5%,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including an unfavorable foreign currency translation impact of $8.1 million. Excluding foreign currency translation effects, net sales for the three months ended September 30, 2022 decreased by $1.6 million, or 1.2%, as compared to the same period in 2021, due to a decline in sales of components for diagnostic devices, offset by sales price increases.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nine months ended September 30,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Nine Months Ended</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As-Reported</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Consolidated net sales increased by $77.4 million, or 3.7%, for the nine months ended September 30, 2022, as compared to the same period in 2021, including an unfavorable foreign currency translation impact of $121.3 million. Excluding foreign currency translation effects, consolidated net sales for the nine months ended September 30, 2022 increased by $198.7 million, or 9.5%, as compared to the same period in 2021.</w:t>
      </w:r>
    </w:p>
    <w:p>
      <w:pPr>
        <w:spacing w:after="0" w:line="199"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Proprietary Products </w:t>
      </w:r>
      <w:r>
        <w:rPr>
          <w:rFonts w:ascii="Times New Roman" w:cs="Times New Roman" w:eastAsia="Times New Roman" w:hAnsi="Times New Roman"/>
          <w:sz w:val="18"/>
          <w:szCs w:val="18"/>
          <w:color w:val="auto"/>
        </w:rPr>
        <w:t>– Proprietary Products net sales increased by $114.0 million, or 6.7%, for the nine months ended September 30, 2022,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2021, including an unfavorable foreign currency translation impact of $103.3 million. Excluding foreign currency translation effects, net sales for the nine months ended September 30, 2022 increased by $217.3 million, or 12.7%, as compared to the same period in 2021, primarily due to growth in our high-value product offerings, including our NovaPure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Envision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w:t>
      </w:r>
    </w:p>
    <w:p>
      <w:pPr>
        <w:spacing w:after="0" w:line="13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w:t>
      </w:r>
      <w:r>
        <w:rPr>
          <w:rFonts w:ascii="Times New Roman" w:cs="Times New Roman" w:eastAsia="Times New Roman" w:hAnsi="Times New Roman"/>
          <w:sz w:val="18"/>
          <w:szCs w:val="18"/>
          <w:color w:val="auto"/>
        </w:rPr>
        <w:t>– Contract-Manufactured Products net sales decreased by $36.7 million, or 9.3%,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including an unfavorable foreign currency translation impact of $18.0 million. Excluding foreign currency translation effects, net sales for the nine months ended September 30, 2022 decreased by $18.7 million, or 4.8%, as compared to the same period in 2021, due to a decline in sales of components for diagnostic devices, offset by sales price increases.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Borders>
              <w:bottom w:val="single" w:sz="8" w:color="auto"/>
            </w:tcBorders>
          </w:tcPr>
          <w:p>
            <w:pPr>
              <w:spacing w:after="0"/>
              <w:rPr>
                <w:sz w:val="20"/>
                <w:szCs w:val="20"/>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811.5</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875.2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39.0 %</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41.7 %</w:t>
            </w: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Consolidated gross profit decreased by $20.2 million, or 7.0%, for the three months ended September 30, 2022, as compared to the same period in 2021, including an unfavorable foreign currency translation impact of $17.1 million for the three months ended September 30, 2022, as compared to the same period in 2021. Consolidated gross profit margin decreased by 1.8 margin points for the three months ended September 30, 2022, as compared to the same period in 2021.</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Consolidated gross profit decreased by $1.1 million, or 0.1% for the nine months ended September 30, 2022, as compared to the same period in 2021, including an unfavorable foreign currency translation impact of $46.4 million for the nine months ended September 30, 2022, as compared to the same period in 2021. Consolidated gross profit margin decreased by 1.6 margin points for the nine months ended September 30, 2022, as compared to the same period in 2021.</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gross profit decreased by $20.0 million, or 7.5%, for the three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including an unfavorable foreign currency translation impact of $15.6 million. Proprietary Products gross profit margin decreased by 2.7 margin points for the three months ended September 30, 2022, as compared to the same periods in 2021, due to product mix, including increased plant spend and production inefficiencies associated with the mix shift. Gross profit margin was also impacted by inflationary pressures on certain aspects of production, which includes raw material, labor, overhead and transportation costs. This was offset by increased sales prices and approximately $20.0 million, net, in one-time fees received due to COVID-19 supply agreements during the three months ended September 30, 2022 as compared to the same period in 2021.</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Proprietary Products gross profit decreased by $1.2 million, or 0.1%, for the nine months ended September 30, 2022, as compared to the same period in 2021, including an unfavorable foreign currency translation impact of $42.9 million. Proprietary Products gross profit margin decreased by 3.0 margin points for the nine months ended September 30, 2022, as compared to the same period in 2021, due to increased plant spend to meet ongoing product demand increases and increased labor and overhead costs, primarily within transportation and compensation, that were driven by inflation. This was offset by increased sales prices in the nine months ended September 30, 2022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gross profit decreased by $0.2 million, or 1.0%,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including an unfavorable foreign currency translation impact of $1.5 million. Contract-Manufactured Products gross profit margin increased by 1.2 margin points for the three months ended September 30, 2022, as compared to the same period in 2021, due to increased sales prices and production efficiencies offset by an unfavorable mix of products sold and increased labor and overhead costs, primarily transportation and compensation, that were driven by inflation.</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Contract-Manufactured Products gross profit increased by $0.1 million, or 0.2%, for the nine months ended September 30, 2022, as compared to the same period in 2021, including an unfavorable foreign currency translation impact of $3.5 million. Contract-Manufactured Products gross profit margin increased by 1.7 margin points for the nine months ended September 30, 2022, as compared to the same period in 2021, due to increased sales prices and production efficiencies offset by an unfavorable mix of products sold and increased labor and overhead costs, primarily transportation and compensation, that were driven by inflation.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R&amp;D costs, consolidated and by reportable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460" w:type="dxa"/>
            <w:vAlign w:val="bottom"/>
          </w:tcPr>
          <w:p>
            <w:pPr>
              <w:spacing w:after="0"/>
              <w:rPr>
                <w:sz w:val="17"/>
                <w:szCs w:val="17"/>
                <w:color w:val="auto"/>
              </w:rPr>
            </w:pPr>
          </w:p>
        </w:tc>
      </w:tr>
      <w:tr>
        <w:trPr>
          <w:trHeight w:val="237"/>
        </w:trPr>
        <w:tc>
          <w:tcPr>
            <w:tcW w:w="5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Consolidated R&amp;D costs increased by $0.5 million, or 3.8%, and $3.5 million, or 9.0%, for the three and nine months ended September 30, 2022, respectively, as compared to the same period in 2021, due to additional research performed to identify new product opportunities, offset by lower annual incentive compensation. Efforts remain focused on the continued investment in elastomeric packaging components, formulation development, drug containment systems, self-injection systems and drug administration consumables.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2780" w:type="dxa"/>
            <w:vAlign w:val="bottom"/>
            <w:gridSpan w:val="4"/>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Borders>
              <w:bottom w:val="single" w:sz="8" w:color="auto"/>
            </w:tcBorders>
          </w:tcPr>
          <w:p>
            <w:pPr>
              <w:spacing w:after="0"/>
              <w:rPr>
                <w:sz w:val="20"/>
                <w:szCs w:val="20"/>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264.8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SG&amp;A as a % of net sales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Consolidated SG&amp;A costs decreased by $25.6 million, or 27.9%, for the three months ended September 30, 2022, as compared to the same period in 2021, due to lower incentive compensation, higher allocation of functional spend to Cost of Goods Sold and a favorable foreign currency translation impact of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Consolidated SG&amp;A costs decreased by $33.6 million, or 12.7%, for the nine months ended September 30, 2022, as compared to the same period in 2021, due to lower incentive compensation, higher allocation of functional spend to Cost of Goods Sold and a favorable foreign currency translation impact of $7.4 million. This was offset by an increase in selling expenses, professional fees and salaries and fringe benefits.</w:t>
      </w:r>
    </w:p>
    <w:p>
      <w:pPr>
        <w:spacing w:after="0" w:line="19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decreased by $14.2 million, or 24.3%, for the three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Proprietary Products SG&amp;A costs decreased primarily due to lower annual incentive compensation, higher allocation of functional spend to Cost of Goods Sold and a favorable foreign currency translation impact of $2.6 million.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Proprietary Products SG&amp;A costs decreased by $24.4 million, or 13.6%, for the nine months ended September 30, 2022, as compared to the same period in 2021. Proprietary Products SG&amp;A costs decreased primarily due to lower annual incentive compensation, higher allocation of functional spend to Cost of Goods Sold and a favorable foreign currency translation impact of $6.4 million. This was offset by an increase in selling expenses, professional fees and salaries and fringe benefits.</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SG&amp;A costs increased by $0.8 million, or 20.5%,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and increased by $3.0 million, or 26.3%, for the nine months ended September 30, 2022, as compared to the same period in 2021, due to increased salaries and increased inflation on overhead costs, offset by lower annual incentive compensation</w:t>
      </w:r>
    </w:p>
    <w:p>
      <w:pPr>
        <w:spacing w:after="0" w:line="1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Corporate - </w:t>
      </w:r>
      <w:r>
        <w:rPr>
          <w:rFonts w:ascii="Times New Roman" w:cs="Times New Roman" w:eastAsia="Times New Roman" w:hAnsi="Times New Roman"/>
          <w:sz w:val="18"/>
          <w:szCs w:val="18"/>
          <w:color w:val="auto"/>
        </w:rPr>
        <w:t>Corporate SG&amp;A costs decreased by $12.2 million, or 41.4%, for the three months ended September 30, 2022,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2021, primarily due to lower annual incentive compensation and a reduction in mark-to-market expense related to stock-based compensation.</w:t>
      </w:r>
    </w:p>
    <w:p>
      <w:pPr>
        <w:spacing w:after="0" w:line="1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Corporate SG&amp;A costs decreased by $12.2 million, or 16.6%, for the nine months ended September 30, 2022, as compared to the same period in 2021, primarily due to lower annual incentive compensation and a reduction in mark-to-market expense related to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and expense items, consolidated and by reportable segment, corporate and unallocated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7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Expense</w:t>
            </w:r>
          </w:p>
        </w:tc>
        <w:tc>
          <w:tcPr>
            <w:tcW w:w="10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1"/>
                <w:szCs w:val="2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40" w:type="dxa"/>
            <w:vAlign w:val="bottom"/>
          </w:tcPr>
          <w:p>
            <w:pPr>
              <w:spacing w:after="0"/>
              <w:rPr>
                <w:sz w:val="19"/>
                <w:szCs w:val="19"/>
                <w:color w:val="auto"/>
              </w:rPr>
            </w:pPr>
          </w:p>
        </w:tc>
        <w:tc>
          <w:tcPr>
            <w:tcW w:w="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7"/>
              </w:rPr>
              <w:t>4.5</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(income) expense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(4.0)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3.0</w:t>
            </w:r>
          </w:p>
        </w:tc>
      </w:tr>
      <w:tr>
        <w:trPr>
          <w:trHeight w:val="20"/>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income and expense items, consisting of foreign exchange transaction gains and losses, gains and losses on the sale of fixed assets, contingent consideration, fixed asset impairments and miscellaneous income and charges, are generally recorded within segment results.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other (income) expense changed by $0.1 million for the three months ended September 30, 2022, as compared to the same period in 2021 and changed by $7.0 million for the nine months ended September 30, 2022, as compared to the same period in 2021,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other (income) expense changed by $0.6 million for the three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primarily due to $1.5 million of losses related to oil hedges being recorded during the three months ended September 30, 2022, as compared to $0.5 million of gains related to oil hedges being recorded over the same period in 2021. Additionally, there was increased contingent consideration recorded in the three months ended September 30, 2022, as compared to the same period in 2021. This was offset by increased gains on foreign exchange transactions in the three months ended September 30, 2022, as compared to the same period in 2021.</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Proprietary Products other (income) expense changed by $1.9 million for the nine months ended September 30, 2022, as compared to the same period in 2021, primarily due to increased gains on foreign exchange transactions being recorded during the nine months ended September 30, 2022, as compared to the same period in 2021. This was offset by increased contingent consideration recorded in the nine months ended September 30, 2022, as compared to the same period in 2021.</w:t>
      </w:r>
    </w:p>
    <w:p>
      <w:pPr>
        <w:spacing w:after="0" w:line="2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other (income) expense changed by $1.1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due to increased fixed asset impairments in the three months ended September 30, 2022, as compared to the same period in 2021.</w:t>
      </w:r>
    </w:p>
    <w:p>
      <w:pPr>
        <w:spacing w:after="0" w:line="18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Contract-Manufactured Products other (income) expense changed by $1.0 million for the nine months ended September 30, 2022, as compared to the same period in 2021 due to increased fixed asset impairments in the nine months ended September 30, 2022, as compared to the same period in 2021.</w:t>
      </w:r>
    </w:p>
    <w:p>
      <w:pPr>
        <w:spacing w:after="0" w:line="21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items changed by $1.6 million for the three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primarily due to the Company recording a loss on the sale of one of the Company's cost investments of $0.9 million in the three months ended September 30, 2021 that did not recur in 2022 and additional expense related to restructuring and related costs being recorded in the three months ended September 30, 2021 as compared to the same period in 2022.</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Corporate and unallocated items changed by $6.1 million for the nine months ended September 30, 2022, as compared to the same period in 2021, primarily due to the Company recording a benefit of $1.6 million in restructuring and related costs in connection with its 2020 plan related to revised severance estimates in the nine months ended September 30, 2022, while the Company recorded expense of $2.5 million of restructuring and related costs in the same period in 2021. Additionally, a loss of $1.8 million related to cost investment activity was recorded in the nine months ended September 30, 2021 that did not recur in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adjusted operating profit, consolidated and by reportable segment, corporate and unallocated items: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188.6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195.5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(16.9)</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186.4</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182.8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$4.8 million, or 2.6%, for the three months ended September 30, 2022, as compared to the same period in 2021, including an unfavorable foreign currency translation impact of $14.0 million for the three months ended September 30, 2022, as compared to the same period in 2021.</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$36.0 million, or 6.3%, for the nine months ended September 30, 2022, as compared to the same period in 2021, including an unfavorable foreign currency translation impact of $38.7 million for the nine months ended September 30, 2022, as compared to the same period in 2021.</w:t>
      </w:r>
    </w:p>
    <w:p>
      <w:pPr>
        <w:spacing w:after="0" w:line="1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decreased by $6.9 million, or 3.5%, for the three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including an unfavorable foreign currency translation impact of $12.8 million, due to the factors described above.</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Proprietary Products operating profit increased by $21.6 million, or 3.6%, for the nine months ended September 30, 2022, as compared to the same period in 2021, including an unfavorable foreign currency translation impact of $35.9 million, due to the factors described above.</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operating profit decreased by $2.1 million, or 12.5%,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including an unfavorable foreign currency translation impact of $1.2 million, due to the factors described above.</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Contract-Manufactured Products operating profit decreased by $3.9 million, or 7.5%, for the nine months ended September 30, 2022, respectively, as compared to the same period in 2021, including an unfavorable foreign currency translation impact of $2.8 million, due to the factors described above.</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Corporate - </w:t>
      </w:r>
      <w:r>
        <w:rPr>
          <w:rFonts w:ascii="Times New Roman" w:cs="Times New Roman" w:eastAsia="Times New Roman" w:hAnsi="Times New Roman"/>
          <w:sz w:val="18"/>
          <w:szCs w:val="18"/>
          <w:color w:val="auto"/>
        </w:rPr>
        <w:t>Corporate costs decreased by $12.6 million, or 42.7%, for the three months ended September 30, 2022, as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due to the factors described above.</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Corporate costs decreased by $12.4 million, or 17.0%, for the nine months ended September 30, 2022, respectively, as compared to the same period in 2021, due to the factors described above.</w:t>
      </w:r>
    </w:p>
    <w:p>
      <w:pPr>
        <w:spacing w:after="0" w:line="18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Unallocated items – </w:t>
      </w:r>
      <w:r>
        <w:rPr>
          <w:rFonts w:ascii="Times New Roman" w:cs="Times New Roman" w:eastAsia="Times New Roman" w:hAnsi="Times New Roman"/>
          <w:sz w:val="18"/>
          <w:szCs w:val="18"/>
          <w:color w:val="auto"/>
        </w:rPr>
        <w:t>Other unallocated items during the three months ended September 30, 2022 consisted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$0.2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amortization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associated with an acquisition of an intangible asset during the second quarter of 2020. Other unallocated items during the three months ended September 30, 2021 consisted of $0.3 million in restructuring and related costs, </w:t>
      </w:r>
      <w:r>
        <w:rPr>
          <w:rFonts w:ascii="Times New Roman" w:cs="Times New Roman" w:eastAsia="Times New Roman" w:hAnsi="Times New Roman"/>
          <w:sz w:val="18"/>
          <w:szCs w:val="18"/>
          <w:color w:val="252525"/>
        </w:rPr>
        <w:t>$0.2 million</w:t>
      </w:r>
      <w:r>
        <w:rPr>
          <w:rFonts w:ascii="Times New Roman" w:cs="Times New Roman" w:eastAsia="Times New Roman" w:hAnsi="Times New Roman"/>
          <w:sz w:val="18"/>
          <w:szCs w:val="18"/>
          <w:color w:val="auto"/>
        </w:rPr>
        <w:t xml:space="preserve"> of amortization expense associated with an acquisition of an intangible asset during the second quarter of 2020 and a net loss of $0.9 million on the sale of one of the Company's cost investments.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Other unallocated items during the nine months ended September 30, 2022 consisted of a credit of </w:t>
      </w:r>
      <w:r>
        <w:rPr>
          <w:rFonts w:ascii="Times New Roman" w:cs="Times New Roman" w:eastAsia="Times New Roman" w:hAnsi="Times New Roman"/>
          <w:sz w:val="18"/>
          <w:szCs w:val="18"/>
          <w:color w:val="252525"/>
        </w:rPr>
        <w:t>$1.6 million</w:t>
      </w:r>
      <w:r>
        <w:rPr>
          <w:rFonts w:ascii="Times New Roman" w:cs="Times New Roman" w:eastAsia="Times New Roman" w:hAnsi="Times New Roman"/>
          <w:sz w:val="18"/>
          <w:szCs w:val="18"/>
          <w:color w:val="auto"/>
        </w:rPr>
        <w:t xml:space="preserve"> in restructuring and related costs in connection with the Company's 2020 plan related to revised estimates associated with severance and </w:t>
      </w:r>
      <w:r>
        <w:rPr>
          <w:rFonts w:ascii="Times New Roman" w:cs="Times New Roman" w:eastAsia="Times New Roman" w:hAnsi="Times New Roman"/>
          <w:sz w:val="18"/>
          <w:szCs w:val="18"/>
          <w:color w:val="252525"/>
        </w:rPr>
        <w:t>$0.6 million</w:t>
      </w:r>
      <w:r>
        <w:rPr>
          <w:rFonts w:ascii="Times New Roman" w:cs="Times New Roman" w:eastAsia="Times New Roman" w:hAnsi="Times New Roman"/>
          <w:sz w:val="18"/>
          <w:szCs w:val="18"/>
          <w:color w:val="auto"/>
        </w:rPr>
        <w:t xml:space="preserve"> of amortization expense associated with an acquisition of an intangible asset during the second quarter of 2020. Other unallocated items during the nine months ended September 30, 2021 consisted of $2.5 million in restructuring and related costs, </w:t>
      </w:r>
      <w:r>
        <w:rPr>
          <w:rFonts w:ascii="Times New Roman" w:cs="Times New Roman" w:eastAsia="Times New Roman" w:hAnsi="Times New Roman"/>
          <w:sz w:val="18"/>
          <w:szCs w:val="18"/>
          <w:color w:val="252525"/>
        </w:rPr>
        <w:t>$0.6 million</w:t>
      </w:r>
      <w:r>
        <w:rPr>
          <w:rFonts w:ascii="Times New Roman" w:cs="Times New Roman" w:eastAsia="Times New Roman" w:hAnsi="Times New Roman"/>
          <w:sz w:val="18"/>
          <w:szCs w:val="18"/>
          <w:color w:val="auto"/>
        </w:rPr>
        <w:t xml:space="preserve"> of amortization expense associated with an acquisition of an intangible asset during the second quarter of 2020 and a net loss in our cost investment activity of $1.8 million.</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2"/>
        </w:trPr>
        <w:tc>
          <w:tcPr>
            <w:tcW w:w="4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80" w:type="dxa"/>
            <w:vAlign w:val="bottom"/>
            <w:gridSpan w:val="3"/>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(2.2)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98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$0.4 million, for the three months ended September 30, 2022, as compared to the same period in 2021, and increased by $0.6 million, for the nine months ended September 30, 2022, as compared to the same period in 2021.</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income increased by $1.1 million for the three months ended September 30, 2022, as compared to the same period in 2021, and $1.5 million for the nine months ended September 30, 2022, as compared to the same period in 2021 resulting from higher interest rates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Expense (Income)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nonoperating expense (income) changed by $50.4 million for the three months ended September 30, 2022, as compared to the same period in 2021, primarily due to the recording of a $49.6 million pension settlement charge during the three months ended September 30, 2022, which relieved the historical balance sheet position, inclusive of accumulated other comprehensive income, of the U.S. pension plan, while no such amounts were recorded in the same period in 2021.</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nonoperating expense (income) changed by $52.7 million for the nine months ended September 30, 2022, as compared to the same period in 2021, primarily due to the recording of a $50.8 million pension settlement charge during the nine months ended September 30, 2022, which relieved the historical balance sheet position, inclusive of accumulated other comprehensive income, of the U.S. pension plan. During the nine months ended September 30, 2021, we recorded a $0.7 million pension settlement charge, as we determined that normal-course lump-sum payments for the U.S. pension plan exceeded the threshold for settlement accounting under U.S. GAAP for the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14,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i w:val="1"/>
          <w:iCs w:val="1"/>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further discussion of these items.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provision for income taxes was $20.4 million and $12.0 million for the three months ended September 30, 2022 and 2021, respectively, and the effective tax rate was 15.0% and 6.6%, respectively. The increase in the effective tax rate is primarily due to the result of the </w:t>
      </w:r>
      <w:r>
        <w:rPr>
          <w:rFonts w:ascii="Times New Roman" w:cs="Times New Roman" w:eastAsia="Times New Roman" w:hAnsi="Times New Roman"/>
          <w:sz w:val="18"/>
          <w:szCs w:val="18"/>
          <w:color w:val="252525"/>
        </w:rPr>
        <w:t>Company's prepayment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future royalties from one of its subsidiaries in </w:t>
      </w:r>
      <w:r>
        <w:rPr>
          <w:rFonts w:ascii="Times New Roman" w:cs="Times New Roman" w:eastAsia="Times New Roman" w:hAnsi="Times New Roman"/>
          <w:sz w:val="18"/>
          <w:szCs w:val="18"/>
          <w:color w:val="000000"/>
        </w:rPr>
        <w:t>three months ended September 30, 2021</w:t>
      </w:r>
      <w:r>
        <w:rPr>
          <w:rFonts w:ascii="Times New Roman" w:cs="Times New Roman" w:eastAsia="Times New Roman" w:hAnsi="Times New Roman"/>
          <w:sz w:val="18"/>
          <w:szCs w:val="18"/>
          <w:color w:val="252525"/>
        </w:rPr>
        <w:t>, which resulted in a $20.4 million tax benefit that was not repeated in 2022, as well as a larger tax benefit related to stock-based compensation in 2021 when compared to 2022, offset by the tax benefit of $20.0 million recorded related to the termination of the U.S. pension plan recorded in 2022, a</w:t>
      </w:r>
      <w:r>
        <w:rPr>
          <w:rFonts w:ascii="Times New Roman" w:cs="Times New Roman" w:eastAsia="Times New Roman" w:hAnsi="Times New Roman"/>
          <w:sz w:val="18"/>
          <w:szCs w:val="18"/>
          <w:color w:val="000000"/>
        </w:rPr>
        <w:t>s mentioned in Note 14,</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did not elect to</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reclassify to retained earnings the stranded tax effects on items within AOCI related to the Tax Cuts and Jobs Act of 2017, and therefore included within the </w:t>
      </w:r>
      <w:r>
        <w:rPr>
          <w:rFonts w:ascii="Times New Roman" w:cs="Times New Roman" w:eastAsia="Times New Roman" w:hAnsi="Times New Roman"/>
          <w:sz w:val="18"/>
          <w:szCs w:val="18"/>
          <w:color w:val="252525"/>
        </w:rPr>
        <w:t xml:space="preserve">$20.0 million </w:t>
      </w:r>
      <w:r>
        <w:rPr>
          <w:rFonts w:ascii="Times New Roman" w:cs="Times New Roman" w:eastAsia="Times New Roman" w:hAnsi="Times New Roman"/>
          <w:sz w:val="18"/>
          <w:szCs w:val="18"/>
          <w:color w:val="000000"/>
        </w:rPr>
        <w:t>benefit is a deferred tax benefit of $8.0 million. This is due to the reversal of stranded tax effects in AOCI for the historic accrual of deferred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tax on pension AOCI at historic federal and state income tax rates while the related deferred tax asset was adjusted to the latest enacted income tax rates through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provision for income taxes was $85.8 million and $73.0 million for the nine months ended September 30, 2022 and 2021, respectively, and the effective tax rate was 15.6% and 12.9%, respectively. The increase in the effective tax rate is primarily due to the result of the </w:t>
      </w:r>
      <w:r>
        <w:rPr>
          <w:rFonts w:ascii="Times New Roman" w:cs="Times New Roman" w:eastAsia="Times New Roman" w:hAnsi="Times New Roman"/>
          <w:sz w:val="18"/>
          <w:szCs w:val="18"/>
          <w:color w:val="252525"/>
        </w:rPr>
        <w:t>Company's prepayment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future royalties from one of its subsidiaries in </w:t>
      </w:r>
      <w:r>
        <w:rPr>
          <w:rFonts w:ascii="Times New Roman" w:cs="Times New Roman" w:eastAsia="Times New Roman" w:hAnsi="Times New Roman"/>
          <w:sz w:val="18"/>
          <w:szCs w:val="18"/>
          <w:color w:val="000000"/>
        </w:rPr>
        <w:t>nine months ended September 30, 2021</w:t>
      </w:r>
      <w:r>
        <w:rPr>
          <w:rFonts w:ascii="Times New Roman" w:cs="Times New Roman" w:eastAsia="Times New Roman" w:hAnsi="Times New Roman"/>
          <w:sz w:val="18"/>
          <w:szCs w:val="18"/>
          <w:color w:val="252525"/>
        </w:rPr>
        <w:t>, which resulted in a $20.4 million tax benefit that was not repeated in 2022, as well as a larger tax benefit related to stock-based compensation in 2021 when compared to 2022, offset by the tax benefit of $20.3 million recorded related to the termination of the U.S. pension plan recorded in 2022, a</w:t>
      </w:r>
      <w:r>
        <w:rPr>
          <w:rFonts w:ascii="Times New Roman" w:cs="Times New Roman" w:eastAsia="Times New Roman" w:hAnsi="Times New Roman"/>
          <w:sz w:val="18"/>
          <w:szCs w:val="18"/>
          <w:color w:val="000000"/>
        </w:rPr>
        <w:t>s mentioned in Note 14,</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did not elect to</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reclassify to retained earnings the stranded tax effects on items within AOCI related to the Tax Cuts and Jobs Act of 2017, and therefore included within the </w:t>
      </w:r>
      <w:r>
        <w:rPr>
          <w:rFonts w:ascii="Times New Roman" w:cs="Times New Roman" w:eastAsia="Times New Roman" w:hAnsi="Times New Roman"/>
          <w:sz w:val="18"/>
          <w:szCs w:val="18"/>
          <w:color w:val="252525"/>
        </w:rPr>
        <w:t xml:space="preserve">$20.3 million </w:t>
      </w:r>
      <w:r>
        <w:rPr>
          <w:rFonts w:ascii="Times New Roman" w:cs="Times New Roman" w:eastAsia="Times New Roman" w:hAnsi="Times New Roman"/>
          <w:sz w:val="18"/>
          <w:szCs w:val="18"/>
          <w:color w:val="000000"/>
        </w:rPr>
        <w:t>benefit is a deferred tax benefit of $8.0 million. This is due to the reversal of stranded tax effects in AOCI for the historic accrual of deferred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tax on pension AOCI at historic federal and state income tax rates while the related deferred tax asset was adjusted to the latest enacted income tax rates through net income</w:t>
      </w:r>
      <w:r>
        <w:rPr>
          <w:rFonts w:ascii="Times New Roman" w:cs="Times New Roman" w:eastAsia="Times New Roman" w:hAnsi="Times New Roman"/>
          <w:sz w:val="18"/>
          <w:szCs w:val="18"/>
          <w:color w:val="252525"/>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Equity in net income of affiliated companies decreased by $1.7 million for the three months ended September 30, 2022, as compared to the same period in 2021, due primarily to the impact of foreign currency translation on the operating results of Daikyo.</w:t>
      </w:r>
    </w:p>
    <w:p>
      <w:pPr>
        <w:spacing w:after="0" w:line="2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affiliated companies decreased by $2.6 million for the nine months ended September 30, 2022, as compared to the same period in 2021, due primarily to the impact of foreign currency translation on the operating results of Daikyo.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nine months ended September 30: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423.2</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(175.7)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(161.9)</w:t>
            </w:r>
          </w:p>
        </w:tc>
      </w:tr>
    </w:tbl>
    <w:p>
      <w:pPr>
        <w:spacing w:after="0" w:line="31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 </w:t>
      </w:r>
      <w:r>
        <w:rPr>
          <w:rFonts w:ascii="Times New Roman" w:cs="Times New Roman" w:eastAsia="Times New Roman" w:hAnsi="Times New Roman"/>
          <w:sz w:val="18"/>
          <w:szCs w:val="18"/>
          <w:color w:val="auto"/>
        </w:rPr>
        <w:t>Net cash provided by operating activities increased by $70.0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as compared to the same period in 2021, primarily due to decreases in the change in working capital.</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increased by $17.7 million for the nine months ended September 30, 2022,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due to an increase in capital expenditures in 2022.</w:t>
      </w:r>
    </w:p>
    <w:p>
      <w:pPr>
        <w:spacing w:after="0" w:line="1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increased by $122.2 million for the nine months ended September 30,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the same period in 2021, primarily due to increases in purchases under our share repurchase program in 2022 and additional debt repayments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September 30, 2022 consisted of cash held in depository accounts with banks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around the world and cash invested in high-quality, short-term investments. The cash and cash equivalents balance at September 30, 2022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$225.4 million of cash held by subsidiaries within the U.S., and $503.6 million of cash held by subsidiaries outside of the U.S.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2022, we purchased 563,334 shares of our common stock under the share repurchase program at a cost of $202.9 million,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price of $360.03 per share.</w:t>
      </w:r>
    </w:p>
    <w:p>
      <w:pPr>
        <w:spacing w:after="0" w:line="23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September 30, 2022 increased by $129.0 million, or 11.2%, as compared to December 31, 2021, which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unfavorable foreign currency translation impact of $64.8 million. Excluding the impact of currency exchange rates, cash and cash equivalents, accounts receivable and inventories increased by $15.7 million, $32.6 million and $67.1 million, respectively, while total current liabilities decreased by $100.5 million. The increase in cash and cash equivalents was due to cash collections from operations, offset by share repurchases, debt repayments and payment of annual incentive compensation during the nine months ended September 30, 2022. The increase in accounts receivable was due to increased sales activity. The increase in inventories that occurred in the period was to ensure we have sufficient inventory on hand to support the needs of our customers. The decrease in total current liabilities was caused by the decline in accrued salaries, wages and benefits and accounts payable.</w:t>
      </w:r>
    </w:p>
    <w:p>
      <w:pPr>
        <w:spacing w:after="0" w:line="21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$43.6 million decrease in total debt at September 30, 2022, as compared to December 31, 2021, resulted primarily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repayments for our Series A notes.</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Credit Facility. At September 30, 2022, we had no outstanding borrowings under the Credit Facility. At September 30, 2022, the borrowing capacity available under the Credit Facility, including outstanding letters of credit of $2.4 million, was $497.6 million. We do not expect any significant limitations on our ability to access this source of funds.</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2022, we were in compliance with all of our debt covenants.</w:t>
      </w:r>
    </w:p>
    <w:p>
      <w:pPr>
        <w:spacing w:after="0" w:line="20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summary of the amounts and estimated timing of future cash payments resulting from commitments and contractual obligations was provided in our 2021 Annual Report. During the three months ended September 30, 2022, there were no material changes outside of the ordinary course of business to our commitments and contractual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2022, we had no off-balance sheet financing arrangements other than unconditional purchase obligations incurred in the ordinary course of business and outstanding letters of credit related to various insurance programs, as noted in our 2021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disclosed in Part II, Item 7 of our 2021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new accounting standards that were adopted during the three months ended September 30, 2022, and the impact, if any, on our financial position or results of operations, see Note 2, </w:t>
      </w:r>
      <w:r>
        <w:rPr>
          <w:rFonts w:ascii="Times New Roman" w:cs="Times New Roman" w:eastAsia="Times New Roman" w:hAnsi="Times New Roman"/>
          <w:sz w:val="18"/>
          <w:szCs w:val="18"/>
          <w:i w:val="1"/>
          <w:iCs w:val="1"/>
          <w:u w:val="single" w:color="auto"/>
          <w:color w:val="0000FF"/>
        </w:rPr>
        <w:t>New Accounting Standards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w:t>
      </w:r>
    </w:p>
    <w:p>
      <w:pPr>
        <w:spacing w:after="0" w:line="17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demand and our ability to meet that demand;</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providers in our businesses, including customers’ in-house operations, and from lower-cost producers in emerging markets, which can impact unit volume, price and profitability;</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changing inventory requirements and manufacturing plans that alter existing orders or ordering patterns for the products we supply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regulatory approval and commercial success of customer products that incorporate our products and systems;</w:t>
      </w:r>
    </w:p>
    <w:p>
      <w:pPr>
        <w:spacing w:after="0" w:line="17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profitability, or mix, of the products sold in any reporting period, including lower-than-expected sales growth of our high-value proprietary product offerings;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production efficiencies and overhead absorption;</w:t>
      </w:r>
    </w:p>
    <w:p>
      <w:pPr>
        <w:spacing w:after="0" w:line="17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suppliers and partners, some of which are single-source suppliers of critical materials and products, including our Japanese partner and affiliate, Daikyo;</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highly-skilled employees;</w:t>
      </w:r>
    </w:p>
    <w:p>
      <w:pPr>
        <w:spacing w:after="0" w:line="171"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07"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implementation of price increases necessary to offset rising production costs, including raw material prices, particularly petroleum-based raw materials;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progress of development, regulatory approval and marketing of new products;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licenses in any jurisdiction in which we do business;</w:t>
      </w:r>
    </w:p>
    <w:p>
      <w:pPr>
        <w:spacing w:after="0" w:line="17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strength of USD in relation to other currencies, particularly the Euro, SGD, the Danish Krone, Yen, Colombian Peso, Brazilian Real, and the South Korean Won;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2021 Annual Report as well as Part II, section 1A of this quarterly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Except as required by law or regulation,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market risk or the information provided in Part II, Item 7A of our 2021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2022, our disclosure controls and procedures are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During the quarter ended September 30, 2022, there have been no changes to our internal control over financial reporting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providing the disclosure below and supplementing the risk factors described in Part I, Item 1A of our 2021 Annual Report with the following risk factor. The additional risk factor identified should be read in conjunction with the risk factors described in the 2021 Annual Report and the information under the "Forward Looking Statements" in the 2021 Annual Report.</w:t>
      </w:r>
    </w:p>
    <w:p>
      <w:pPr>
        <w:spacing w:after="0" w:line="19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color w:val="auto"/>
        </w:rPr>
        <w:t>We may be unable to increase capacity or efficiency at our own manufacturing facilities, which could adversely affect our business, financial condition, and results of operations.</w:t>
      </w:r>
    </w:p>
    <w:p>
      <w:pPr>
        <w:spacing w:after="0" w:line="1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must adjust our production capacity as customer demand changes and are focused on increasing capacity at various facilities through our capital strategy. If we are unable to increase capacity levels at the rate we expect, or if unforeseen costs or other challenges associated with increasing that capacity arise, we may not be able to achieve our financial targets.</w:t>
      </w:r>
    </w:p>
    <w:p>
      <w:pPr>
        <w:spacing w:after="0" w:line="19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supporting a full portfolio of our products for our customers. That commitment, along with shifts of product mix and complexity, may result in more frequent equipment change-overs and potentially increased costs because of the high fixed cost nature of our business, causing lower gross margins due to under-absorption of those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The following table shows information with respect to purchases of our common stock made during the three months ended September 30, 2022 by us or any of our “affiliated purchasers” as defined in Rule 10b-18(a)(3) under the Exchange Act:</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36" w:lineRule="exact"/>
        <w:rPr>
          <w:sz w:val="20"/>
          <w:szCs w:val="20"/>
          <w:color w:val="auto"/>
        </w:rPr>
      </w:pPr>
    </w:p>
    <w:p>
      <w:pPr>
        <w:ind w:left="20" w:right="40"/>
        <w:spacing w:after="0" w:line="281" w:lineRule="auto"/>
        <w:rPr>
          <w:sz w:val="20"/>
          <w:szCs w:val="20"/>
          <w:color w:val="auto"/>
        </w:rPr>
      </w:pPr>
      <w:r>
        <w:rPr>
          <w:rFonts w:ascii="Times New Roman" w:cs="Times New Roman" w:eastAsia="Times New Roman" w:hAnsi="Times New Roman"/>
          <w:sz w:val="18"/>
          <w:szCs w:val="18"/>
          <w:color w:val="auto"/>
        </w:rPr>
        <w:t>July 1 - 31, 2022 August 1 - 31, 2022 September 1 - 30, 2022</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22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Maximum number of shares</w:t>
            </w:r>
          </w:p>
        </w:tc>
        <w:tc>
          <w:tcPr>
            <w:tcW w:w="0" w:type="dxa"/>
            <w:vAlign w:val="bottom"/>
          </w:tcPr>
          <w:p>
            <w:pPr>
              <w:spacing w:after="0"/>
              <w:rPr>
                <w:sz w:val="1"/>
                <w:szCs w:val="1"/>
                <w:color w:val="auto"/>
              </w:rPr>
            </w:pPr>
          </w:p>
        </w:tc>
      </w:tr>
      <w:tr>
        <w:trPr>
          <w:trHeight w:val="184"/>
        </w:trPr>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32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that may yet be purchased</w:t>
            </w:r>
          </w:p>
        </w:tc>
        <w:tc>
          <w:tcPr>
            <w:tcW w:w="0" w:type="dxa"/>
            <w:vAlign w:val="bottom"/>
          </w:tcPr>
          <w:p>
            <w:pPr>
              <w:spacing w:after="0"/>
              <w:rPr>
                <w:sz w:val="1"/>
                <w:szCs w:val="1"/>
                <w:color w:val="auto"/>
              </w:rPr>
            </w:pPr>
          </w:p>
        </w:tc>
      </w:tr>
      <w:tr>
        <w:trPr>
          <w:trHeight w:val="180"/>
        </w:trPr>
        <w:tc>
          <w:tcPr>
            <w:tcW w:w="2280" w:type="dxa"/>
            <w:vAlign w:val="bottom"/>
            <w:gridSpan w:val="2"/>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23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announced plans or programs</w:t>
            </w:r>
          </w:p>
        </w:tc>
        <w:tc>
          <w:tcPr>
            <w:tcW w:w="2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under the plans or programs</w:t>
            </w:r>
          </w:p>
        </w:tc>
        <w:tc>
          <w:tcPr>
            <w:tcW w:w="0" w:type="dxa"/>
            <w:vAlign w:val="bottom"/>
          </w:tcPr>
          <w:p>
            <w:pPr>
              <w:spacing w:after="0"/>
              <w:rPr>
                <w:sz w:val="1"/>
                <w:szCs w:val="1"/>
                <w:color w:val="auto"/>
              </w:rPr>
            </w:pPr>
          </w:p>
        </w:tc>
      </w:tr>
      <w:tr>
        <w:trPr>
          <w:trHeight w:val="230"/>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(1)</w:t>
            </w:r>
          </w:p>
        </w:tc>
        <w:tc>
          <w:tcPr>
            <w:tcW w:w="34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share (1)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18"/>
                <w:szCs w:val="18"/>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144,444</w:t>
            </w:r>
          </w:p>
        </w:tc>
        <w:tc>
          <w:tcPr>
            <w:tcW w:w="0" w:type="dxa"/>
            <w:vAlign w:val="bottom"/>
          </w:tcPr>
          <w:p>
            <w:pPr>
              <w:spacing w:after="0"/>
              <w:rPr>
                <w:sz w:val="1"/>
                <w:szCs w:val="1"/>
                <w:color w:val="auto"/>
              </w:rPr>
            </w:pPr>
          </w:p>
        </w:tc>
      </w:tr>
      <w:tr>
        <w:trPr>
          <w:trHeight w:val="230"/>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115,555</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300.78</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8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86,666</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86,666</w:t>
            </w:r>
          </w:p>
        </w:tc>
        <w:tc>
          <w:tcPr>
            <w:tcW w:w="0" w:type="dxa"/>
            <w:vAlign w:val="bottom"/>
          </w:tcPr>
          <w:p>
            <w:pPr>
              <w:spacing w:after="0"/>
              <w:rPr>
                <w:sz w:val="1"/>
                <w:szCs w:val="1"/>
                <w:color w:val="auto"/>
              </w:rPr>
            </w:pP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-333375</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-633730</wp:posOffset>
            </wp:positionV>
            <wp:extent cx="711517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40"/>
          </w:cols>
          <w:pgMar w:left="320" w:top="124" w:right="359" w:bottom="1440" w:gutter="0" w:footer="0" w:header="0"/>
          <w:type w:val="continuous"/>
        </w:sectPr>
      </w:pPr>
    </w:p>
    <w:p>
      <w:pPr>
        <w:spacing w:after="0" w:line="119" w:lineRule="exact"/>
        <w:rPr>
          <w:sz w:val="20"/>
          <w:szCs w:val="20"/>
          <w:color w:val="auto"/>
        </w:rPr>
      </w:pPr>
    </w:p>
    <w:p>
      <w:pPr>
        <w:ind w:left="340" w:right="22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our Board of Directors approved a share repurchase program for calendar-year 2022 authorizing the repurchase of up to 650,000 shares of our common stock from time to time on the open market as permitted under Exchange Act Rule 10b-18 or in privately-negotiated transactions. The number of shares to be repurchased and the timing of such transactions will depend on a variety of factors, including market conditions. This share repurchase program is expected to be completed by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4"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80" w:type="dxa"/>
            <w:vAlign w:val="bottom"/>
            <w:gridSpan w:val="20"/>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8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Pr>
          <w:p>
            <w:pPr>
              <w:spacing w:after="0"/>
              <w:rPr>
                <w:sz w:val="13"/>
                <w:szCs w:val="13"/>
                <w:color w:val="auto"/>
              </w:rPr>
            </w:pPr>
          </w:p>
        </w:tc>
        <w:tc>
          <w:tcPr>
            <w:tcW w:w="1018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quarter ended June 30, 2020, filed July 24, 2020).</w:t>
              </w:r>
            </w:hyperlink>
          </w:p>
        </w:tc>
        <w:tc>
          <w:tcPr>
            <w:tcW w:w="6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stock certificate for common stock (incorporated by reference to Exhibit 4 to the Company's 1998 Form 10-K, filed May 6, 1999).</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Article 5, 6, 8(c) and 9 of our Amended and Restated Articles of Incorporation (incorporated by reference to Exhibit 3.1 to the Company's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10-Q report for the quarter ended June 30, 2020, filed July 24,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100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 xml:space="preserve">Article I and V of our Bylaws, </w:t>
              </w:r>
            </w:hyperlink>
            <w:hyperlink r:id="rId69">
              <w:r>
                <w:rPr>
                  <w:rFonts w:ascii="Times New Roman" w:cs="Times New Roman" w:eastAsia="Times New Roman" w:hAnsi="Times New Roman"/>
                  <w:sz w:val="18"/>
                  <w:szCs w:val="18"/>
                  <w:color w:val="0000FF"/>
                  <w:w w:val="99"/>
                </w:rPr>
                <w:t>as amended through February 23, 2021 (incorporated by reference from our Form 8-k, filed March 1, 2021).</w:t>
              </w:r>
            </w:hyperlink>
          </w:p>
        </w:tc>
        <w:tc>
          <w:tcPr>
            <w:tcW w:w="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line="245" w:lineRule="exact"/>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1"/>
                <w:szCs w:val="21"/>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4"/>
        </w:trPr>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6"/>
                <w:szCs w:val="16"/>
                <w:color w:val="auto"/>
              </w:rPr>
            </w:pPr>
          </w:p>
        </w:tc>
        <w:tc>
          <w:tcPr>
            <w:tcW w:w="10180" w:type="dxa"/>
            <w:vAlign w:val="bottom"/>
            <w:gridSpan w:val="25"/>
          </w:tcPr>
          <w:p>
            <w:pPr>
              <w:spacing w:after="0" w:line="194"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Credit Agreement, dated as of March 28, 2019, between West, certain of its subsidiaries, the lenders party thereto from time to time, Bank of</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America, N.A., as Administrative Agent, Swing Line Lender and an Issuing Lender;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Wells Fargo Securities, LLC, MUFG Bank, Ltd., and JPMorgan Chase Bank, N.A., as Joint Lead Arrangers and Joint Bookrunners, and</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Wells Fargo Bank, National Association, MUFG Bank, Ltd., and JPMorgan Chase Bank, N.A., as Co-Syndication Agents (incorporated</w:t>
              </w:r>
            </w:hyperlink>
          </w:p>
        </w:tc>
        <w:tc>
          <w:tcPr>
            <w:tcW w:w="400" w:type="dxa"/>
            <w:vAlign w:val="bottom"/>
            <w:gridSpan w:val="13"/>
          </w:tcPr>
          <w:p>
            <w:pPr>
              <w:ind w:left="40"/>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9"/>
                <w:szCs w:val="19"/>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LIBOR Transition Amendment to the Credit Agreement, dated as of March 28, 2019, between West, each of the lenders party thereto from</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80" w:type="dxa"/>
            <w:vAlign w:val="bottom"/>
            <w:gridSpan w:val="25"/>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time to time, and Bank of America, N.A (incorporated by reference to Exhibit 10.1 to the Company's Form 10-Q report for the quarter ended</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September 30, 2021, filed October 28,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8"/>
                <w:szCs w:val="18"/>
                <w:color w:val="auto"/>
              </w:rPr>
            </w:pPr>
          </w:p>
        </w:tc>
        <w:tc>
          <w:tcPr>
            <w:tcW w:w="10180" w:type="dxa"/>
            <w:vAlign w:val="bottom"/>
            <w:gridSpan w:val="2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Credit Agreement Second Amendment and Joinder and Assumption Agreement, dated as of March 31, 2022, between West, certain of its</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subsidiaries, the lenders party thereto from time-to-time, Bank of America, N.A., as Administrative Agent, Swing Line Lender and an</w:t>
              </w:r>
            </w:hyperlink>
          </w:p>
        </w:tc>
        <w:tc>
          <w:tcPr>
            <w:tcW w:w="240" w:type="dxa"/>
            <w:vAlign w:val="bottom"/>
            <w:tcBorders>
              <w:top w:val="single" w:sz="8" w:color="0000FF"/>
            </w:tcBorders>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Issuing Lender; BOFA Securities, Inc., Wells Fargo Securities, LLC, U.S. Bank National Association, and JPMorgan Chase Bank, N.A.,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Joint Lead Arrangers and Joint Bookrunners, and Wells Fargo Bank, National Association, U.S. Bank National Association, and JPMorgan</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Chase Bank, N.A., as Co-Syndication Agents (incorporated by reference from our Form 8-k, filed April 1, 2022).</w:t>
              </w:r>
            </w:hyperlink>
          </w:p>
        </w:tc>
        <w:tc>
          <w:tcPr>
            <w:tcW w:w="1860" w:type="dxa"/>
            <w:vAlign w:val="bottom"/>
            <w:tcBorders>
              <w:top w:val="single" w:sz="8" w:color="0000FF"/>
            </w:tcBorders>
            <w:gridSpan w:val="10"/>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9"/>
                <w:szCs w:val="19"/>
                <w:color w:val="auto"/>
              </w:rPr>
            </w:pPr>
          </w:p>
        </w:tc>
        <w:tc>
          <w:tcPr>
            <w:tcW w:w="7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Section 302 of the Sarbanes-Oxley Act of 2002.</w:t>
            </w:r>
          </w:p>
        </w:tc>
        <w:tc>
          <w:tcPr>
            <w:tcW w:w="26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19"/>
                <w:szCs w:val="19"/>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right="40" w:firstLine="8"/>
        <w:spacing w:after="0" w:line="540"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20" w:top="124"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and Operations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ectPr>
          <w:pgSz w:w="11900" w:h="16838" w:orient="portrait"/>
          <w:cols w:equalWidth="0" w:num="1">
            <w:col w:w="11240"/>
          </w:cols>
          <w:pgMar w:left="320" w:top="14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September 30, 2022,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07"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ectPr>
          <w:pgSz w:w="11900" w:h="16838" w:orient="portrait"/>
          <w:cols w:equalWidth="0" w:num="1">
            <w:col w:w="11240"/>
          </w:cols>
          <w:pgMar w:left="320" w:top="141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September 30, 2022,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07"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and Operations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lvl w:ilvl="1">
      <w:lvlJc w:val="left"/>
      <w:lvlText w:val="%2"/>
      <w:numFmt w:val="decimal"/>
      <w:start w:val="104"/>
    </w:lvl>
  </w:abstractNum>
  <w:abstractNum w:abstractNumId="11">
    <w:nsid w:val="DED7263"/>
    <w:multiLevelType w:val="hybridMultilevel"/>
    <w:lvl w:ilvl="0">
      <w:lvlJc w:val="left"/>
      <w:lvlText w:val="(%1)"/>
      <w:numFmt w:val="decimal"/>
      <w:start w:val="1"/>
    </w:lvl>
    <w:lvl w:ilvl="1">
      <w:lvlJc w:val="left"/>
      <w:lvlText w:val="%2"/>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75" Type="http://schemas.openxmlformats.org/officeDocument/2006/relationships/image" Target="media/image60.png"/><Relationship Id="rId20" Type="http://schemas.openxmlformats.org/officeDocument/2006/relationships/hyperlink" Target="https://www.sec.gov/ix?doc=/Archives/edgar/data/105770/000162828022003342/wst-20211231.htm" TargetMode="External"/><Relationship Id="rId68" Type="http://schemas.openxmlformats.org/officeDocument/2006/relationships/hyperlink" Target="https://www.sec.gov/Archives/edgar/data/105770/000010577020000045/ex31articlesofincorpor.htm" TargetMode="External"/><Relationship Id="rId69" Type="http://schemas.openxmlformats.org/officeDocument/2006/relationships/hyperlink" Target="https://www.sec.gov/Archives/edgar/data/105770/000010577021000014/wpsbylawamendmentsfinalfeb.htm" TargetMode="External"/><Relationship Id="rId70" Type="http://schemas.openxmlformats.org/officeDocument/2006/relationships/hyperlink" Target="http://www.sec.gov/Archives/edgar/data/105770/0000105770-99-000016-index.html" TargetMode="External"/><Relationship Id="rId71" Type="http://schemas.openxmlformats.org/officeDocument/2006/relationships/hyperlink" Target="http://www.sec.gov/Archives/edgar/data/105770/000010577015000015/ex32bylaws.htm" TargetMode="External"/><Relationship Id="rId72" Type="http://schemas.openxmlformats.org/officeDocument/2006/relationships/hyperlink" Target="https://www.sec.gov/Archives/edgar/data/105770/000010577019000016/exh101march282019creditagr.htm" TargetMode="External"/><Relationship Id="rId73" Type="http://schemas.openxmlformats.org/officeDocument/2006/relationships/hyperlink" Target="https://www.sec.gov/Archives/edgar/data/105770/000010577021000083/char1-1826719v3xlibortrans.htm" TargetMode="External"/><Relationship Id="rId74" Type="http://schemas.openxmlformats.org/officeDocument/2006/relationships/hyperlink" Target="https://www.sec.gov/Archives/edgar/data/105770/000010577022000010/compiledsecondamendment-w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2022-10-27T16:09:21Z</dcterms:created>
  <dcterms:modified xsi:type="dcterms:W3CDTF">2022-10-27T16:09:21Z</dcterms:modified>
</cp:coreProperties>
</file>