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480" w:hanging="330"/>
        <w:spacing w:after="0" w:line="232" w:lineRule="auto"/>
        <w:tabs>
          <w:tab w:leader="none" w:pos="4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311"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 w:lineRule="exact"/>
        <w:rPr>
          <w:sz w:val="24"/>
          <w:szCs w:val="24"/>
          <w:color w:val="auto"/>
        </w:rPr>
      </w:pPr>
    </w:p>
    <w:tbl>
      <w:tblPr>
        <w:tblLayout w:type="fixed"/>
        <w:tblInd w:w="700" w:type="dxa"/>
        <w:tblCellMar>
          <w:top w:w="0" w:type="dxa"/>
          <w:left w:w="0" w:type="dxa"/>
          <w:bottom w:w="0" w:type="dxa"/>
          <w:right w:w="0" w:type="dxa"/>
        </w:tblCellMar>
      </w:tblPr>
      <w:tr>
        <w:trPr>
          <w:trHeight w:val="233"/>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30"/>
        </w:trPr>
        <w:tc>
          <w:tcPr>
            <w:tcW w:w="532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2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30"/>
        </w:trPr>
        <w:tc>
          <w:tcPr>
            <w:tcW w:w="532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440" w:right="459" w:bottom="1440" w:gutter="0" w:footer="0" w:header="0"/>
        </w:sectPr>
      </w:pPr>
    </w:p>
    <w:p>
      <w:pPr>
        <w:spacing w:after="0" w:line="154"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New York Stock Exchange</w:t>
      </w:r>
    </w:p>
    <w:p>
      <w:pPr>
        <w:spacing w:after="0" w:line="116" w:lineRule="exact"/>
        <w:rPr>
          <w:sz w:val="24"/>
          <w:szCs w:val="24"/>
          <w:color w:val="auto"/>
        </w:rPr>
      </w:pPr>
    </w:p>
    <w:p>
      <w:pPr>
        <w:sectPr>
          <w:pgSz w:w="11900" w:h="16838" w:orient="portrait"/>
          <w:cols w:equalWidth="0" w:num="3">
            <w:col w:w="4260" w:space="720"/>
            <w:col w:w="1520" w:space="720"/>
            <w:col w:w="3900"/>
          </w:cols>
          <w:pgMar w:left="320" w:top="1440" w:right="459" w:bottom="1440" w:gutter="0" w:footer="0" w:header="0"/>
          <w:type w:val="continuous"/>
        </w:sect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2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8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April 16, 2021, there were 73,823,701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gridSpan w:val="12"/>
          </w:tcPr>
          <w:p>
            <w:pPr>
              <w:ind w:left="8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80" w:type="dxa"/>
            <w:vAlign w:val="bottom"/>
            <w:gridSpan w:val="5"/>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6880" w:type="dxa"/>
            <w:vAlign w:val="bottom"/>
            <w:gridSpan w:val="18"/>
            <w:vMerge w:val="restart"/>
          </w:tcPr>
          <w:p>
            <w:pPr>
              <w:spacing w:after="0"/>
              <w:rPr>
                <w:sz w:val="24"/>
                <w:szCs w:val="24"/>
                <w:color w:val="auto"/>
              </w:rPr>
            </w:pPr>
          </w:p>
        </w:tc>
        <w:tc>
          <w:tcPr>
            <w:tcW w:w="72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5"/>
        </w:trPr>
        <w:tc>
          <w:tcPr>
            <w:tcW w:w="3080" w:type="dxa"/>
            <w:vAlign w:val="bottom"/>
            <w:tcBorders>
              <w:bottom w:val="single" w:sz="8" w:color="0000FF"/>
            </w:tcBorders>
            <w:gridSpan w:val="5"/>
            <w:vMerge w:val="continue"/>
          </w:tcPr>
          <w:p>
            <w:pPr>
              <w:spacing w:after="0"/>
              <w:rPr>
                <w:sz w:val="18"/>
                <w:szCs w:val="18"/>
                <w:color w:val="auto"/>
              </w:rPr>
            </w:pPr>
          </w:p>
        </w:tc>
        <w:tc>
          <w:tcPr>
            <w:tcW w:w="6880" w:type="dxa"/>
            <w:vAlign w:val="bottom"/>
            <w:gridSpan w:val="18"/>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3520" w:type="dxa"/>
            <w:vAlign w:val="bottom"/>
            <w:tcBorders>
              <w:bottom w:val="single" w:sz="8" w:color="0000FF"/>
            </w:tcBorders>
            <w:gridSpan w:val="11"/>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 (UNAUDITED)</w:t>
              </w:r>
            </w:hyperlink>
          </w:p>
        </w:tc>
        <w:tc>
          <w:tcPr>
            <w:tcW w:w="3860" w:type="dxa"/>
            <w:vAlign w:val="bottom"/>
            <w:gridSpan w:val="9"/>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b w:val="1"/>
                <w:bCs w:val="1"/>
                <w:color w:val="0000FF"/>
                <w:w w:val="93"/>
              </w:rPr>
            </w:pPr>
            <w:hyperlink w:anchor="page3">
              <w:r>
                <w:rPr>
                  <w:rFonts w:ascii="Arial" w:cs="Arial" w:eastAsia="Arial" w:hAnsi="Arial"/>
                  <w:sz w:val="18"/>
                  <w:szCs w:val="18"/>
                  <w:b w:val="1"/>
                  <w:bCs w:val="1"/>
                  <w:color w:val="0000FF"/>
                  <w:w w:val="93"/>
                </w:rPr>
                <w:t>Condensed Consolidated Statements of Income for the Three Months ended March 31, 2021</w:t>
              </w:r>
            </w:hyperlink>
          </w:p>
        </w:tc>
        <w:tc>
          <w:tcPr>
            <w:tcW w:w="580" w:type="dxa"/>
            <w:vAlign w:val="bottom"/>
            <w:gridSpan w:val="3"/>
            <w:vMerge w:val="restart"/>
          </w:tcPr>
          <w:p>
            <w:pPr>
              <w:jc w:val="center"/>
              <w:ind w:left="390"/>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3</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40" w:type="dxa"/>
            <w:vAlign w:val="bottom"/>
            <w:tcBorders>
              <w:top w:val="single" w:sz="8" w:color="0000FF"/>
            </w:tcBorders>
            <w:gridSpan w:val="18"/>
          </w:tcPr>
          <w:p>
            <w:pPr>
              <w:spacing w:after="0" w:line="15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and 2020</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b w:val="1"/>
                <w:bCs w:val="1"/>
                <w:color w:val="0000FF"/>
                <w:w w:val="93"/>
              </w:rPr>
            </w:pPr>
            <w:hyperlink w:anchor="page3">
              <w:r>
                <w:rPr>
                  <w:rFonts w:ascii="Arial" w:cs="Arial" w:eastAsia="Arial" w:hAnsi="Arial"/>
                  <w:sz w:val="18"/>
                  <w:szCs w:val="18"/>
                  <w:b w:val="1"/>
                  <w:bCs w:val="1"/>
                  <w:color w:val="0000FF"/>
                  <w:w w:val="93"/>
                </w:rPr>
                <w:t>Condensed Consolidated Statements of Comprehensive Income for the Three Months ended</w:t>
              </w:r>
            </w:hyperlink>
          </w:p>
        </w:tc>
        <w:tc>
          <w:tcPr>
            <w:tcW w:w="580" w:type="dxa"/>
            <w:vAlign w:val="bottom"/>
            <w:gridSpan w:val="3"/>
            <w:vMerge w:val="restart"/>
          </w:tcPr>
          <w:p>
            <w:pPr>
              <w:jc w:val="center"/>
              <w:ind w:left="390"/>
              <w:spacing w:after="0"/>
              <w:rPr>
                <w:rFonts w:ascii="Arial" w:cs="Arial" w:eastAsia="Arial" w:hAnsi="Arial"/>
                <w:sz w:val="18"/>
                <w:szCs w:val="18"/>
                <w:b w:val="1"/>
                <w:bCs w:val="1"/>
                <w:color w:val="0000FF"/>
                <w:w w:val="99"/>
              </w:rPr>
            </w:pPr>
            <w:hyperlink w:anchor="page3">
              <w:r>
                <w:rPr>
                  <w:rFonts w:ascii="Arial" w:cs="Arial" w:eastAsia="Arial" w:hAnsi="Arial"/>
                  <w:sz w:val="18"/>
                  <w:szCs w:val="18"/>
                  <w:b w:val="1"/>
                  <w:bCs w:val="1"/>
                  <w:color w:val="0000FF"/>
                  <w:w w:val="99"/>
                </w:rPr>
                <w:t>4</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60" w:type="dxa"/>
            <w:vAlign w:val="bottom"/>
            <w:tcBorders>
              <w:top w:val="single" w:sz="8" w:color="0000FF"/>
            </w:tcBorders>
            <w:gridSpan w:val="19"/>
          </w:tcPr>
          <w:p>
            <w:pPr>
              <w:spacing w:after="0" w:line="15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March 31, 2021 and 2020</w:t>
              </w:r>
            </w:hyperlink>
          </w:p>
        </w:tc>
        <w:tc>
          <w:tcPr>
            <w:tcW w:w="320" w:type="dxa"/>
            <w:vAlign w:val="bottom"/>
          </w:tcPr>
          <w:p>
            <w:pPr>
              <w:spacing w:after="0"/>
              <w:rPr>
                <w:sz w:val="13"/>
                <w:szCs w:val="13"/>
                <w:color w:val="auto"/>
              </w:rPr>
            </w:pPr>
          </w:p>
        </w:tc>
        <w:tc>
          <w:tcPr>
            <w:tcW w:w="5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360" w:type="dxa"/>
            <w:vAlign w:val="bottom"/>
            <w:tcBorders>
              <w:bottom w:val="single" w:sz="8" w:color="0000FF"/>
            </w:tcBorders>
            <w:gridSpan w:val="13"/>
          </w:tcPr>
          <w:p>
            <w:pPr>
              <w:spacing w:after="0"/>
              <w:rPr>
                <w:rFonts w:ascii="Arial" w:cs="Arial" w:eastAsia="Arial" w:hAnsi="Arial"/>
                <w:sz w:val="18"/>
                <w:szCs w:val="18"/>
                <w:b w:val="1"/>
                <w:bCs w:val="1"/>
                <w:color w:val="0000FF"/>
                <w:w w:val="88"/>
              </w:rPr>
            </w:pPr>
            <w:hyperlink w:anchor="page4">
              <w:r>
                <w:rPr>
                  <w:rFonts w:ascii="Arial" w:cs="Arial" w:eastAsia="Arial" w:hAnsi="Arial"/>
                  <w:sz w:val="18"/>
                  <w:szCs w:val="18"/>
                  <w:b w:val="1"/>
                  <w:bCs w:val="1"/>
                  <w:color w:val="0000FF"/>
                  <w:w w:val="88"/>
                </w:rPr>
                <w:t>Condensed Consolidated Balance Sheets at March 31, 2021 and December 31, 2020</w:t>
              </w:r>
            </w:hyperlink>
          </w:p>
        </w:tc>
        <w:tc>
          <w:tcPr>
            <w:tcW w:w="1020" w:type="dxa"/>
            <w:vAlign w:val="bottom"/>
            <w:gridSpan w:val="7"/>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b w:val="1"/>
                <w:bCs w:val="1"/>
                <w:color w:val="0000FF"/>
                <w:w w:val="99"/>
              </w:rPr>
            </w:pPr>
            <w:hyperlink w:anchor="page4">
              <w:r>
                <w:rPr>
                  <w:rFonts w:ascii="Arial" w:cs="Arial" w:eastAsia="Arial" w:hAnsi="Arial"/>
                  <w:sz w:val="18"/>
                  <w:szCs w:val="18"/>
                  <w:b w:val="1"/>
                  <w:bCs w:val="1"/>
                  <w:color w:val="0000FF"/>
                  <w:w w:val="99"/>
                </w:rPr>
                <w:t>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b w:val="1"/>
                <w:bCs w:val="1"/>
                <w:color w:val="0000FF"/>
                <w:w w:val="94"/>
              </w:rPr>
            </w:pPr>
            <w:hyperlink w:anchor="page5">
              <w:r>
                <w:rPr>
                  <w:rFonts w:ascii="Arial" w:cs="Arial" w:eastAsia="Arial" w:hAnsi="Arial"/>
                  <w:sz w:val="18"/>
                  <w:szCs w:val="18"/>
                  <w:b w:val="1"/>
                  <w:bCs w:val="1"/>
                  <w:color w:val="0000FF"/>
                  <w:w w:val="94"/>
                </w:rPr>
                <w:t>Condensed Consolidated Statements of Cash Flows for the Three Months ended March 31,</w:t>
              </w:r>
            </w:hyperlink>
          </w:p>
        </w:tc>
        <w:tc>
          <w:tcPr>
            <w:tcW w:w="48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8"/>
                <w:szCs w:val="18"/>
                <w:b w:val="1"/>
                <w:bCs w:val="1"/>
                <w:color w:val="0000FF"/>
                <w:w w:val="99"/>
              </w:rPr>
            </w:pPr>
            <w:hyperlink w:anchor="page5">
              <w:r>
                <w:rPr>
                  <w:rFonts w:ascii="Arial" w:cs="Arial" w:eastAsia="Arial" w:hAnsi="Arial"/>
                  <w:sz w:val="18"/>
                  <w:szCs w:val="18"/>
                  <w:b w:val="1"/>
                  <w:bCs w:val="1"/>
                  <w:color w:val="0000FF"/>
                  <w:w w:val="99"/>
                </w:rPr>
                <w:t>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b w:val="1"/>
                <w:bCs w:val="1"/>
                <w:color w:val="0000FF"/>
                <w:w w:val="88"/>
              </w:rPr>
            </w:pPr>
            <w:hyperlink w:anchor="page5">
              <w:r>
                <w:rPr>
                  <w:rFonts w:ascii="Arial" w:cs="Arial" w:eastAsia="Arial" w:hAnsi="Arial"/>
                  <w:sz w:val="18"/>
                  <w:szCs w:val="18"/>
                  <w:b w:val="1"/>
                  <w:bCs w:val="1"/>
                  <w:color w:val="0000FF"/>
                  <w:w w:val="88"/>
                </w:rPr>
                <w:t>2021 and 2020</w:t>
              </w:r>
            </w:hyperlink>
          </w:p>
        </w:tc>
        <w:tc>
          <w:tcPr>
            <w:tcW w:w="5840" w:type="dxa"/>
            <w:vAlign w:val="bottom"/>
            <w:tcBorders>
              <w:top w:val="single" w:sz="8" w:color="0000FF"/>
            </w:tcBorders>
            <w:gridSpan w:val="12"/>
          </w:tcPr>
          <w:p>
            <w:pPr>
              <w:spacing w:after="0"/>
              <w:rPr>
                <w:sz w:val="13"/>
                <w:szCs w:val="13"/>
                <w:color w:val="auto"/>
              </w:rPr>
            </w:pPr>
          </w:p>
        </w:tc>
        <w:tc>
          <w:tcPr>
            <w:tcW w:w="440" w:type="dxa"/>
            <w:vAlign w:val="bottom"/>
            <w:gridSpan w:val="3"/>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380" w:type="dxa"/>
            <w:vAlign w:val="bottom"/>
            <w:gridSpan w:val="20"/>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Notes to Condensed Consolidated Financial Statements</w:t>
              </w:r>
            </w:hyperlink>
          </w:p>
        </w:tc>
        <w:tc>
          <w:tcPr>
            <w:tcW w:w="580" w:type="dxa"/>
            <w:vAlign w:val="bottom"/>
            <w:gridSpan w:val="3"/>
          </w:tcPr>
          <w:p>
            <w:pPr>
              <w:jc w:val="center"/>
              <w:ind w:left="390"/>
              <w:spacing w:after="0"/>
              <w:rPr>
                <w:rFonts w:ascii="Arial" w:cs="Arial" w:eastAsia="Arial" w:hAnsi="Arial"/>
                <w:sz w:val="18"/>
                <w:szCs w:val="18"/>
                <w:b w:val="1"/>
                <w:bCs w:val="1"/>
                <w:color w:val="0000FF"/>
                <w:w w:val="99"/>
              </w:rPr>
            </w:pPr>
            <w:hyperlink w:anchor="page6">
              <w:r>
                <w:rPr>
                  <w:rFonts w:ascii="Arial" w:cs="Arial" w:eastAsia="Arial" w:hAnsi="Arial"/>
                  <w:sz w:val="18"/>
                  <w:szCs w:val="18"/>
                  <w:b w:val="1"/>
                  <w:bCs w:val="1"/>
                  <w:color w:val="0000FF"/>
                  <w:w w:val="99"/>
                </w:rPr>
                <w:t>7</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7380" w:type="dxa"/>
            <w:vAlign w:val="bottom"/>
            <w:gridSpan w:val="20"/>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w:t>
              </w:r>
            </w:hyperlink>
          </w:p>
        </w:tc>
        <w:tc>
          <w:tcPr>
            <w:tcW w:w="48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rFonts w:ascii="Arial" w:cs="Arial" w:eastAsia="Arial" w:hAnsi="Arial"/>
                <w:sz w:val="17"/>
                <w:szCs w:val="17"/>
                <w:b w:val="1"/>
                <w:bCs w:val="1"/>
                <w:color w:val="0000FF"/>
                <w:w w:val="73"/>
              </w:rPr>
            </w:pPr>
            <w:hyperlink w:anchor="page23">
              <w:r>
                <w:rPr>
                  <w:rFonts w:ascii="Arial" w:cs="Arial" w:eastAsia="Arial" w:hAnsi="Arial"/>
                  <w:sz w:val="17"/>
                  <w:szCs w:val="17"/>
                  <w:b w:val="1"/>
                  <w:bCs w:val="1"/>
                  <w:color w:val="0000FF"/>
                  <w:w w:val="73"/>
                </w:rPr>
                <w:t>24</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b w:val="1"/>
                <w:bCs w:val="1"/>
                <w:color w:val="0000FF"/>
                <w:w w:val="96"/>
              </w:rPr>
            </w:pPr>
            <w:hyperlink w:anchor="page23">
              <w:r>
                <w:rPr>
                  <w:rFonts w:ascii="Arial" w:cs="Arial" w:eastAsia="Arial" w:hAnsi="Arial"/>
                  <w:sz w:val="18"/>
                  <w:szCs w:val="18"/>
                  <w:b w:val="1"/>
                  <w:bCs w:val="1"/>
                  <w:color w:val="0000FF"/>
                  <w:w w:val="96"/>
                </w:rPr>
                <w:t>RESULTS OF OPERATIONS</w:t>
              </w:r>
            </w:hyperlink>
          </w:p>
        </w:tc>
        <w:tc>
          <w:tcPr>
            <w:tcW w:w="4600" w:type="dxa"/>
            <w:vAlign w:val="bottom"/>
            <w:tcBorders>
              <w:top w:val="single" w:sz="8" w:color="0000FF"/>
            </w:tcBorders>
            <w:gridSpan w:val="7"/>
          </w:tcPr>
          <w:p>
            <w:pPr>
              <w:spacing w:after="0"/>
              <w:rPr>
                <w:sz w:val="13"/>
                <w:szCs w:val="13"/>
                <w:color w:val="auto"/>
              </w:rPr>
            </w:pPr>
          </w:p>
        </w:tc>
        <w:tc>
          <w:tcPr>
            <w:tcW w:w="460" w:type="dxa"/>
            <w:vAlign w:val="bottom"/>
            <w:gridSpan w:val="4"/>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7380" w:type="dxa"/>
            <w:vAlign w:val="bottom"/>
            <w:gridSpan w:val="20"/>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QUANTITATIVE AND QUALITATIVE DISCLOSURES ABOUT MARKET RISK</w:t>
              </w:r>
            </w:hyperlink>
          </w:p>
        </w:tc>
        <w:tc>
          <w:tcPr>
            <w:tcW w:w="580" w:type="dxa"/>
            <w:vAlign w:val="bottom"/>
            <w:gridSpan w:val="3"/>
          </w:tcPr>
          <w:p>
            <w:pPr>
              <w:jc w:val="center"/>
              <w:ind w:left="310"/>
              <w:spacing w:after="0"/>
              <w:rPr>
                <w:rFonts w:ascii="Arial" w:cs="Arial" w:eastAsia="Arial" w:hAnsi="Arial"/>
                <w:sz w:val="18"/>
                <w:szCs w:val="18"/>
                <w:b w:val="1"/>
                <w:bCs w:val="1"/>
                <w:color w:val="0000FF"/>
                <w:w w:val="89"/>
              </w:rPr>
            </w:pPr>
            <w:hyperlink w:anchor="page35">
              <w:r>
                <w:rPr>
                  <w:rFonts w:ascii="Arial" w:cs="Arial" w:eastAsia="Arial" w:hAnsi="Arial"/>
                  <w:sz w:val="18"/>
                  <w:szCs w:val="18"/>
                  <w:b w:val="1"/>
                  <w:bCs w:val="1"/>
                  <w:color w:val="0000FF"/>
                  <w:w w:val="89"/>
                </w:rPr>
                <w:t>35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tcBorders>
              <w:top w:val="single" w:sz="8" w:color="0000FF"/>
            </w:tcBorders>
            <w:gridSpan w:val="15"/>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CONTROLS AND PROCEDURES</w:t>
              </w:r>
            </w:hyperlink>
          </w:p>
        </w:tc>
        <w:tc>
          <w:tcPr>
            <w:tcW w:w="940" w:type="dxa"/>
            <w:vAlign w:val="bottom"/>
            <w:gridSpan w:val="5"/>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35">
              <w:r>
                <w:rPr>
                  <w:rFonts w:ascii="Arial" w:cs="Arial" w:eastAsia="Arial" w:hAnsi="Arial"/>
                  <w:sz w:val="17"/>
                  <w:szCs w:val="17"/>
                  <w:b w:val="1"/>
                  <w:bCs w:val="1"/>
                  <w:color w:val="0000FF"/>
                  <w:w w:val="73"/>
                </w:rPr>
                <w:t>35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Borders>
              <w:bottom w:val="single" w:sz="8" w:color="0000FF"/>
            </w:tcBorders>
            <w:gridSpan w:val="4"/>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OTHER INFORMATION</w:t>
              </w:r>
            </w:hyperlink>
          </w:p>
        </w:tc>
        <w:tc>
          <w:tcPr>
            <w:tcW w:w="7180" w:type="dxa"/>
            <w:vAlign w:val="bottom"/>
            <w:gridSpan w:val="19"/>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20"/>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LEGAL PROCEEDINGS</w:t>
              </w:r>
            </w:hyperlink>
          </w:p>
        </w:tc>
        <w:tc>
          <w:tcPr>
            <w:tcW w:w="580" w:type="dxa"/>
            <w:vAlign w:val="bottom"/>
            <w:gridSpan w:val="3"/>
          </w:tcPr>
          <w:p>
            <w:pPr>
              <w:jc w:val="center"/>
              <w:ind w:left="310"/>
              <w:spacing w:after="0"/>
              <w:rPr>
                <w:rFonts w:ascii="Arial" w:cs="Arial" w:eastAsia="Arial" w:hAnsi="Arial"/>
                <w:sz w:val="18"/>
                <w:szCs w:val="18"/>
                <w:b w:val="1"/>
                <w:bCs w:val="1"/>
                <w:color w:val="0000FF"/>
                <w:w w:val="89"/>
              </w:rPr>
            </w:pPr>
            <w:hyperlink w:anchor="page35">
              <w:r>
                <w:rPr>
                  <w:rFonts w:ascii="Arial" w:cs="Arial" w:eastAsia="Arial" w:hAnsi="Arial"/>
                  <w:sz w:val="18"/>
                  <w:szCs w:val="18"/>
                  <w:b w:val="1"/>
                  <w:bCs w:val="1"/>
                  <w:color w:val="0000FF"/>
                  <w:w w:val="89"/>
                </w:rPr>
                <w:t>35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1A.</w:t>
            </w:r>
          </w:p>
        </w:tc>
        <w:tc>
          <w:tcPr>
            <w:tcW w:w="132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6"/>
              </w:rPr>
            </w:pPr>
            <w:hyperlink w:anchor="page35">
              <w:r>
                <w:rPr>
                  <w:rFonts w:ascii="Arial" w:cs="Arial" w:eastAsia="Arial" w:hAnsi="Arial"/>
                  <w:sz w:val="18"/>
                  <w:szCs w:val="18"/>
                  <w:b w:val="1"/>
                  <w:bCs w:val="1"/>
                  <w:color w:val="0000FF"/>
                  <w:w w:val="96"/>
                </w:rPr>
                <w:t>RISK FACTORS</w:t>
              </w:r>
            </w:hyperlink>
          </w:p>
        </w:tc>
        <w:tc>
          <w:tcPr>
            <w:tcW w:w="660" w:type="dxa"/>
            <w:vAlign w:val="bottom"/>
            <w:tcBorders>
              <w:top w:val="single" w:sz="8" w:color="0000FF"/>
            </w:tcBorders>
            <w:gridSpan w:val="2"/>
          </w:tcPr>
          <w:p>
            <w:pPr>
              <w:spacing w:after="0"/>
              <w:rPr>
                <w:sz w:val="18"/>
                <w:szCs w:val="18"/>
                <w:color w:val="auto"/>
              </w:rPr>
            </w:pPr>
          </w:p>
        </w:tc>
        <w:tc>
          <w:tcPr>
            <w:tcW w:w="5400" w:type="dxa"/>
            <w:vAlign w:val="bottom"/>
            <w:gridSpan w:val="12"/>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b w:val="1"/>
                <w:bCs w:val="1"/>
                <w:color w:val="0000FF"/>
                <w:w w:val="73"/>
              </w:rPr>
            </w:pPr>
            <w:hyperlink w:anchor="page35">
              <w:r>
                <w:rPr>
                  <w:rFonts w:ascii="Arial" w:cs="Arial" w:eastAsia="Arial" w:hAnsi="Arial"/>
                  <w:sz w:val="17"/>
                  <w:szCs w:val="17"/>
                  <w:b w:val="1"/>
                  <w:bCs w:val="1"/>
                  <w:color w:val="0000FF"/>
                  <w:w w:val="73"/>
                </w:rPr>
                <w:t>35</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2.</w:t>
            </w:r>
          </w:p>
        </w:tc>
        <w:tc>
          <w:tcPr>
            <w:tcW w:w="6380" w:type="dxa"/>
            <w:vAlign w:val="bottom"/>
            <w:tcBorders>
              <w:bottom w:val="single" w:sz="8" w:color="0000FF"/>
            </w:tcBorders>
            <w:gridSpan w:val="14"/>
          </w:tcPr>
          <w:p>
            <w:pPr>
              <w:spacing w:after="0"/>
              <w:rPr>
                <w:rFonts w:ascii="Arial" w:cs="Arial" w:eastAsia="Arial" w:hAnsi="Arial"/>
                <w:sz w:val="18"/>
                <w:szCs w:val="18"/>
                <w:b w:val="1"/>
                <w:bCs w:val="1"/>
                <w:color w:val="0000FF"/>
                <w:w w:val="98"/>
              </w:rPr>
            </w:pPr>
            <w:hyperlink w:anchor="page35">
              <w:r>
                <w:rPr>
                  <w:rFonts w:ascii="Arial" w:cs="Arial" w:eastAsia="Arial" w:hAnsi="Arial"/>
                  <w:sz w:val="18"/>
                  <w:szCs w:val="18"/>
                  <w:b w:val="1"/>
                  <w:bCs w:val="1"/>
                  <w:color w:val="0000FF"/>
                  <w:w w:val="98"/>
                </w:rPr>
                <w:t>UNREGISTERED SALES OF EQUITY SECURITIES AND USE OF PROCEEDS</w:t>
              </w:r>
            </w:hyperlink>
          </w:p>
        </w:tc>
        <w:tc>
          <w:tcPr>
            <w:tcW w:w="1000" w:type="dxa"/>
            <w:vAlign w:val="bottom"/>
            <w:gridSpan w:val="6"/>
          </w:tcPr>
          <w:p>
            <w:pPr>
              <w:spacing w:after="0"/>
              <w:rPr>
                <w:sz w:val="18"/>
                <w:szCs w:val="18"/>
                <w:color w:val="auto"/>
              </w:rPr>
            </w:pPr>
          </w:p>
        </w:tc>
        <w:tc>
          <w:tcPr>
            <w:tcW w:w="4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b w:val="1"/>
                <w:bCs w:val="1"/>
                <w:color w:val="0000FF"/>
                <w:w w:val="73"/>
              </w:rPr>
            </w:pPr>
            <w:hyperlink w:anchor="page35">
              <w:r>
                <w:rPr>
                  <w:rFonts w:ascii="Arial" w:cs="Arial" w:eastAsia="Arial" w:hAnsi="Arial"/>
                  <w:sz w:val="17"/>
                  <w:szCs w:val="17"/>
                  <w:b w:val="1"/>
                  <w:bCs w:val="1"/>
                  <w:color w:val="0000FF"/>
                  <w:w w:val="73"/>
                </w:rPr>
                <w:t>36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380" w:type="dxa"/>
            <w:vAlign w:val="bottom"/>
            <w:gridSpan w:val="20"/>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EXHIBITS</w:t>
              </w:r>
            </w:hyperlink>
          </w:p>
        </w:tc>
        <w:tc>
          <w:tcPr>
            <w:tcW w:w="580" w:type="dxa"/>
            <w:vAlign w:val="bottom"/>
            <w:gridSpan w:val="3"/>
          </w:tcPr>
          <w:p>
            <w:pPr>
              <w:jc w:val="center"/>
              <w:ind w:left="310"/>
              <w:spacing w:after="0"/>
              <w:rPr>
                <w:rFonts w:ascii="Arial" w:cs="Arial" w:eastAsia="Arial" w:hAnsi="Arial"/>
                <w:sz w:val="18"/>
                <w:szCs w:val="18"/>
                <w:b w:val="1"/>
                <w:bCs w:val="1"/>
                <w:color w:val="0000FF"/>
                <w:w w:val="89"/>
              </w:rPr>
            </w:pPr>
            <w:hyperlink w:anchor="page36">
              <w:r>
                <w:rPr>
                  <w:rFonts w:ascii="Arial" w:cs="Arial" w:eastAsia="Arial" w:hAnsi="Arial"/>
                  <w:sz w:val="18"/>
                  <w:szCs w:val="18"/>
                  <w:b w:val="1"/>
                  <w:bCs w:val="1"/>
                  <w:color w:val="0000FF"/>
                  <w:w w:val="89"/>
                </w:rPr>
                <w:t>36</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SIGNATURE</w:t>
              </w:r>
            </w:hyperlink>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7"/>
                <w:szCs w:val="17"/>
                <w:b w:val="1"/>
                <w:bCs w:val="1"/>
                <w:color w:val="0000FF"/>
                <w:w w:val="73"/>
              </w:rPr>
            </w:pPr>
            <w:hyperlink w:anchor="page36">
              <w:r>
                <w:rPr>
                  <w:rFonts w:ascii="Arial" w:cs="Arial" w:eastAsia="Arial" w:hAnsi="Arial"/>
                  <w:sz w:val="17"/>
                  <w:szCs w:val="17"/>
                  <w:b w:val="1"/>
                  <w:bCs w:val="1"/>
                  <w:color w:val="0000FF"/>
                  <w:w w:val="73"/>
                </w:rPr>
                <w:t>37</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80" w:type="dxa"/>
            <w:vAlign w:val="bottom"/>
            <w:gridSpan w:val="3"/>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EXHIBIT INDEX</w:t>
              </w:r>
            </w:hyperlink>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4"/>
          </w:tcPr>
          <w:p>
            <w:pPr>
              <w:jc w:val="center"/>
              <w:spacing w:after="0"/>
              <w:rPr>
                <w:rFonts w:ascii="Arial" w:cs="Arial" w:eastAsia="Arial" w:hAnsi="Arial"/>
                <w:sz w:val="18"/>
                <w:szCs w:val="18"/>
                <w:b w:val="1"/>
                <w:bCs w:val="1"/>
                <w:color w:val="0000FF"/>
                <w:w w:val="96"/>
              </w:rPr>
            </w:pPr>
            <w:hyperlink w:anchor="page37">
              <w:r>
                <w:rPr>
                  <w:rFonts w:ascii="Arial" w:cs="Arial" w:eastAsia="Arial" w:hAnsi="Arial"/>
                  <w:sz w:val="18"/>
                  <w:szCs w:val="18"/>
                  <w:b w:val="1"/>
                  <w:bCs w:val="1"/>
                  <w:color w:val="0000FF"/>
                  <w:w w:val="96"/>
                </w:rPr>
                <w:t>F-1</w:t>
              </w:r>
            </w:hyperlink>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00" w:lineRule="exact"/>
        <w:rPr>
          <w:sz w:val="20"/>
          <w:szCs w:val="20"/>
          <w:color w:val="auto"/>
        </w:rPr>
      </w:pPr>
    </w:p>
    <w:p>
      <w:pPr>
        <w:spacing w:after="0" w:line="275"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Three Months Ended</w:t>
      </w:r>
    </w:p>
    <w:p>
      <w:pPr>
        <w:jc w:val="center"/>
        <w:ind w:left="832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398.8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15)</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8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tcPr>
          <w:p>
            <w:pPr>
              <w:jc w:val="right"/>
              <w:ind w:right="710"/>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0.99</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6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 adjustments, net of tax of $0.2 and $0.6</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gain on derivatives, net of tax of $(0.7) and $1.3</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color w:val="auto"/>
              </w:rPr>
              <w:t>March 31,</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615.5</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321.3</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1,373.7</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2,035.5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1,092.3</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943.2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214.7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213.1</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143.6</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503.4</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939.3</w:t>
            </w:r>
          </w:p>
        </w:tc>
        <w:tc>
          <w:tcPr>
            <w:tcW w:w="0" w:type="dxa"/>
            <w:vAlign w:val="bottom"/>
          </w:tcPr>
          <w:p>
            <w:pPr>
              <w:spacing w:after="0"/>
              <w:rPr>
                <w:sz w:val="1"/>
                <w:szCs w:val="1"/>
                <w:color w:val="auto"/>
              </w:rPr>
            </w:pPr>
          </w:p>
        </w:tc>
      </w:tr>
      <w:tr>
        <w:trPr>
          <w:trHeight w:val="128"/>
        </w:trPr>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7980" w:type="dxa"/>
            <w:vAlign w:val="bottom"/>
          </w:tcPr>
          <w:p>
            <w:pPr>
              <w:ind w:left="220"/>
              <w:spacing w:after="0" w:line="162" w:lineRule="exact"/>
              <w:rPr>
                <w:sz w:val="20"/>
                <w:szCs w:val="20"/>
                <w:color w:val="auto"/>
              </w:rPr>
            </w:pPr>
            <w:r>
              <w:rPr>
                <w:rFonts w:ascii="Arial" w:cs="Arial" w:eastAsia="Arial" w:hAnsi="Arial"/>
                <w:sz w:val="17"/>
                <w:szCs w:val="17"/>
                <w:color w:val="auto"/>
                <w:w w:val="96"/>
              </w:rPr>
              <w:t>Common stock, par value $0.25 per share; 200.0 million shares authorized; shares issued: 75.3 million and</w:t>
            </w:r>
          </w:p>
        </w:tc>
        <w:tc>
          <w:tcPr>
            <w:tcW w:w="2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80" w:type="dxa"/>
            <w:vAlign w:val="bottom"/>
          </w:tcPr>
          <w:p>
            <w:pPr>
              <w:ind w:left="400"/>
              <w:spacing w:after="0"/>
              <w:rPr>
                <w:sz w:val="20"/>
                <w:szCs w:val="20"/>
                <w:color w:val="auto"/>
              </w:rPr>
            </w:pPr>
            <w:r>
              <w:rPr>
                <w:rFonts w:ascii="Arial" w:cs="Arial" w:eastAsia="Arial" w:hAnsi="Arial"/>
                <w:sz w:val="17"/>
                <w:szCs w:val="17"/>
                <w:color w:val="auto"/>
              </w:rPr>
              <w:t>75.3 million; shares outstanding: 73.8 million and 74.0 million</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1,985.4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Treasury stock, at cost (1.5 million and 1.3 million shares)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(167.7)</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1,854.5</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2,739.7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jc w:val="center"/>
        <w:ind w:left="796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settlement charge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items, net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88"/>
        </w:trPr>
        <w:tc>
          <w:tcPr>
            <w:tcW w:w="7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88"/>
        </w:trPr>
        <w:tc>
          <w:tcPr>
            <w:tcW w:w="79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long-term debt</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30"/>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162"/>
        </w:trPr>
        <w:tc>
          <w:tcPr>
            <w:tcW w:w="7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r>
      <w:tr>
        <w:trPr>
          <w:trHeight w:val="21"/>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ind w:right="40"/>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2021, should be read in conjunction with the consolidated financial statements and notes thereto of West Pharmaceutical Services, Inc. and its majority-owned subsidiaries (which may be referred to as </w:t>
      </w:r>
      <w:hyperlink r:id="rId22">
        <w:r>
          <w:rPr>
            <w:rFonts w:ascii="Arial" w:cs="Arial" w:eastAsia="Arial" w:hAnsi="Arial"/>
            <w:sz w:val="16"/>
            <w:szCs w:val="16"/>
            <w:color w:val="auto"/>
          </w:rPr>
          <w:t>“West,” the “Company,” “we,” “us” or “our”) appearing in our Annual Report on Form 10-K for the year ended December 31, 2020 (the “</w:t>
        </w:r>
        <w:r>
          <w:rPr>
            <w:rFonts w:ascii="Arial" w:cs="Arial" w:eastAsia="Arial" w:hAnsi="Arial"/>
            <w:sz w:val="16"/>
            <w:szCs w:val="16"/>
            <w:u w:val="single" w:color="auto"/>
            <w:color w:val="0000FF"/>
          </w:rPr>
          <w:t>2020 Annual</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92"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West has been actively monitoring the novel coronavirus (“COVID-19”) situation and its impact globally. Our production facilities continue to operate as they had prior to the COVID-19 pandemic, other than for enhanced safety measures intended to prevent the spread of the virus and higher levels of production at certain plant locations to meet additional customer demand. The remote working arrangements and travel restrictions imposed by various governments had limited impact on our ability to maintain operations, as our manufacturing operations have generally been exempted from stay-at-home orders.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are currently evaluating </w:t>
      </w:r>
      <w:r>
        <w:rPr>
          <w:rFonts w:ascii="Arial" w:cs="Arial" w:eastAsia="Arial" w:hAnsi="Arial"/>
          <w:sz w:val="17"/>
          <w:szCs w:val="17"/>
          <w:color w:val="252525"/>
        </w:rPr>
        <w:t>the impact</w:t>
      </w:r>
      <w:r>
        <w:rPr>
          <w:rFonts w:ascii="Arial" w:cs="Arial" w:eastAsia="Arial" w:hAnsi="Arial"/>
          <w:sz w:val="17"/>
          <w:szCs w:val="17"/>
          <w:color w:val="auto"/>
        </w:rPr>
        <w:t xml:space="preserve"> </w:t>
      </w:r>
      <w:r>
        <w:rPr>
          <w:rFonts w:ascii="Arial" w:cs="Arial" w:eastAsia="Arial" w:hAnsi="Arial"/>
          <w:sz w:val="17"/>
          <w:szCs w:val="17"/>
          <w:color w:val="252525"/>
        </w:rPr>
        <w:t>to our financial statements, the transition, and disclosure requirements of this guidance</w:t>
      </w:r>
      <w:r>
        <w:rPr>
          <w:rFonts w:ascii="Arial" w:cs="Arial" w:eastAsia="Arial" w:hAnsi="Arial"/>
          <w:sz w:val="17"/>
          <w:szCs w:val="17"/>
          <w:color w:val="000000"/>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 w:name="page8"/>
    <w:bookmarkEnd w:id="7"/>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the approximate percentage of our net sales by market group:</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2"/>
              </w:rPr>
              <w:t>March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58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percentage of our net sales by product category:</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2"/>
              </w:rPr>
              <w:t>March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High-Value Product Delivery Devices</w:t>
            </w:r>
          </w:p>
        </w:tc>
        <w:tc>
          <w:tcPr>
            <w:tcW w:w="15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percentage of our net sales by geographic location:</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32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92"/>
              </w:rPr>
              <w:t>March 31,</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8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7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120" w:type="dxa"/>
            <w:vAlign w:val="bottom"/>
            <w:gridSpan w:val="4"/>
          </w:tcPr>
          <w:p>
            <w:pPr>
              <w:spacing w:after="0"/>
              <w:rPr>
                <w:sz w:val="20"/>
                <w:szCs w:val="20"/>
                <w:color w:val="auto"/>
              </w:rPr>
            </w:pPr>
            <w:r>
              <w:rPr>
                <w:rFonts w:ascii="Arial" w:cs="Arial" w:eastAsia="Arial" w:hAnsi="Arial"/>
                <w:sz w:val="18"/>
                <w:szCs w:val="18"/>
                <w:color w:val="auto"/>
                <w:w w:val="98"/>
              </w:rPr>
              <w:t>The following table summarizes our contract assets and liabilities, excluding contract assets included in accounts receivable, net: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2020</w:t>
            </w:r>
          </w:p>
        </w:tc>
        <w:tc>
          <w:tcPr>
            <w:tcW w:w="1700" w:type="dxa"/>
            <w:vAlign w:val="bottom"/>
            <w:tcBorders>
              <w:top w:val="single" w:sz="8" w:color="CCEEFF"/>
            </w:tcBorders>
            <w:gridSpan w:val="2"/>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March 31, 2021</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70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gridSpan w:val="3"/>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2020</w:t>
            </w:r>
          </w:p>
        </w:tc>
        <w:tc>
          <w:tcPr>
            <w:tcW w:w="21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March 31, 2021</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700" w:type="dxa"/>
            <w:vAlign w:val="bottom"/>
            <w:tcBorders>
              <w:bottom w:val="single" w:sz="8" w:color="CCEEFF"/>
            </w:tcBorders>
            <w:gridSpan w:val="2"/>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Starting in the third quarter of 2020, the Company entered into new capacity reservation agreements, which include the receipt of up-front cash. The decrease in the deferred income balance is primarily due to the revenue recognition associated with the capacity reservation agreements, which is to be recognized over the next 1 to 2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2021, $17.4 million of revenue was recognized that was included in deferred income at the beginning of the year.</w:t>
      </w:r>
    </w:p>
    <w:p>
      <w:pPr>
        <w:spacing w:after="0" w:line="3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majority of the performance obligations within our contracts are satisfied within one year. Performance obligations satisfied beyond one year include those relating to a nonrefundable customer payment of $20.0 million received in June 2013 in return for the exclusive use of the SmartDose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platform within a specific therapeutic area. As of March 31, 2021, there was $4.5 million of unearned income related to this payment, of which $0.9 million was included in other current liabilities and $3.6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Recall</w:t>
      </w:r>
    </w:p>
    <w:p>
      <w:pPr>
        <w:spacing w:after="0" w:line="29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On January 24, 2019, we issued a voluntary recall of our Vial2Bag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 due to reports of potential unpredictable or variable dosing under certain conditions. On October 21, 2020 we received market clearance from the Food and Drug Administration ("FDA") for our Vial2BagAdvancedTM 20mm Admixture Device and the product is back on the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center"/>
              <w:ind w:right="25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73.9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2021 and 2020, there were 0.1 million and 0.1 million shares, respectively, from stock-based compensation plans not included in the computation of diluted net income per share because their impact was antidilutive.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2020, we announced a share repurchase program for calendar-year 2021 authorizing the repurchase of up to 631,000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This share repurchase program is expected to be completed by December 31, 2021.</w:t>
      </w:r>
    </w:p>
    <w:p>
      <w:pPr>
        <w:spacing w:after="0" w:line="21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March 31, 2021, we purchased 479,000 shares of our common stock under the program at a cost of $137.1 million, or an average price of $286.23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valued at the lower of cost (on a first-in, first-out basis) and net realizable value. Inventory balances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March 31,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Pr>
          <w:p>
            <w:pPr>
              <w:jc w:val="right"/>
              <w:ind w:right="5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vMerge w:val="continue"/>
          </w:tcPr>
          <w:p>
            <w:pPr>
              <w:spacing w:after="0"/>
              <w:rPr>
                <w:sz w:val="19"/>
                <w:szCs w:val="19"/>
                <w:color w:val="auto"/>
              </w:rPr>
            </w:pPr>
          </w:p>
        </w:tc>
        <w:tc>
          <w:tcPr>
            <w:tcW w:w="16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20" w:type="dxa"/>
            <w:vAlign w:val="bottom"/>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290"/>
              <w:spacing w:after="0" w:line="202"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92"/>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were as follows: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center"/>
              <w:ind w:right="290"/>
              <w:spacing w:after="0" w:line="202"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92"/>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and December 31, 2020, the weighted average remaining lease term for operating leases was 11.1 years and 11.1 years,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the weighted average discount rate was 3.67% and 3.68%,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nine months)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80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lease interest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At March 31, 2021 and December 31, 2020, the aggregate carrying amount of our investment in affiliated companies that are accounted for under the equity method was $201.3 million and $201.9 million, respectively, and the aggregate carrying amount of our investment in affiliated companies that are not accounted for under the equity method was $10.6 million and $12.8 million at March 31, 2021 and December 31, 2020,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purchases from, and royalty payments made to, affiliates totaled $38.0 million for the three months ended March 31, 2021, as compared to $32.5 million for the same period in 2020. As of March 31, 2021 and December 31, 2020, the payable balance due to affiliates was $18.9 million and $33.6 million, respectively. The majority of these transactions related to a distributorship agreement with Daikyo that allows us to purchase and re-sell Daikyo products.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Sales to affiliates were $2.9 million for the three months ended March 31, 2021, as compared to $2.2 million for the same period in 2020. As of March 31, 2021 and December 31, 2020, the receivable balance due from affiliates was $1.7 million and $1.4 million, respectively.</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r>
        <w:rPr>
          <w:rFonts w:ascii="Arial" w:cs="Arial" w:eastAsia="Arial" w:hAnsi="Arial"/>
          <w:sz w:val="18"/>
          <w:szCs w:val="18"/>
          <w:i w:val="1"/>
          <w:iCs w:val="1"/>
          <w:color w:val="auto"/>
        </w:rPr>
        <w:t>Affiliated Companies</w:t>
      </w:r>
      <w:r>
        <w:rPr>
          <w:rFonts w:ascii="Arial" w:cs="Arial" w:eastAsia="Arial" w:hAnsi="Arial"/>
          <w:sz w:val="18"/>
          <w:szCs w:val="18"/>
          <w:color w:val="auto"/>
        </w:rPr>
        <w:t xml:space="preserve">, to the consolidated financial statements in our </w:t>
      </w:r>
      <w:hyperlink r:id="rId22">
        <w:r>
          <w:rPr>
            <w:rFonts w:ascii="Arial" w:cs="Arial" w:eastAsia="Arial" w:hAnsi="Arial"/>
            <w:sz w:val="18"/>
            <w:szCs w:val="18"/>
            <w:u w:val="single" w:color="auto"/>
            <w:color w:val="0000FF"/>
          </w:rPr>
          <w:t>2020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March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7"/>
                <w:szCs w:val="17"/>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(1.08%)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 notes, due July 5, 2027 (4.02%)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refer to Note 8,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the consolidated financial statements in our </w:t>
      </w:r>
      <w:hyperlink r:id="rId22">
        <w:r>
          <w:rPr>
            <w:rFonts w:ascii="Arial" w:cs="Arial" w:eastAsia="Arial" w:hAnsi="Arial"/>
            <w:sz w:val="16"/>
            <w:szCs w:val="16"/>
            <w:u w:val="single" w:color="auto"/>
            <w:color w:val="0000FF"/>
          </w:rPr>
          <w:t>2020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regarding our debt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March 31, 2021, the borrowing capacity available under our $300.0 million multi-currency revolving credit facility (the “Credit Facility”), including outstanding letters of credit of $2.5 million, was $297.5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ind w:right="1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At March 31, 2021, we had $87.2 million in borrowings under the Term Loan, of which $2.3 million was classified as current and $84.9 million was classified as long-term. Please refer to Note 9, </w:t>
      </w:r>
      <w:hyperlink w:anchor="page12">
        <w:r>
          <w:rPr>
            <w:rFonts w:ascii="Arial" w:cs="Arial" w:eastAsia="Arial" w:hAnsi="Arial"/>
            <w:sz w:val="18"/>
            <w:szCs w:val="18"/>
            <w:i w:val="1"/>
            <w:iCs w:val="1"/>
            <w:u w:val="single" w:color="auto"/>
            <w:color w:val="0000FF"/>
          </w:rPr>
          <w:t>Derivative Financial Instruments</w:t>
        </w:r>
      </w:hyperlink>
      <w:r>
        <w:rPr>
          <w:rFonts w:ascii="Arial" w:cs="Arial" w:eastAsia="Arial" w:hAnsi="Arial"/>
          <w:sz w:val="18"/>
          <w:szCs w:val="18"/>
          <w:color w:val="auto"/>
        </w:rPr>
        <w:t>, for a discussion of the foreign currency hedge associated with the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March 31, 2021 and December 31, 2020, the total amount of these forward exchange contracts was Singapore Dollar (“SGD”) 601.5 million and $13.4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2" w:name="page13"/>
    <w:bookmarkEnd w:id="12"/>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March 31, 2021,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3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19"/>
                <w:szCs w:val="19"/>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960" w:type="dxa"/>
            <w:vAlign w:val="bottom"/>
          </w:tcPr>
          <w:p>
            <w:pPr>
              <w:jc w:val="right"/>
              <w:ind w:right="1490"/>
              <w:spacing w:after="0"/>
              <w:rPr>
                <w:sz w:val="20"/>
                <w:szCs w:val="20"/>
                <w:color w:val="auto"/>
              </w:rPr>
            </w:pPr>
            <w:r>
              <w:rPr>
                <w:rFonts w:ascii="Arial" w:cs="Arial" w:eastAsia="Arial" w:hAnsi="Arial"/>
                <w:sz w:val="18"/>
                <w:szCs w:val="18"/>
                <w:b w:val="1"/>
                <w:bCs w:val="1"/>
                <w:color w:val="auto"/>
              </w:rPr>
              <w:t>USD</w:t>
            </w:r>
          </w:p>
        </w:tc>
        <w:tc>
          <w:tcPr>
            <w:tcW w:w="182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spacing w:after="0"/>
              <w:rPr>
                <w:sz w:val="20"/>
                <w:szCs w:val="20"/>
                <w:color w:val="auto"/>
              </w:rPr>
            </w:pPr>
            <w:r>
              <w:rPr>
                <w:rFonts w:ascii="Arial" w:cs="Arial" w:eastAsia="Arial" w:hAnsi="Arial"/>
                <w:sz w:val="18"/>
                <w:szCs w:val="18"/>
                <w:color w:val="auto"/>
              </w:rPr>
              <w:t>8,666.4</w:t>
            </w:r>
          </w:p>
        </w:tc>
        <w:tc>
          <w:tcPr>
            <w:tcW w:w="120" w:type="dxa"/>
            <w:vAlign w:val="bottom"/>
          </w:tcPr>
          <w:p>
            <w:pPr>
              <w:spacing w:after="0"/>
              <w:rPr>
                <w:sz w:val="19"/>
                <w:szCs w:val="19"/>
                <w:color w:val="auto"/>
              </w:rPr>
            </w:pPr>
          </w:p>
        </w:tc>
        <w:tc>
          <w:tcPr>
            <w:tcW w:w="2960" w:type="dxa"/>
            <w:vAlign w:val="bottom"/>
          </w:tcPr>
          <w:p>
            <w:pPr>
              <w:jc w:val="right"/>
              <w:ind w:right="550"/>
              <w:spacing w:after="0"/>
              <w:rPr>
                <w:sz w:val="20"/>
                <w:szCs w:val="20"/>
                <w:color w:val="auto"/>
              </w:rPr>
            </w:pPr>
            <w:r>
              <w:rPr>
                <w:rFonts w:ascii="Arial" w:cs="Arial" w:eastAsia="Arial" w:hAnsi="Arial"/>
                <w:sz w:val="18"/>
                <w:szCs w:val="18"/>
                <w:color w:val="auto"/>
              </w:rPr>
              <w:t>36.3</w:t>
            </w:r>
          </w:p>
        </w:tc>
        <w:tc>
          <w:tcPr>
            <w:tcW w:w="182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37.4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EUR</w:t>
            </w:r>
          </w:p>
        </w:tc>
        <w:tc>
          <w:tcPr>
            <w:tcW w:w="238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0"/>
                <w:szCs w:val="20"/>
                <w:color w:val="auto"/>
              </w:rPr>
            </w:pPr>
          </w:p>
        </w:tc>
        <w:tc>
          <w:tcPr>
            <w:tcW w:w="2960" w:type="dxa"/>
            <w:vAlign w:val="bottom"/>
          </w:tcPr>
          <w:p>
            <w:pPr>
              <w:jc w:val="right"/>
              <w:ind w:right="550"/>
              <w:spacing w:after="0"/>
              <w:rPr>
                <w:sz w:val="20"/>
                <w:szCs w:val="20"/>
                <w:color w:val="auto"/>
              </w:rPr>
            </w:pPr>
            <w:r>
              <w:rPr>
                <w:rFonts w:ascii="Arial" w:cs="Arial" w:eastAsia="Arial" w:hAnsi="Arial"/>
                <w:sz w:val="18"/>
                <w:szCs w:val="18"/>
                <w:color w:val="auto"/>
              </w:rPr>
              <w:t>46.1</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2019, we entered into a cross-currency swap for $90 million, which we designated as a hedge of our net investment in Daikyo. The notional amount of the cross-currency swap is ¥9.5 billion ($87.2 million) and the swap termination date is December 31, 2024. Under the cross-currency swap, we receive floating interest rate payments based on three-month U.S. Dollar (“USD”) LIBOR plus a margin, in return for paying floating interest rate payments based on three-month Japanese Yen (“Yen”) LIBOR plus a margin.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From November 2017 through March 2021, we purchased several series of call options for a total of 509,456 barrels of crude oil to mitigate our exposure to such oil-based surcharges and protect operating cash flows with regards to a portion of our forecasted elastomer purchases.</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2021, we had outstanding contracts to purchase 148,326 barrels of crude oil from April 2021 to September 2022, at a weighted-average strike price of $60.99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2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Please refer to Note 10, </w:t>
      </w:r>
      <w:hyperlink w:anchor="page15">
        <w:r>
          <w:rPr>
            <w:rFonts w:ascii="Arial" w:cs="Arial" w:eastAsia="Arial" w:hAnsi="Arial"/>
            <w:sz w:val="18"/>
            <w:szCs w:val="18"/>
            <w:i w:val="1"/>
            <w:iCs w:val="1"/>
            <w:u w:val="single" w:color="auto"/>
            <w:color w:val="0000FF"/>
          </w:rPr>
          <w:t>Fair Value Measurements</w:t>
        </w:r>
      </w:hyperlink>
      <w:r>
        <w:rPr>
          <w:rFonts w:ascii="Arial" w:cs="Arial" w:eastAsia="Arial" w:hAnsi="Arial"/>
          <w:sz w:val="18"/>
          <w:szCs w:val="18"/>
          <w:color w:val="auto"/>
        </w:rPr>
        <w:t>, for the balance sheet location and fair values of our derivative instruments as of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3" w:name="page14"/>
    <w:bookmarkEnd w:id="13"/>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57" w:lineRule="exact"/>
        <w:rPr>
          <w:sz w:val="20"/>
          <w:szCs w:val="20"/>
          <w:color w:val="auto"/>
        </w:rPr>
      </w:pPr>
    </w:p>
    <w:p>
      <w:pPr>
        <w:jc w:val="center"/>
        <w:ind w:left="2780"/>
        <w:spacing w:after="0"/>
        <w:rPr>
          <w:sz w:val="20"/>
          <w:szCs w:val="20"/>
          <w:color w:val="auto"/>
        </w:rPr>
      </w:pPr>
      <w:r>
        <w:rPr>
          <w:rFonts w:ascii="Arial" w:cs="Arial" w:eastAsia="Arial" w:hAnsi="Arial"/>
          <w:sz w:val="18"/>
          <w:szCs w:val="18"/>
          <w:b w:val="1"/>
          <w:bCs w:val="1"/>
          <w:color w:val="auto"/>
        </w:rPr>
        <w:t>Amount of Loss (Gain)</w:t>
      </w:r>
    </w:p>
    <w:p>
      <w:pPr>
        <w:jc w:val="center"/>
        <w:ind w:left="2780"/>
        <w:spacing w:after="0"/>
        <w:rPr>
          <w:sz w:val="20"/>
          <w:szCs w:val="20"/>
          <w:color w:val="auto"/>
        </w:rPr>
      </w:pPr>
      <w:r>
        <w:rPr>
          <w:rFonts w:ascii="Arial" w:cs="Arial" w:eastAsia="Arial" w:hAnsi="Arial"/>
          <w:sz w:val="18"/>
          <w:szCs w:val="18"/>
          <w:b w:val="1"/>
          <w:bCs w:val="1"/>
          <w:color w:val="auto"/>
        </w:rPr>
        <w:t>Recognized in Income for the</w:t>
      </w:r>
    </w:p>
    <w:tbl>
      <w:tblPr>
        <w:tblLayout w:type="fixed"/>
        <w:tblInd w:w="0" w:type="dxa"/>
        <w:tblCellMar>
          <w:top w:w="0" w:type="dxa"/>
          <w:left w:w="0" w:type="dxa"/>
          <w:bottom w:w="0" w:type="dxa"/>
          <w:right w:w="0" w:type="dxa"/>
        </w:tblCellMar>
      </w:tblPr>
      <w:tr>
        <w:trPr>
          <w:trHeight w:val="183"/>
        </w:trPr>
        <w:tc>
          <w:tcPr>
            <w:tcW w:w="5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jc w:val="right"/>
              <w:ind w:right="370"/>
              <w:spacing w:after="0" w:line="183"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5"/>
                <w:szCs w:val="15"/>
                <w:color w:val="auto"/>
              </w:rPr>
            </w:pPr>
          </w:p>
        </w:tc>
        <w:tc>
          <w:tcPr>
            <w:tcW w:w="282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3"/>
              </w:rPr>
              <w:t>Location on Statement of Income</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450"/>
              <w:spacing w:after="0"/>
              <w:rPr>
                <w:sz w:val="20"/>
                <w:szCs w:val="20"/>
                <w:color w:val="auto"/>
              </w:rPr>
            </w:pPr>
            <w:r>
              <w:rPr>
                <w:rFonts w:ascii="Arial" w:cs="Arial" w:eastAsia="Arial" w:hAnsi="Arial"/>
                <w:sz w:val="18"/>
                <w:szCs w:val="18"/>
                <w:color w:val="auto"/>
                <w:w w:val="97"/>
              </w:rPr>
              <w:t>(9.9)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designated as hedging instrument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7"/>
              </w:rPr>
              <w:t>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excluded from effectiveness testing</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7"/>
              </w:rPr>
              <w:t>(0.6)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in earnings the initial value of forward point components on a straight-line basis over the life of the fair value hedge. The amounts recognized in earnings, pre-tax, for forward point components for the three months ended March 31, 2021 and 2020 were $0.6 million and $2.0 million, respectively.</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restart"/>
          </w:tcPr>
          <w:p>
            <w:pPr>
              <w:jc w:val="center"/>
              <w:ind w:right="320"/>
              <w:spacing w:after="0"/>
              <w:rPr>
                <w:sz w:val="20"/>
                <w:szCs w:val="20"/>
                <w:color w:val="auto"/>
              </w:rPr>
            </w:pPr>
            <w:r>
              <w:rPr>
                <w:rFonts w:ascii="Arial" w:cs="Arial" w:eastAsia="Arial" w:hAnsi="Arial"/>
                <w:sz w:val="18"/>
                <w:szCs w:val="18"/>
                <w:b w:val="1"/>
                <w:bCs w:val="1"/>
                <w:color w:val="auto"/>
                <w:w w:val="90"/>
              </w:rPr>
              <w:t>Amount of (Loss) Gain</w:t>
            </w:r>
          </w:p>
        </w:tc>
        <w:tc>
          <w:tcPr>
            <w:tcW w:w="216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540" w:type="dxa"/>
            <w:vAlign w:val="bottom"/>
            <w:gridSpan w:val="5"/>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0"/>
                <w:szCs w:val="2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5"/>
            <w:vMerge w:val="restart"/>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2160" w:type="dxa"/>
            <w:vAlign w:val="bottom"/>
            <w:gridSpan w:val="4"/>
            <w:vMerge w:val="restart"/>
          </w:tcPr>
          <w:p>
            <w:pPr>
              <w:jc w:val="center"/>
              <w:ind w:left="270"/>
              <w:spacing w:after="0" w:line="198" w:lineRule="exact"/>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vMerge w:val="continue"/>
          </w:tcPr>
          <w:p>
            <w:pPr>
              <w:spacing w:after="0"/>
              <w:rPr>
                <w:sz w:val="15"/>
                <w:szCs w:val="15"/>
                <w:color w:val="auto"/>
              </w:rPr>
            </w:pPr>
          </w:p>
        </w:tc>
        <w:tc>
          <w:tcPr>
            <w:tcW w:w="216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300" w:type="dxa"/>
            <w:vAlign w:val="bottom"/>
            <w:gridSpan w:val="3"/>
          </w:tcPr>
          <w:p>
            <w:pPr>
              <w:ind w:left="140"/>
              <w:spacing w:after="0"/>
              <w:rPr>
                <w:sz w:val="20"/>
                <w:szCs w:val="20"/>
                <w:color w:val="auto"/>
              </w:rPr>
            </w:pPr>
            <w:r>
              <w:rPr>
                <w:rFonts w:ascii="Arial" w:cs="Arial" w:eastAsia="Arial" w:hAnsi="Arial"/>
                <w:sz w:val="18"/>
                <w:szCs w:val="18"/>
                <w:color w:val="auto"/>
              </w:rPr>
              <w:t>—   Cost of goods and services sold</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00" w:type="dxa"/>
            <w:vAlign w:val="bottom"/>
            <w:gridSpan w:val="4"/>
          </w:tcPr>
          <w:p>
            <w:pPr>
              <w:jc w:val="center"/>
              <w:ind w:right="250"/>
              <w:spacing w:after="0" w:line="178" w:lineRule="exact"/>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29"/>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46"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Amount of Loss Recognized in</w:t>
      </w:r>
    </w:p>
    <w:p>
      <w:pPr>
        <w:jc w:val="center"/>
        <w:ind w:left="1380"/>
        <w:spacing w:after="0"/>
        <w:rPr>
          <w:sz w:val="20"/>
          <w:szCs w:val="20"/>
          <w:color w:val="auto"/>
        </w:rPr>
      </w:pPr>
      <w:r>
        <w:rPr>
          <w:rFonts w:ascii="Arial" w:cs="Arial" w:eastAsia="Arial" w:hAnsi="Arial"/>
          <w:sz w:val="18"/>
          <w:szCs w:val="18"/>
          <w:b w:val="1"/>
          <w:bCs w:val="1"/>
          <w:color w:val="auto"/>
        </w:rPr>
        <w:t>Income for the</w:t>
      </w: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jc w:val="right"/>
              <w:ind w:right="370"/>
              <w:spacing w:after="0" w:line="183"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5"/>
                <w:szCs w:val="15"/>
                <w:color w:val="auto"/>
              </w:rPr>
            </w:pPr>
          </w:p>
        </w:tc>
        <w:tc>
          <w:tcPr>
            <w:tcW w:w="352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Location on Statement of Income</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there was no material ineffectiveness related to our hedges.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8"/>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00"/>
              <w:spacing w:after="0" w:line="156" w:lineRule="exact"/>
              <w:rPr>
                <w:sz w:val="20"/>
                <w:szCs w:val="20"/>
                <w:color w:val="auto"/>
              </w:rPr>
            </w:pPr>
            <w:r>
              <w:rPr>
                <w:rFonts w:ascii="Arial" w:cs="Arial" w:eastAsia="Arial" w:hAnsi="Arial"/>
                <w:sz w:val="18"/>
                <w:szCs w:val="18"/>
                <w:color w:val="auto"/>
                <w:w w:val="92"/>
              </w:rPr>
              <w:t>March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Balance at</w:t>
            </w:r>
          </w:p>
        </w:tc>
        <w:tc>
          <w:tcPr>
            <w:tcW w:w="1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Arial" w:cs="Arial" w:eastAsia="Arial" w:hAnsi="Arial"/>
                <w:sz w:val="18"/>
                <w:szCs w:val="18"/>
                <w:color w:val="auto"/>
                <w:w w:val="88"/>
              </w:rPr>
              <w:t>December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13"/>
                <w:szCs w:val="13"/>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gridSpan w:val="3"/>
            <w:vMerge w:val="restart"/>
          </w:tcPr>
          <w:p>
            <w:pPr>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8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noncurrent assets, is valued using a market approach. Please refer to Note 9, </w:t>
      </w:r>
      <w:hyperlink w:anchor="page12">
        <w:r>
          <w:rPr>
            <w:rFonts w:ascii="Arial" w:cs="Arial" w:eastAsia="Arial" w:hAnsi="Arial"/>
            <w:sz w:val="16"/>
            <w:szCs w:val="16"/>
            <w:i w:val="1"/>
            <w:iCs w:val="1"/>
            <w:u w:val="single" w:color="auto"/>
            <w:color w:val="0000FF"/>
          </w:rPr>
          <w:t>Derivative Financial Instruments</w:t>
        </w:r>
      </w:hyperlink>
      <w:r>
        <w:rPr>
          <w:rFonts w:ascii="Arial" w:cs="Arial" w:eastAsia="Arial" w:hAnsi="Arial"/>
          <w:sz w:val="16"/>
          <w:szCs w:val="16"/>
          <w:color w:val="auto"/>
        </w:rPr>
        <w:t>, for further discussion of our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19% to 100% based on the development phase of each respective drug, and the probability of the successful execution of supply agreements with each partnership, which was estimated in the range of 25%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an increase or decrease to the SmartDose contingent consideration.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96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3.3</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Pr>
          <w:p>
            <w:pPr>
              <w:spacing w:after="0"/>
              <w:rPr>
                <w:sz w:val="19"/>
                <w:szCs w:val="19"/>
                <w:color w:val="auto"/>
              </w:rPr>
            </w:pPr>
          </w:p>
        </w:tc>
        <w:tc>
          <w:tcPr>
            <w:tcW w:w="1120" w:type="dxa"/>
            <w:vAlign w:val="bottom"/>
          </w:tcPr>
          <w:p>
            <w:pPr>
              <w:jc w:val="center"/>
              <w:ind w:left="650"/>
              <w:spacing w:after="0"/>
              <w:rPr>
                <w:sz w:val="20"/>
                <w:szCs w:val="20"/>
                <w:color w:val="auto"/>
              </w:rPr>
            </w:pPr>
            <w:r>
              <w:rPr>
                <w:rFonts w:ascii="Arial" w:cs="Arial" w:eastAsia="Arial" w:hAnsi="Arial"/>
                <w:sz w:val="18"/>
                <w:szCs w:val="18"/>
                <w:color w:val="auto"/>
                <w:w w:val="87"/>
              </w:rPr>
              <w:t>1.2</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7"/>
              </w:rPr>
              <w:t>(0.9)</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December 31, 2020</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7"/>
              </w:rPr>
              <w:t>3.6</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7"/>
              </w:rPr>
              <w:t>0.7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7"/>
              </w:rPr>
              <w:t>(0.4)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87"/>
              </w:rPr>
              <w:t>3.9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March 31, 2021, the estimated fair value of long-term debt was $264.6 million compared to a carrying amount of $252.3 million. At December 31, 2020, the estimated fair value of long-term debt was $265.7 million and the carrying amount was $252.9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three months ended March 31,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4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w w:val="90"/>
              </w:rPr>
              <w:t>(Losses) gains on</w:t>
            </w:r>
          </w:p>
        </w:tc>
        <w:tc>
          <w:tcPr>
            <w:tcW w:w="18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Change in equity</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144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affiliate investment</w:t>
            </w:r>
          </w:p>
        </w:tc>
        <w:tc>
          <w:tcPr>
            <w:tcW w:w="240" w:type="dxa"/>
            <w:vAlign w:val="bottom"/>
          </w:tcPr>
          <w:p>
            <w:pPr>
              <w:spacing w:after="0"/>
              <w:rPr>
                <w:sz w:val="15"/>
                <w:szCs w:val="15"/>
                <w:color w:val="auto"/>
              </w:rPr>
            </w:pPr>
          </w:p>
        </w:tc>
        <w:tc>
          <w:tcPr>
            <w:tcW w:w="20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9"/>
                <w:szCs w:val="19"/>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AOCI</w:t>
            </w:r>
          </w:p>
        </w:tc>
        <w:tc>
          <w:tcPr>
            <w:tcW w:w="24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156"/>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Amounts reclassified out from</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accumulated other comprehensive (loss)</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60" w:type="dxa"/>
            <w:vAlign w:val="bottom"/>
          </w:tcPr>
          <w:p>
            <w:pPr>
              <w:ind w:left="100"/>
              <w:spacing w:after="0" w:line="156" w:lineRule="exact"/>
              <w:rPr>
                <w:sz w:val="20"/>
                <w:szCs w:val="20"/>
                <w:color w:val="auto"/>
              </w:rPr>
            </w:pPr>
            <w:r>
              <w:rPr>
                <w:rFonts w:ascii="Arial" w:cs="Arial" w:eastAsia="Arial" w:hAnsi="Arial"/>
                <w:sz w:val="18"/>
                <w:szCs w:val="18"/>
                <w:color w:val="auto"/>
                <w:w w:val="95"/>
              </w:rPr>
              <w:t>Other comprehensive (loss) income, net</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2"/>
            <w:vMerge w:val="restart"/>
          </w:tcPr>
          <w:p>
            <w:pPr>
              <w:ind w:left="20"/>
              <w:spacing w:after="0"/>
              <w:rPr>
                <w:sz w:val="20"/>
                <w:szCs w:val="20"/>
                <w:color w:val="auto"/>
              </w:rPr>
            </w:pPr>
            <w:r>
              <w:rPr>
                <w:rFonts w:ascii="Arial" w:cs="Arial" w:eastAsia="Arial" w:hAnsi="Arial"/>
                <w:sz w:val="18"/>
                <w:szCs w:val="18"/>
                <w:color w:val="auto"/>
              </w:rPr>
              <w:t>($ in millions)</w:t>
            </w:r>
          </w:p>
        </w:tc>
        <w:tc>
          <w:tcPr>
            <w:tcW w:w="2120" w:type="dxa"/>
            <w:vAlign w:val="bottom"/>
            <w:gridSpan w:val="4"/>
          </w:tcPr>
          <w:p>
            <w:pPr>
              <w:jc w:val="right"/>
              <w:ind w:right="1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gridSpan w:val="2"/>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March 31,</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40" w:type="dxa"/>
            <w:vAlign w:val="bottom"/>
            <w:gridSpan w:val="2"/>
          </w:tcPr>
          <w:p>
            <w:pPr>
              <w:ind w:left="1880"/>
              <w:spacing w:after="0"/>
              <w:rPr>
                <w:sz w:val="20"/>
                <w:szCs w:val="20"/>
                <w:color w:val="auto"/>
              </w:rPr>
            </w:pPr>
            <w:r>
              <w:rPr>
                <w:rFonts w:ascii="Arial" w:cs="Arial" w:eastAsia="Arial" w:hAnsi="Arial"/>
                <w:sz w:val="18"/>
                <w:szCs w:val="18"/>
                <w:color w:val="auto"/>
              </w:rPr>
              <w:t>Detail of components</w:t>
            </w:r>
          </w:p>
        </w:tc>
        <w:tc>
          <w:tcPr>
            <w:tcW w:w="820" w:type="dxa"/>
            <w:vAlign w:val="bottom"/>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Pr>
          <w:p>
            <w:pPr>
              <w:ind w:left="38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(Losses) gains on derivatives:</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(0.8)</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5"/>
              </w:rPr>
              <w:t>Amortization of defined benefit pension and other postretirement plans:</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(0.1)</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Settlements</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(1.4)</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benefit (expense)</w:t>
            </w: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w:t>
            </w: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hyperlink w:anchor="page20">
        <w:r>
          <w:rPr>
            <w:rFonts w:ascii="Arial" w:cs="Arial" w:eastAsia="Arial" w:hAnsi="Arial"/>
            <w:sz w:val="17"/>
            <w:szCs w:val="17"/>
            <w:i w:val="1"/>
            <w:iCs w:val="1"/>
            <w:u w:val="single" w:color="auto"/>
            <w:color w:val="0000FF"/>
          </w:rPr>
          <w:t>Benefit Plans</w:t>
        </w:r>
      </w:hyperlink>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three months ended March 31, 2021: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auto"/>
              </w:rPr>
              <w:t>Retained</w:t>
            </w:r>
          </w:p>
        </w:tc>
        <w:tc>
          <w:tcPr>
            <w:tcW w:w="24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7"/>
              </w:rPr>
              <w:t>other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96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2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64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$ 1,846.7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($0.17 per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three months ended March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Common</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Number of</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0"/>
              </w:rPr>
              <w:t>Treasury</w:t>
            </w:r>
          </w:p>
        </w:tc>
        <w:tc>
          <w:tcPr>
            <w:tcW w:w="880" w:type="dxa"/>
            <w:vAlign w:val="bottom"/>
            <w:gridSpan w:val="2"/>
            <w:vMerge w:val="restart"/>
          </w:tcPr>
          <w:p>
            <w:pPr>
              <w:ind w:left="60"/>
              <w:spacing w:after="0"/>
              <w:rPr>
                <w:sz w:val="20"/>
                <w:szCs w:val="20"/>
                <w:color w:val="auto"/>
              </w:rPr>
            </w:pPr>
            <w:r>
              <w:rPr>
                <w:rFonts w:ascii="Arial" w:cs="Arial" w:eastAsia="Arial" w:hAnsi="Arial"/>
                <w:sz w:val="18"/>
                <w:szCs w:val="18"/>
                <w:color w:val="auto"/>
              </w:rPr>
              <w:t>Retained</w:t>
            </w:r>
          </w:p>
        </w:tc>
        <w:tc>
          <w:tcPr>
            <w:tcW w:w="24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7"/>
              </w:rPr>
              <w:t>other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4"/>
              </w:rPr>
              <w:t>Shares</w:t>
            </w:r>
          </w:p>
        </w:tc>
        <w:tc>
          <w:tcPr>
            <w:tcW w:w="880" w:type="dxa"/>
            <w:vAlign w:val="bottom"/>
            <w:gridSpan w:val="3"/>
            <w:vMerge w:val="continue"/>
          </w:tcPr>
          <w:p>
            <w:pPr>
              <w:spacing w:after="0"/>
              <w:rPr>
                <w:sz w:val="15"/>
                <w:szCs w:val="15"/>
                <w:color w:val="auto"/>
              </w:rPr>
            </w:pPr>
          </w:p>
        </w:tc>
        <w:tc>
          <w:tcPr>
            <w:tcW w:w="960" w:type="dxa"/>
            <w:vAlign w:val="bottom"/>
            <w:gridSpan w:val="3"/>
          </w:tcPr>
          <w:p>
            <w:pPr>
              <w:ind w:left="80"/>
              <w:spacing w:after="0" w:line="176" w:lineRule="exact"/>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Treasury</w:t>
            </w:r>
          </w:p>
        </w:tc>
        <w:tc>
          <w:tcPr>
            <w:tcW w:w="860" w:type="dxa"/>
            <w:vAlign w:val="bottom"/>
            <w:gridSpan w:val="3"/>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20" w:type="dxa"/>
            <w:vAlign w:val="bottom"/>
            <w:gridSpan w:val="3"/>
          </w:tcPr>
          <w:p>
            <w:pPr>
              <w:jc w:val="center"/>
              <w:ind w:right="10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78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3640" w:type="dxa"/>
            <w:vAlign w:val="bottom"/>
            <w:vMerge w:val="continue"/>
          </w:tcPr>
          <w:p>
            <w:pPr>
              <w:spacing w:after="0"/>
              <w:rPr>
                <w:sz w:val="19"/>
                <w:szCs w:val="19"/>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6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$ 1,549.4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Arial" w:cs="Arial" w:eastAsia="Arial" w:hAnsi="Arial"/>
                <w:sz w:val="18"/>
                <w:szCs w:val="18"/>
                <w:color w:val="auto"/>
                <w:w w:val="96"/>
              </w:rPr>
              <w:t>Effect of modified retrospective application of a</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new accounting standard</w:t>
            </w: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Activity related to 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Dividends declared ($0.16 per share)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$ 1,611.8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March 31, 2021, there were 2,659,134 shares remaining in the 2016 Plan for future grants.</w:t>
      </w:r>
    </w:p>
    <w:p>
      <w:pPr>
        <w:spacing w:after="0" w:line="21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During the three months ended March 31, 2021, we granted 155,344 stock options at a weighted average exercise price of $274.29 per share based on the grant-date fair value of our stock to employees under the 2016 Plan. The weighted average grant date fair value of options granted was $63.00 per share as determined by the Black-Scholes option valuation model using the following weighted average assumptions: a risk-free interest rate of 0.7%; expected life of 5.6 years based on prior experience; stock volatility of 23.9% based on historical data; and a dividend yield of 0.3%. Stock option expense is recognized over the vesting period, net of forfeitures.</w:t>
      </w:r>
    </w:p>
    <w:p>
      <w:pPr>
        <w:spacing w:after="0" w:line="21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three months ended March 31, 2021, we granted 4,167 stock-settled restricted share unit (“RSU”) awards at a weighted average grant-date fair value of $274.29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$5.9 million and $5.4 million for the three months ended March 31, 2021 and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March 31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2.0</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1"/>
              </w:rPr>
              <w:t>(3.0)</w:t>
            </w: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center"/>
              <w:ind w:left="390"/>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370"/>
              <w:spacing w:after="0"/>
              <w:rPr>
                <w:sz w:val="20"/>
                <w:szCs w:val="20"/>
                <w:color w:val="auto"/>
              </w:rPr>
            </w:pPr>
            <w:r>
              <w:rPr>
                <w:rFonts w:ascii="Arial" w:cs="Arial" w:eastAsia="Arial" w:hAnsi="Arial"/>
                <w:sz w:val="18"/>
                <w:szCs w:val="18"/>
                <w:color w:val="auto"/>
                <w:w w:val="91"/>
              </w:rPr>
              <w:t>(0.2)</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1.4</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82"/>
        </w:trPr>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4"/>
                <w:szCs w:val="24"/>
                <w:color w:val="auto"/>
              </w:rPr>
            </w:pPr>
          </w:p>
        </w:tc>
      </w:tr>
      <w:tr>
        <w:trPr>
          <w:trHeight w:val="223"/>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7"/>
              </w:rPr>
              <w:t>0.3</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center"/>
              <w:ind w:left="430"/>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center"/>
              <w:ind w:left="410"/>
              <w:spacing w:after="0"/>
              <w:rPr>
                <w:sz w:val="20"/>
                <w:szCs w:val="20"/>
                <w:color w:val="auto"/>
              </w:rPr>
            </w:pPr>
            <w:r>
              <w:rPr>
                <w:rFonts w:ascii="Arial" w:cs="Arial" w:eastAsia="Arial" w:hAnsi="Arial"/>
                <w:sz w:val="18"/>
                <w:szCs w:val="18"/>
                <w:color w:val="auto"/>
                <w:w w:val="87"/>
              </w:rPr>
              <w:t>0.3</w:t>
            </w: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1"/>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0.6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three months ended March 31, 2021 and 2020, we recorded a pension settlement charge of $0.6 million and $1.4 million, respectively, within other nonoperating (income) expense, as we determined that normal-course lump-sum payments for our U.S. qualified defined benefit pension plan exceeded the threshold for settlement accounting under U.S. GAAP for the year.</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0" w:name="page21"/>
    <w:bookmarkEnd w:id="20"/>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2"/>
        </w:trPr>
        <w:tc>
          <w:tcPr>
            <w:tcW w:w="7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Fixed asset impairments and loss (gain) on sale of equipment</w:t>
            </w:r>
          </w:p>
        </w:tc>
        <w:tc>
          <w:tcPr>
            <w:tcW w:w="36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Foreign exchange transaction gains</w:t>
            </w:r>
          </w:p>
        </w:tc>
        <w:tc>
          <w:tcPr>
            <w:tcW w:w="360" w:type="dxa"/>
            <w:vAlign w:val="bottom"/>
          </w:tcPr>
          <w:p>
            <w:pPr>
              <w:spacing w:after="0"/>
              <w:rPr>
                <w:sz w:val="19"/>
                <w:szCs w:val="19"/>
                <w:color w:val="auto"/>
              </w:rPr>
            </w:pPr>
          </w:p>
        </w:tc>
        <w:tc>
          <w:tcPr>
            <w:tcW w:w="1220" w:type="dxa"/>
            <w:vAlign w:val="bottom"/>
          </w:tcPr>
          <w:p>
            <w:pPr>
              <w:ind w:left="840"/>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July 2020, our Board of Directors approved a restructuring plan designed to optimize certain organizational structures within the Company to better support our continued growth and business priorities. These changes are expected to be implemented over a period of up to twenty-four months from the date of approval. The plan is expected to require restructuring and related charges of approximately $15 million to $17 million. Since its approval, we recorded a net pre-tax amount equal to $5.8 million in restructuring and related charges associated with this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2020 restructuring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Severance</w:t>
            </w:r>
          </w:p>
        </w:tc>
        <w:tc>
          <w:tcPr>
            <w:tcW w:w="160" w:type="dxa"/>
            <w:vAlign w:val="bottom"/>
          </w:tcPr>
          <w:p>
            <w:pPr>
              <w:spacing w:after="0"/>
              <w:rPr>
                <w:sz w:val="18"/>
                <w:szCs w:val="18"/>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18"/>
                <w:szCs w:val="18"/>
                <w:color w:val="auto"/>
              </w:rPr>
            </w:pPr>
          </w:p>
        </w:tc>
        <w:tc>
          <w:tcPr>
            <w:tcW w:w="108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6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and benefits</w:t>
            </w: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7"/>
              </w:rPr>
              <w:t>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Charges</w:t>
            </w:r>
          </w:p>
        </w:tc>
        <w:tc>
          <w:tcPr>
            <w:tcW w:w="200" w:type="dxa"/>
            <w:vAlign w:val="bottom"/>
          </w:tcPr>
          <w:p>
            <w:pPr>
              <w:spacing w:after="0"/>
              <w:rPr>
                <w:sz w:val="19"/>
                <w:szCs w:val="19"/>
                <w:color w:val="auto"/>
              </w:rPr>
            </w:pPr>
          </w:p>
        </w:tc>
        <w:tc>
          <w:tcPr>
            <w:tcW w:w="1240" w:type="dxa"/>
            <w:vAlign w:val="bottom"/>
          </w:tcPr>
          <w:p>
            <w:pPr>
              <w:jc w:val="center"/>
              <w:ind w:left="81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61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1"/>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center"/>
              <w:ind w:left="610"/>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approval. The plan was expected to require restructuring and related charges of approximately $16 million. Since its approval, we have recorded $13.7 million in restructuring and related charges associated with this plan. The plan is now considered complete.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Severance</w:t>
            </w:r>
          </w:p>
        </w:tc>
        <w:tc>
          <w:tcPr>
            <w:tcW w:w="320" w:type="dxa"/>
            <w:vAlign w:val="bottom"/>
          </w:tcPr>
          <w:p>
            <w:pPr>
              <w:spacing w:after="0"/>
              <w:rPr>
                <w:sz w:val="18"/>
                <w:szCs w:val="18"/>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8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and benefits</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6" w:lineRule="exact"/>
        <w:rPr>
          <w:sz w:val="20"/>
          <w:szCs w:val="20"/>
          <w:color w:val="auto"/>
        </w:rPr>
      </w:pPr>
    </w:p>
    <w:p>
      <w:pPr>
        <w:ind w:right="1100"/>
        <w:spacing w:after="0" w:line="277" w:lineRule="auto"/>
        <w:rPr>
          <w:rFonts w:ascii="Arial" w:cs="Arial" w:eastAsia="Arial" w:hAnsi="Arial"/>
          <w:sz w:val="18"/>
          <w:szCs w:val="18"/>
          <w:i w:val="1"/>
          <w:iCs w:val="1"/>
          <w:color w:val="0000FF"/>
        </w:rPr>
      </w:pPr>
      <w:hyperlink w:anchor="page15">
        <w:r>
          <w:rPr>
            <w:rFonts w:ascii="Arial" w:cs="Arial" w:eastAsia="Arial" w:hAnsi="Arial"/>
            <w:sz w:val="18"/>
            <w:szCs w:val="18"/>
            <w:color w:val="auto"/>
          </w:rPr>
          <w:t xml:space="preserve">Contingent consideration represents changes in the fair value of the SmartDose contingent consideration. Please refer to Note 10, </w:t>
        </w:r>
        <w:r>
          <w:rPr>
            <w:rFonts w:ascii="Arial" w:cs="Arial" w:eastAsia="Arial" w:hAnsi="Arial"/>
            <w:sz w:val="18"/>
            <w:szCs w:val="18"/>
            <w:i w:val="1"/>
            <w:iCs w:val="1"/>
            <w:u w:val="single" w:color="auto"/>
            <w:color w:val="0000FF"/>
          </w:rPr>
          <w:t>Fair Value</w:t>
        </w:r>
      </w:hyperlink>
      <w:r>
        <w:rPr>
          <w:rFonts w:ascii="Arial" w:cs="Arial" w:eastAsia="Arial" w:hAnsi="Arial"/>
          <w:sz w:val="18"/>
          <w:szCs w:val="18"/>
          <w:color w:val="auto"/>
        </w:rPr>
        <w:t xml:space="preserve"> </w:t>
      </w:r>
      <w:hyperlink w:anchor="page15">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2021, we recorded an impairment charge of $2.2 million for one of the Company's cost investments.</w:t>
      </w:r>
    </w:p>
    <w:p>
      <w:pPr>
        <w:spacing w:after="0" w:line="264" w:lineRule="exact"/>
        <w:rPr>
          <w:sz w:val="20"/>
          <w:szCs w:val="20"/>
          <w:color w:val="auto"/>
        </w:rPr>
      </w:pPr>
    </w:p>
    <w:p>
      <w:pPr>
        <w:jc w:val="both"/>
        <w:ind w:right="3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During the three months ended March 31, 2021 and 2020, we recorded development income of $0.2 million and $0.2 million, respectively, related to a nonrefundable customer payment of $20.0 million received in June 2013 in return for the exclusive use of the SmartDose technology platform within a specific therapeutic area. Please refer to Note 3, </w:t>
      </w:r>
      <w:hyperlink w:anchor="page7">
        <w:r>
          <w:rPr>
            <w:rFonts w:ascii="Arial" w:cs="Arial" w:eastAsia="Arial" w:hAnsi="Arial"/>
            <w:sz w:val="18"/>
            <w:szCs w:val="18"/>
            <w:i w:val="1"/>
            <w:iCs w:val="1"/>
            <w:u w:val="single" w:color="auto"/>
            <w:color w:val="0000FF"/>
          </w:rPr>
          <w:t>Revenue</w:t>
        </w:r>
      </w:hyperlink>
      <w:r>
        <w:rPr>
          <w:rFonts w:ascii="Arial" w:cs="Arial" w:eastAsia="Arial" w:hAnsi="Arial"/>
          <w:sz w:val="18"/>
          <w:szCs w:val="18"/>
          <w:color w:val="auto"/>
        </w:rPr>
        <w:t>,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provision for income taxes was $28.7 million and $15.0 million for the three months ended March 31, 2021 and 2020, respectively, and the effective tax rate was 16.4% and 17.4%, respectively. During the three months ended March 31, 2021 and 2020, we recorded a tax benefit of $11.1 million and $5.1 million, respectively, associated with stock-based compensation, which contributed to the decline in the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22">
        <w:r>
          <w:rPr>
            <w:rFonts w:ascii="Arial" w:cs="Arial" w:eastAsia="Arial" w:hAnsi="Arial"/>
            <w:sz w:val="18"/>
            <w:szCs w:val="18"/>
            <w:u w:val="single" w:color="auto"/>
            <w:color w:val="0000FF"/>
          </w:rPr>
          <w:t>2020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reportable segments, reconciled to consolidated totals: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20" w:type="dxa"/>
            <w:vAlign w:val="bottom"/>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1420" w:type="dxa"/>
            <w:vAlign w:val="bottom"/>
          </w:tcPr>
          <w:p>
            <w:pPr>
              <w:spacing w:after="0"/>
              <w:rPr>
                <w:sz w:val="17"/>
                <w:szCs w:val="17"/>
                <w:color w:val="auto"/>
              </w:rPr>
            </w:pPr>
          </w:p>
        </w:tc>
      </w:tr>
      <w:tr>
        <w:trPr>
          <w:trHeight w:val="229"/>
        </w:trPr>
        <w:tc>
          <w:tcPr>
            <w:tcW w:w="6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20" w:type="dxa"/>
            <w:vAlign w:val="bottom"/>
            <w:gridSpan w:val="3"/>
          </w:tcPr>
          <w:p>
            <w:pPr>
              <w:jc w:val="right"/>
              <w:ind w:right="410"/>
              <w:spacing w:after="0"/>
              <w:rPr>
                <w:sz w:val="20"/>
                <w:szCs w:val="20"/>
                <w:color w:val="auto"/>
              </w:rPr>
            </w:pPr>
            <w:r>
              <w:rPr>
                <w:rFonts w:ascii="Arial" w:cs="Arial" w:eastAsia="Arial" w:hAnsi="Arial"/>
                <w:sz w:val="18"/>
                <w:szCs w:val="18"/>
                <w:color w:val="auto"/>
              </w:rPr>
              <w:t>March 31,</w:t>
            </w:r>
          </w:p>
        </w:tc>
        <w:tc>
          <w:tcPr>
            <w:tcW w:w="1420" w:type="dxa"/>
            <w:vAlign w:val="bottom"/>
          </w:tcPr>
          <w:p>
            <w:pPr>
              <w:spacing w:after="0"/>
              <w:rPr>
                <w:sz w:val="19"/>
                <w:szCs w:val="19"/>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 in millions)</w:t>
            </w: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2020</w:t>
            </w: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Proprietary Products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Contract-Manufactured Products</w:t>
            </w: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sales elimination</w:t>
            </w: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following table provides summarized financial information for our segments: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29"/>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19"/>
                <w:szCs w:val="19"/>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business segment operating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Corporate and Unallocated</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980" w:type="dxa"/>
            <w:vAlign w:val="bottom"/>
          </w:tcPr>
          <w:p>
            <w:pPr>
              <w:ind w:left="140"/>
              <w:spacing w:after="0" w:line="230" w:lineRule="exact"/>
              <w:rPr>
                <w:sz w:val="20"/>
                <w:szCs w:val="20"/>
                <w:color w:val="auto"/>
              </w:rPr>
            </w:pPr>
            <w:r>
              <w:rPr>
                <w:rFonts w:ascii="Arial" w:cs="Arial" w:eastAsia="Arial" w:hAnsi="Arial"/>
                <w:sz w:val="18"/>
                <w:szCs w:val="18"/>
                <w:color w:val="auto"/>
              </w:rPr>
              <w:t>Corporate general costs</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Items: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Restructuring and related charges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Amortization of Acquisition-related Intangible Assets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Cost investment impairment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Corporate and Unallocated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consolidated operating profit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6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40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recorded $0.2 million of amortization expense within operating profit associated with an intangible asset acquired during the second quarter of 2020.</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15, </w:t>
      </w:r>
      <w:hyperlink w:anchor="page21">
        <w:r>
          <w:rPr>
            <w:rFonts w:ascii="Arial" w:cs="Arial" w:eastAsia="Arial" w:hAnsi="Arial"/>
            <w:sz w:val="18"/>
            <w:szCs w:val="18"/>
            <w:u w:val="single" w:color="auto"/>
            <w:color w:val="0000FF"/>
          </w:rPr>
          <w:t>Other Expense (Income)</w:t>
        </w:r>
      </w:hyperlink>
      <w:r>
        <w:rPr>
          <w:rFonts w:ascii="Arial" w:cs="Arial" w:eastAsia="Arial" w:hAnsi="Arial"/>
          <w:sz w:val="18"/>
          <w:szCs w:val="18"/>
          <w:color w:val="auto"/>
        </w:rPr>
        <w:t>, for further discussion of certain unallocated items referenced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2020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2020 Annual Report and in Part II, Item 1A of this Form 10-Q.</w:t>
      </w:r>
    </w:p>
    <w:p>
      <w:pPr>
        <w:spacing w:after="0" w:line="2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2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Our production facilities continue to operate as they had prior to the COVID-19 pandemic, other than for enhanced safety measures intended to prevent the spread of the virus and higher levels of production at certain plant locations to meet additional customer demand. Our capital and financial resources, including overall liquidity, remain strong. The remote working arrangements and travel restrictions imposed by various governments had limited impact on our ability to maintain operations,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Performance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from U.S. GAAP to non-U.S. GAAP financial measures: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Quarter ended March 31, 2021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Cost investment impairment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55"/>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Quarter ended March 31, 2021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2021, we recorded a tax benefit of $11.1 million associated with stock-based compensation.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Income tax</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7"/>
                <w:szCs w:val="17"/>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0"/>
        </w:trPr>
        <w:tc>
          <w:tcPr>
            <w:tcW w:w="4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Quarter ended March 31, 2020 GAAP</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6"/>
        </w:trPr>
        <w:tc>
          <w:tcPr>
            <w:tcW w:w="46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Quarter ended March 31, 2020 adjusted amounts (non-U.S.</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GAAP)</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2020, we recorded a tax benefit of $5.1 million associated with stock-based compensation.</w:t>
      </w:r>
    </w:p>
    <w:p>
      <w:pPr>
        <w:spacing w:after="0" w:line="252" w:lineRule="exact"/>
        <w:rPr>
          <w:sz w:val="20"/>
          <w:szCs w:val="20"/>
          <w:color w:val="auto"/>
        </w:rPr>
      </w:pPr>
    </w:p>
    <w:p>
      <w:pPr>
        <w:ind w:left="660" w:right="100" w:hanging="328"/>
        <w:spacing w:after="0" w:line="277"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The Company recorded a pension settlement charge within other nonoperating (income) expense, as it determined that normal-course lump-sum payments for our U.S. qualified defined benefit pension plan exceeded the threshold for settlement accounting.</w:t>
      </w:r>
    </w:p>
    <w:p>
      <w:pPr>
        <w:spacing w:after="0" w:line="197" w:lineRule="exact"/>
        <w:rPr>
          <w:rFonts w:ascii="Arial" w:cs="Arial" w:eastAsia="Arial" w:hAnsi="Arial"/>
          <w:sz w:val="18"/>
          <w:szCs w:val="18"/>
          <w:color w:val="252525"/>
        </w:rPr>
      </w:pPr>
    </w:p>
    <w:p>
      <w:pPr>
        <w:ind w:left="660" w:hanging="328"/>
        <w:spacing w:after="0" w:line="259" w:lineRule="auto"/>
        <w:tabs>
          <w:tab w:leader="none" w:pos="654"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During the three months ended March 31, 2021, the Company recorded $0.2 million of amortization expense within operating profit associated with an intangible asset acquired during the second quarter of 2020. During the three months ended March 31, 2021 and 2020 the Company recorded $0.5 million and $1.0 million of amortization expense, respectively, in association with an acquisition of increased ownership interest in Daikyo.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26" w:name="page27"/>
    <w:bookmarkEnd w:id="26"/>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March 31, 2021 and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440"/>
              <w:spacing w:after="0"/>
              <w:rPr>
                <w:sz w:val="20"/>
                <w:szCs w:val="20"/>
                <w:color w:val="auto"/>
              </w:rPr>
            </w:pPr>
            <w:r>
              <w:rPr>
                <w:rFonts w:ascii="Arial" w:cs="Arial" w:eastAsia="Arial" w:hAnsi="Arial"/>
                <w:sz w:val="18"/>
                <w:szCs w:val="18"/>
                <w:color w:val="auto"/>
              </w:rPr>
              <w:t>Three Months Ended</w:t>
            </w:r>
          </w:p>
        </w:tc>
        <w:tc>
          <w:tcPr>
            <w:tcW w:w="3340" w:type="dxa"/>
            <w:vAlign w:val="bottom"/>
            <w:gridSpan w:val="3"/>
            <w:vMerge w:val="restart"/>
          </w:tcPr>
          <w:p>
            <w:pPr>
              <w:jc w:val="right"/>
              <w:ind w:right="89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34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Pr>
          <w:p>
            <w:pPr>
              <w:spacing w:after="0"/>
              <w:rPr>
                <w:sz w:val="19"/>
                <w:szCs w:val="19"/>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740" w:type="dxa"/>
            <w:vAlign w:val="bottom"/>
            <w:gridSpan w:val="2"/>
          </w:tcPr>
          <w:p>
            <w:pPr>
              <w:ind w:left="340"/>
              <w:spacing w:after="0"/>
              <w:rPr>
                <w:sz w:val="20"/>
                <w:szCs w:val="20"/>
                <w:color w:val="auto"/>
              </w:rPr>
            </w:pPr>
            <w:r>
              <w:rPr>
                <w:rFonts w:ascii="Arial" w:cs="Arial" w:eastAsia="Arial" w:hAnsi="Arial"/>
                <w:sz w:val="18"/>
                <w:szCs w:val="18"/>
                <w:color w:val="auto"/>
              </w:rPr>
              <w:t>As-Reported</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36.5 %</w:t>
            </w:r>
          </w:p>
        </w:tc>
        <w:tc>
          <w:tcPr>
            <w:tcW w:w="1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Consolidated net sales increased by $179.2 million, or 36.5%, for the three months ended March 31, 2021, as compared to the same period in 2020, including a favorable foreign currency translation impact of $26.5 million. Excluding foreign currency translation effects, consolidated net sales for the three months ended March 31, 2021 increased by $152.7 million, or 31.1%, as compared to the same period in 2020.</w:t>
      </w:r>
    </w:p>
    <w:p>
      <w:pPr>
        <w:spacing w:after="0" w:line="188"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increased by $170.2 million, or 45.6%, for the three months ended March 31,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including a favorable foreign currency translation impact of $22.2 million. Excluding foreign currency translation effects, net sales for the three months ended March 31, 2021 increased by $148.0 million, or 39.6%, as compared to the same period in 2020, primarily due to growth in our high-value product offerings, including our FluroTec</w:t>
      </w:r>
      <w:r>
        <w:rPr>
          <w:rFonts w:ascii="Arial" w:cs="Arial" w:eastAsia="Arial" w:hAnsi="Arial"/>
          <w:sz w:val="23"/>
          <w:szCs w:val="23"/>
          <w:color w:val="auto"/>
          <w:vertAlign w:val="superscript"/>
        </w:rPr>
        <w:t>®</w:t>
      </w:r>
      <w:r>
        <w:rPr>
          <w:rFonts w:ascii="Arial" w:cs="Arial" w:eastAsia="Arial" w:hAnsi="Arial"/>
          <w:sz w:val="18"/>
          <w:szCs w:val="18"/>
          <w:color w:val="auto"/>
        </w:rPr>
        <w:t>-coated components, Daikyo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Novapure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film-components, and Westar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components, which included approximately $102.9 million in COVID-19 related activity for vaccines, antiviral treatments and treatment of underlying COVID-19 symptoms.</w:t>
      </w:r>
    </w:p>
    <w:p>
      <w:pPr>
        <w:spacing w:after="0" w:line="2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$9.0 million, or 7.6%,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compared to the same period in 2020, including a favorable foreign currency translation impact of $4.3 million. Excluding foreign currency translation effects, net sales for the three months ended March 31, 2021 increased by $4.7 million, or 4.0%, as compared to the same period in 2020, due to an increase in the sale of healthcare-related injection and diagnostic devices.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8340" w:type="dxa"/>
            <w:vAlign w:val="bottom"/>
            <w:gridSpan w:val="2"/>
          </w:tcPr>
          <w:p>
            <w:pPr>
              <w:spacing w:after="0"/>
              <w:rPr>
                <w:sz w:val="20"/>
                <w:szCs w:val="20"/>
                <w:color w:val="auto"/>
              </w:rPr>
            </w:pPr>
            <w:r>
              <w:rPr>
                <w:rFonts w:ascii="Arial" w:cs="Arial" w:eastAsia="Arial" w:hAnsi="Arial"/>
                <w:sz w:val="18"/>
                <w:szCs w:val="18"/>
                <w:color w:val="auto"/>
                <w:w w:val="91"/>
              </w:rPr>
              <w:t>The following table presents gross profit and related gross profit margins, consolidated and by reportable segment: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6"/>
        </w:trPr>
        <w:tc>
          <w:tcPr>
            <w:tcW w:w="7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00" w:type="dxa"/>
            <w:vAlign w:val="bottom"/>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29"/>
        </w:trPr>
        <w:tc>
          <w:tcPr>
            <w:tcW w:w="77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March 31,</w:t>
            </w:r>
          </w:p>
        </w:tc>
        <w:tc>
          <w:tcPr>
            <w:tcW w:w="1200" w:type="dxa"/>
            <w:vAlign w:val="bottom"/>
            <w:tcBorders>
              <w:bottom w:val="single" w:sz="8" w:color="auto"/>
            </w:tcBorders>
          </w:tcPr>
          <w:p>
            <w:pPr>
              <w:spacing w:after="0"/>
              <w:rPr>
                <w:sz w:val="19"/>
                <w:szCs w:val="19"/>
                <w:color w:val="auto"/>
              </w:rPr>
            </w:pPr>
          </w:p>
        </w:tc>
      </w:tr>
      <w:tr>
        <w:trPr>
          <w:trHeight w:val="22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2021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7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150.1</w:t>
            </w:r>
          </w:p>
        </w:tc>
      </w:tr>
      <w:tr>
        <w:trPr>
          <w:trHeight w:val="230"/>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r>
      <w:tr>
        <w:trPr>
          <w:trHeight w:val="230"/>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 margin</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167.0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Arial" w:cs="Arial" w:eastAsia="Arial" w:hAnsi="Arial"/>
                <w:sz w:val="18"/>
                <w:szCs w:val="18"/>
                <w:color w:val="auto"/>
              </w:rPr>
              <w:t>Consolidated gross profit margin</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34.0 %</w:t>
            </w:r>
          </w:p>
        </w:tc>
      </w:tr>
      <w:tr>
        <w:trPr>
          <w:trHeight w:val="21"/>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Consolidated gross profit increased by $104.9 million, or 62.8%, for the three months ended March 31, 2021, as compared to the same period in 2020, including a favorable foreign currency translation impact of $10.7 million for the three months ended March 31, 2021, as compared to the same period in 2020. Consolidated gross profit margin increased by 6.5 margin points for the three months ended March 31, 2021, as compared to the same period in 2020.</w:t>
      </w: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gross profit increased by $101.8 million, or 67.8%, for the three months ended March 31, 2021,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2020, including a favorable foreign currency translation impact of $9.9 million. Proprietary Products gross profit margin increased by 6.1 margin points for the three months ended March 31, 2021, as compared to the same periods in 2020, due to a favorable mix of products sold, inclusive of $11.8 million in fees associated with certain cancelled COVID-19 supply agreements, sales price increases and production efficiencies, partially offset by increased overhead costs including compensation costs.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gross profit increased by $3.1 million, or 18.3%, for the three months ended</w:t>
      </w:r>
    </w:p>
    <w:p>
      <w:pPr>
        <w:spacing w:after="0" w:line="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March 31, 2021, as compared to the same period in 2020, including a favorable foreign currency translation impact of $0.8 million. Contract-Manufactured Products gross profit margin increased by 1.4 margin points for the three months ended March 31, 2021, as compared to the same period in 2020, due to production efficiencies, partially offset by increased overhead costs including compensation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Research and Development (“R&amp;D”)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R&amp;D costs, consolidated and by reportable segment: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Consolidated R&amp;D costs increased by $1.5 million, or 14.0%, for the three months ended March 31, 2021, as compared to the same period in 2020. Efforts remain focused on the continued investment in self-injection systems development, fluid transfer admixture devices, elastomeric packaging components, and formulation development.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months ended March 31, 2021 and 2020 related to Proprietary Products.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(“SG&amp;A”) Costs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7760" w:type="dxa"/>
            <w:vAlign w:val="bottom"/>
          </w:tcPr>
          <w:p>
            <w:pPr>
              <w:spacing w:after="0"/>
              <w:rPr>
                <w:sz w:val="20"/>
                <w:szCs w:val="20"/>
                <w:color w:val="auto"/>
              </w:rPr>
            </w:pPr>
            <w:r>
              <w:rPr>
                <w:rFonts w:ascii="Arial" w:cs="Arial" w:eastAsia="Arial" w:hAnsi="Arial"/>
                <w:sz w:val="18"/>
                <w:szCs w:val="18"/>
                <w:color w:val="auto"/>
                <w:w w:val="99"/>
              </w:rPr>
              <w:t>The following table presents SG&amp;A costs, consolidated and by reportable segment and corporate:</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45"/>
        </w:trPr>
        <w:tc>
          <w:tcPr>
            <w:tcW w:w="7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4"/>
          </w:tcPr>
          <w:p>
            <w:pPr>
              <w:jc w:val="right"/>
              <w:ind w:right="890"/>
              <w:spacing w:after="0"/>
              <w:rPr>
                <w:sz w:val="20"/>
                <w:szCs w:val="20"/>
                <w:color w:val="auto"/>
              </w:rPr>
            </w:pPr>
            <w:r>
              <w:rPr>
                <w:rFonts w:ascii="Arial" w:cs="Arial" w:eastAsia="Arial" w:hAnsi="Arial"/>
                <w:sz w:val="18"/>
                <w:szCs w:val="18"/>
                <w:color w:val="auto"/>
              </w:rPr>
              <w:t>Three Months Ended</w:t>
            </w:r>
          </w:p>
        </w:tc>
      </w:tr>
      <w:tr>
        <w:trPr>
          <w:trHeight w:val="230"/>
        </w:trPr>
        <w:tc>
          <w:tcPr>
            <w:tcW w:w="7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March 31,</w:t>
            </w:r>
          </w:p>
        </w:tc>
        <w:tc>
          <w:tcPr>
            <w:tcW w:w="1200" w:type="dxa"/>
            <w:vAlign w:val="bottom"/>
            <w:tcBorders>
              <w:bottom w:val="single" w:sz="8" w:color="auto"/>
            </w:tcBorders>
          </w:tcPr>
          <w:p>
            <w:pPr>
              <w:spacing w:after="0"/>
              <w:rPr>
                <w:sz w:val="19"/>
                <w:szCs w:val="19"/>
                <w:color w:val="auto"/>
              </w:rPr>
            </w:pPr>
          </w:p>
        </w:tc>
      </w:tr>
      <w:tr>
        <w:trPr>
          <w:trHeight w:val="22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49.9</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4.0</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71.8</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net sales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SG&amp;A costs increased by $8.4 million, or 11.7%, for the three months ended March 31, 2021, as compared to the same period in 2020, due to an increase in compensation costs and an unfavorable foreign currency translation impact of $1.8 million.</w:t>
      </w:r>
    </w:p>
    <w:p>
      <w:pPr>
        <w:spacing w:after="0" w:line="19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SG&amp;A costs increased by $6.6 million, or 13.2%, for the three months ended March 31,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Proprietary Products SG&amp;A costs increased primarily due to an increase in compensation costs and an unfavorable foreign currency translation impact of $1.8 million.</w:t>
      </w:r>
    </w:p>
    <w:p>
      <w:pPr>
        <w:spacing w:after="0" w:line="20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decreased by $0.3 million, or 7.5%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2021, as compared to the same period in 2020.</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SG&amp;A costs increased by $2.1 million, or 11.7%, for the three months ended March 31, 2021, as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2020, primarily due to an increase in compensation costs offset by a decrease in professional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expense and income items, consolidated and by reportable segment, corporate and unallocated items: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Expense (Income)</w:t>
            </w:r>
          </w:p>
        </w:tc>
        <w:tc>
          <w:tcPr>
            <w:tcW w:w="360" w:type="dxa"/>
            <w:vAlign w:val="bottom"/>
          </w:tcPr>
          <w:p>
            <w:pPr>
              <w:spacing w:after="0"/>
              <w:rPr>
                <w:sz w:val="18"/>
                <w:szCs w:val="18"/>
                <w:color w:val="auto"/>
              </w:rPr>
            </w:pPr>
          </w:p>
        </w:tc>
        <w:tc>
          <w:tcPr>
            <w:tcW w:w="2900" w:type="dxa"/>
            <w:vAlign w:val="bottom"/>
            <w:gridSpan w:val="4"/>
          </w:tcPr>
          <w:p>
            <w:pPr>
              <w:ind w:left="5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798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7"/>
              </w:rPr>
              <w:t>(3.7)</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19"/>
                <w:szCs w:val="19"/>
                <w:color w:val="auto"/>
              </w:rPr>
            </w:pPr>
          </w:p>
        </w:tc>
        <w:tc>
          <w:tcPr>
            <w:tcW w:w="1220" w:type="dxa"/>
            <w:vAlign w:val="bottom"/>
          </w:tcPr>
          <w:p>
            <w:pPr>
              <w:ind w:left="84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center"/>
              <w:ind w:left="63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Other income and expense items, consisting of foreign exchange transaction gains and losses, gains and losses on the sale of fixed assets, development and licensing income, contingent consideration, fixed asset impairments and miscellaneous income and charges, are generally recorded within segment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Consolidated other expense (income) changed by $7.4 million for the three months ended March 31, 2021, as compared to the same period in 2020, due to the factors described below.</w:t>
      </w:r>
    </w:p>
    <w:p>
      <w:pPr>
        <w:spacing w:after="0" w:line="193"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other expense (income) changed by $4.3 million for the three months ended March 31,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primarily due to a reduction of losses on hedge activity partially offset by an increase in the SmartDose contingent consideration charge.</w:t>
      </w:r>
    </w:p>
    <w:p>
      <w:pPr>
        <w:spacing w:after="0" w:line="203"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$0.2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2021, as compared to the same period in 2020.</w:t>
      </w:r>
    </w:p>
    <w:p>
      <w:pPr>
        <w:spacing w:after="0" w:line="18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and unallocated items changed by $3.3 million for the three months ended March 31, 2021,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periods in 2020 primarily due to the $2.2 million cost investment impairment charge.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adjusted operating profit, consolidated and by reportable segment, corporate and unallocated items:</w:t>
      </w:r>
    </w:p>
    <w:p>
      <w:pPr>
        <w:spacing w:after="0" w:line="34" w:lineRule="exact"/>
        <w:rPr>
          <w:sz w:val="20"/>
          <w:szCs w:val="20"/>
          <w:color w:val="auto"/>
        </w:rPr>
      </w:pPr>
    </w:p>
    <w:p>
      <w:pPr>
        <w:jc w:val="center"/>
        <w:ind w:left="7720"/>
        <w:spacing w:after="0"/>
        <w:rPr>
          <w:sz w:val="20"/>
          <w:szCs w:val="20"/>
          <w:color w:val="auto"/>
        </w:rPr>
      </w:pPr>
      <w:r>
        <w:rPr>
          <w:rFonts w:ascii="Arial" w:cs="Arial" w:eastAsia="Arial" w:hAnsi="Arial"/>
          <w:sz w:val="18"/>
          <w:szCs w:val="18"/>
          <w:color w:val="auto"/>
        </w:rPr>
        <w:t>Three Months Ended</w:t>
      </w:r>
    </w:p>
    <w:p>
      <w:pPr>
        <w:jc w:val="center"/>
        <w:ind w:left="772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40" w:type="dxa"/>
            <w:vAlign w:val="bottom"/>
          </w:tcPr>
          <w:p>
            <w:pPr>
              <w:ind w:left="20"/>
              <w:spacing w:after="0" w:line="203" w:lineRule="exact"/>
              <w:rPr>
                <w:sz w:val="20"/>
                <w:szCs w:val="20"/>
                <w:color w:val="auto"/>
              </w:rPr>
            </w:pPr>
            <w:r>
              <w:rPr>
                <w:rFonts w:ascii="Arial" w:cs="Arial" w:eastAsia="Arial" w:hAnsi="Arial"/>
                <w:sz w:val="18"/>
                <w:szCs w:val="18"/>
                <w:color w:val="auto"/>
              </w:rPr>
              <w:t>Consolidated operating profit margin</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Consolidated operating profit increased by $87.6 million, or 99.5%, for the three months ended March 31, 2021, as compared to the same period in 2020, including a favorable foreign currency translation impact of $8.5 million for the three months ended March 31, 2021, as compared to the same period in 2020.</w:t>
      </w:r>
    </w:p>
    <w:p>
      <w:pPr>
        <w:spacing w:after="0" w:line="20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increased by $89.4 million, or 95.9%, for the three months ended March 31,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including a favorable foreign currency translation impact of $7.9 million, due to the factors described above, most notably the sales increase in our high-value product offerings, inclusive of COVID-19 related activity.</w:t>
      </w:r>
    </w:p>
    <w:p>
      <w:pPr>
        <w:spacing w:after="0" w:line="203"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$3.6 million, or 28.1%,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2021, as compared to the same period in 2020, including a favorable foreign currency translation impact of $0.6 million, due to the factors described above, most notably the product efficiencies.</w:t>
      </w:r>
    </w:p>
    <w:p>
      <w:pPr>
        <w:spacing w:after="0" w:line="20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color w:val="auto"/>
        </w:rPr>
        <w:t>Corporate costs increased by $1.8 million, or 10.0%, for the three months ended March 31, 2021, as compared to the same period in 2020,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factors described above.</w:t>
      </w:r>
    </w:p>
    <w:p>
      <w:pPr>
        <w:spacing w:after="0" w:line="189"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Unallocated items –</w:t>
      </w:r>
      <w:r>
        <w:rPr>
          <w:rFonts w:ascii="Arial" w:cs="Arial" w:eastAsia="Arial" w:hAnsi="Arial"/>
          <w:sz w:val="18"/>
          <w:szCs w:val="18"/>
          <w:color w:val="auto"/>
        </w:rPr>
        <w:t>Other unallocated items during the three months ended March 31, 2021 consisted of $1.2 million in restructuring and related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 $2.2 million impairment charge related to one of our cost investments, and $0.2 million of amortization expense associated with an acquisition of an intangible asset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interest expense, net, by significant component: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Borders>
              <w:bottom w:val="single" w:sz="8" w:color="auto"/>
            </w:tcBorders>
          </w:tcPr>
          <w:p>
            <w:pPr>
              <w:spacing w:after="0"/>
              <w:rPr>
                <w:sz w:val="19"/>
                <w:szCs w:val="19"/>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7"/>
              </w:rPr>
              <w:t>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2.4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360" w:type="dxa"/>
            <w:vAlign w:val="bottom"/>
          </w:tcPr>
          <w:p>
            <w:pPr>
              <w:spacing w:after="0"/>
              <w:rPr>
                <w:sz w:val="19"/>
                <w:szCs w:val="19"/>
                <w:color w:val="auto"/>
              </w:rPr>
            </w:pPr>
          </w:p>
        </w:tc>
        <w:tc>
          <w:tcPr>
            <w:tcW w:w="1220" w:type="dxa"/>
            <w:vAlign w:val="bottom"/>
          </w:tcPr>
          <w:p>
            <w:pPr>
              <w:jc w:val="center"/>
              <w:ind w:left="710"/>
              <w:spacing w:after="0"/>
              <w:rPr>
                <w:sz w:val="20"/>
                <w:szCs w:val="20"/>
                <w:color w:val="auto"/>
              </w:rPr>
            </w:pPr>
            <w:r>
              <w:rPr>
                <w:rFonts w:ascii="Arial" w:cs="Arial" w:eastAsia="Arial" w:hAnsi="Arial"/>
                <w:sz w:val="18"/>
                <w:szCs w:val="18"/>
                <w:color w:val="auto"/>
                <w:w w:val="91"/>
              </w:rPr>
              <w:t>(0.5)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center"/>
              <w:ind w:left="610"/>
              <w:spacing w:after="0"/>
              <w:rPr>
                <w:sz w:val="20"/>
                <w:szCs w:val="20"/>
                <w:color w:val="auto"/>
              </w:rPr>
            </w:pPr>
            <w:r>
              <w:rPr>
                <w:rFonts w:ascii="Arial" w:cs="Arial" w:eastAsia="Arial" w:hAnsi="Arial"/>
                <w:sz w:val="18"/>
                <w:szCs w:val="18"/>
                <w:color w:val="auto"/>
                <w:w w:val="97"/>
              </w:rPr>
              <w:t>(0.4)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91"/>
              </w:rPr>
              <w:t>(0.1)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7"/>
              </w:rPr>
              <w:t>(0.8)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7"/>
              </w:rPr>
              <w:t>1.8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7"/>
              </w:rPr>
              <w:t>1.2</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net, increased by $0.6 million, or 50.0%, for the three months ended March 31, 2021, as compared to the same period in 2020, primarily due to a decrease in interest income during the three months ended March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5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Other nonoperating (income) expense changed by $1.4 million for the three months ended March 31, 2021, as compared to the same period in 2020, primarily due to a decrease in pension settlement charges of $0.8 million. In the current year and prior year, we determined that normal-course lump-sum payments for our U.S. qualified defined benefit pension plan exceeded the threshold for settlement accounting under U.S. GAAP for the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The provision for income taxes was $28.7 million and $15.0 million for the three months ended March 31, 2021 and 2020, respectively, and the effective tax rate was 16.4% and 17.4%, respectively. The decrease in the effective tax rate is primarily due to an increase in stock-based compensation deductions for the three months ended March 31, 2021 as compared to the same period in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Equity in net income of affiliated companies increased by $2.2 million for the three months ended March 31, 2021, as compared to the same period in 2020, due to favorable operating results at Daikyo and the Mexico affiliates and a decrease in amortization expense of $0.5 million related to our increase in ownership interest in Daikyo acquired in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three months ended March 31:</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9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increased by $31.6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as compared to the same period in 2020, primarily due to improved operating results.</w:t>
      </w:r>
    </w:p>
    <w:p>
      <w:pPr>
        <w:spacing w:after="0" w:line="18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Net Cash Used in Investing Activities – </w:t>
      </w:r>
      <w:r>
        <w:rPr>
          <w:rFonts w:ascii="Arial" w:cs="Arial" w:eastAsia="Arial" w:hAnsi="Arial"/>
          <w:sz w:val="18"/>
          <w:szCs w:val="18"/>
          <w:color w:val="auto"/>
        </w:rPr>
        <w:t>Net cash used in investing activities increased by $22.6 million for the three months ended March 31,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primarily due to an increase in capital expenditures in 2021.</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Net Cash Used in Financing Activities – </w:t>
      </w:r>
      <w:r>
        <w:rPr>
          <w:rFonts w:ascii="Arial" w:cs="Arial" w:eastAsia="Arial" w:hAnsi="Arial"/>
          <w:sz w:val="18"/>
          <w:szCs w:val="18"/>
          <w:color w:val="auto"/>
        </w:rPr>
        <w:t>Net cash used in financing activities increased by $36.1 million for the three months ended March 31, 2021,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2020, primarily due to increases in purchases under our share repurchase programs.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1,829.0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1,854.5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Our cash and cash equivalents balance at March 31, 2021 consisted of cash held in depository accounts with banks around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 and cash invested in high-quality, short-term investments. The cash and cash equivalents balance at March 31, 2021 included $188.2 million of cash held by subsidiaries within the U.S., and $295.5 million of cash held by subsidiaries outside of the U.S. During the three months ended March 31, 2021, we purchased 479,000 shares of our common stock under our calendar-year 2021 share repurchase program at a cost of $137.1 million, or an average price of $286.23 per share.</w:t>
      </w:r>
    </w:p>
    <w:p>
      <w:pPr>
        <w:spacing w:after="0" w:line="21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March 31, 2021 decreased by $26.1 million, or 3.0%, as compared to December 31, 2020, which includes an</w:t>
      </w:r>
      <w:r>
        <w:rPr>
          <w:rFonts w:ascii="Arial" w:cs="Arial" w:eastAsia="Arial" w:hAnsi="Arial"/>
          <w:sz w:val="18"/>
          <w:szCs w:val="18"/>
          <w:b w:val="1"/>
          <w:bCs w:val="1"/>
          <w:color w:val="auto"/>
        </w:rPr>
        <w:t xml:space="preserve"> </w:t>
      </w:r>
      <w:r>
        <w:rPr>
          <w:rFonts w:ascii="Arial" w:cs="Arial" w:eastAsia="Arial" w:hAnsi="Arial"/>
          <w:sz w:val="18"/>
          <w:szCs w:val="18"/>
          <w:color w:val="auto"/>
        </w:rPr>
        <w:t>unfavorable foreign currency translation impact of $11.6 million. Excluding the impact of currency exchange rates, cash and cash equivalents, inventories and total current liabilities decreased by $122.2 million, $3.6 million and $10.1 million, respectively, while accounts receivable increased by $90.0 million. The increase in accounts receivable was due to increased sales activity.</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$0.6 million decrease in total debt at March 31, 2021, as compared to December 31, 2020,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19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sources of liquidity include our Credit Facility. At March 31, 2021, we had no outstanding borrowings under the Credit Facility. At March 31, 2021, the borrowing capacity available under the Credit Facility, including outstanding letters of credit of $2.5 million, was $297.5 million. We do not expect any significant limitations on our ability to access this source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March 31, 2021, we were in compliance with all of our debt covenants.</w:t>
      </w:r>
    </w:p>
    <w:p>
      <w:pPr>
        <w:spacing w:after="0" w:line="21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2020 Annual Report. During the three months ended March 31, 2021,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2021, we had no off-balance sheet financing arrangements other than unconditional purchase obligations incurred in the ordinary course of business and outstanding letters of credit related to various insurance programs, as noted in our 2020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1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information on new accounting standards that were issued but not yet adopted, during the three months ended March 31, 2021, and the impact, if any, on our financial position or results of operations, see Note 2, </w:t>
      </w:r>
      <w:hyperlink w:anchor="page7">
        <w:r>
          <w:rPr>
            <w:rFonts w:ascii="Arial" w:cs="Arial" w:eastAsia="Arial" w:hAnsi="Arial"/>
            <w:sz w:val="18"/>
            <w:szCs w:val="18"/>
            <w:i w:val="1"/>
            <w:iCs w:val="1"/>
            <w:u w:val="single" w:color="auto"/>
            <w:color w:val="0000FF"/>
          </w:rPr>
          <w:t>New Accounting Standards</w:t>
        </w:r>
      </w:hyperlink>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2020 Annual Report as well as Part II, section 1A of this quarterly report.</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2020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2021,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During the quarter ended March 31, 2021,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to the risk factors disclosed in Part I, Item 1A of our 2020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information with respect to purchases of our common stock made during the three months ended March 31, 2021 by us or any of our “affiliated purchasers” as defined in Rule 10b-18(a)(3) under the Exchange Act: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Total number of shares</w:t>
            </w:r>
          </w:p>
        </w:tc>
        <w:tc>
          <w:tcPr>
            <w:tcW w:w="2180" w:type="dxa"/>
            <w:vAlign w:val="bottom"/>
          </w:tcPr>
          <w:p>
            <w:pPr>
              <w:jc w:val="right"/>
              <w:spacing w:after="0"/>
              <w:rPr>
                <w:sz w:val="20"/>
                <w:szCs w:val="20"/>
                <w:color w:val="auto"/>
              </w:rPr>
            </w:pPr>
            <w:r>
              <w:rPr>
                <w:rFonts w:ascii="Arial" w:cs="Arial" w:eastAsia="Arial" w:hAnsi="Arial"/>
                <w:sz w:val="18"/>
                <w:szCs w:val="18"/>
                <w:color w:val="auto"/>
                <w:w w:val="94"/>
              </w:rPr>
              <w:t>Maximum number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Total number of shares</w:t>
            </w:r>
          </w:p>
        </w:tc>
        <w:tc>
          <w:tcPr>
            <w:tcW w:w="2260" w:type="dxa"/>
            <w:vAlign w:val="bottom"/>
            <w:gridSpan w:val="3"/>
            <w:vMerge w:val="restart"/>
          </w:tcPr>
          <w:p>
            <w:pPr>
              <w:ind w:left="60"/>
              <w:spacing w:after="0"/>
              <w:rPr>
                <w:sz w:val="20"/>
                <w:szCs w:val="20"/>
                <w:color w:val="auto"/>
              </w:rPr>
            </w:pPr>
            <w:r>
              <w:rPr>
                <w:rFonts w:ascii="Arial" w:cs="Arial" w:eastAsia="Arial" w:hAnsi="Arial"/>
                <w:sz w:val="18"/>
                <w:szCs w:val="18"/>
                <w:color w:val="auto"/>
                <w:w w:val="94"/>
              </w:rPr>
              <w:t>Average price paid per share</w:t>
            </w: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0"/>
              </w:rPr>
              <w:t>purchased as part of publicly</w:t>
            </w:r>
          </w:p>
        </w:tc>
        <w:tc>
          <w:tcPr>
            <w:tcW w:w="218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5"/>
              </w:rPr>
              <w:t>that may yet be purchased</w:t>
            </w:r>
          </w:p>
        </w:tc>
        <w:tc>
          <w:tcPr>
            <w:tcW w:w="0" w:type="dxa"/>
            <w:vAlign w:val="bottom"/>
          </w:tcPr>
          <w:p>
            <w:pPr>
              <w:spacing w:after="0"/>
              <w:rPr>
                <w:sz w:val="1"/>
                <w:szCs w:val="1"/>
                <w:color w:val="auto"/>
              </w:rPr>
            </w:pPr>
          </w:p>
        </w:tc>
      </w:tr>
      <w:tr>
        <w:trPr>
          <w:trHeight w:val="176"/>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Period</w:t>
            </w:r>
          </w:p>
        </w:tc>
        <w:tc>
          <w:tcPr>
            <w:tcW w:w="2280" w:type="dxa"/>
            <w:vAlign w:val="bottom"/>
            <w:gridSpan w:val="2"/>
            <w:vMerge w:val="continue"/>
          </w:tcPr>
          <w:p>
            <w:pPr>
              <w:spacing w:after="0"/>
              <w:rPr>
                <w:sz w:val="15"/>
                <w:szCs w:val="15"/>
                <w:color w:val="auto"/>
              </w:rPr>
            </w:pPr>
          </w:p>
        </w:tc>
        <w:tc>
          <w:tcPr>
            <w:tcW w:w="2260" w:type="dxa"/>
            <w:vAlign w:val="bottom"/>
            <w:gridSpan w:val="3"/>
            <w:vMerge w:val="continue"/>
          </w:tcPr>
          <w:p>
            <w:pPr>
              <w:spacing w:after="0"/>
              <w:rPr>
                <w:sz w:val="15"/>
                <w:szCs w:val="15"/>
                <w:color w:val="auto"/>
              </w:rPr>
            </w:pP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announced plans or programs</w:t>
            </w:r>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w w:val="91"/>
              </w:rPr>
              <w:t>under the plans or programs</w:t>
            </w:r>
          </w:p>
        </w:tc>
        <w:tc>
          <w:tcPr>
            <w:tcW w:w="0" w:type="dxa"/>
            <w:vAlign w:val="bottom"/>
          </w:tcPr>
          <w:p>
            <w:pPr>
              <w:spacing w:after="0"/>
              <w:rPr>
                <w:sz w:val="1"/>
                <w:szCs w:val="1"/>
                <w:color w:val="auto"/>
              </w:rPr>
            </w:pPr>
          </w:p>
        </w:tc>
      </w:tr>
      <w:tr>
        <w:trPr>
          <w:trHeight w:val="229"/>
        </w:trPr>
        <w:tc>
          <w:tcPr>
            <w:tcW w:w="2240" w:type="dxa"/>
            <w:vAlign w:val="bottom"/>
            <w:gridSpan w:val="2"/>
            <w:vMerge w:val="continue"/>
          </w:tcPr>
          <w:p>
            <w:pPr>
              <w:spacing w:after="0"/>
              <w:rPr>
                <w:sz w:val="19"/>
                <w:szCs w:val="19"/>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purchased (1)</w:t>
            </w:r>
          </w:p>
        </w:tc>
        <w:tc>
          <w:tcPr>
            <w:tcW w:w="540" w:type="dxa"/>
            <w:vAlign w:val="bottom"/>
          </w:tcPr>
          <w:p>
            <w:pPr>
              <w:spacing w:after="0"/>
              <w:rPr>
                <w:sz w:val="19"/>
                <w:szCs w:val="19"/>
                <w:color w:val="auto"/>
              </w:rPr>
            </w:pPr>
          </w:p>
        </w:tc>
        <w:tc>
          <w:tcPr>
            <w:tcW w:w="1640" w:type="dxa"/>
            <w:vAlign w:val="bottom"/>
          </w:tcPr>
          <w:p>
            <w:pPr>
              <w:jc w:val="right"/>
              <w:ind w:right="9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2180" w:type="dxa"/>
            <w:vAlign w:val="bottom"/>
          </w:tcPr>
          <w:p>
            <w:pPr>
              <w:jc w:val="right"/>
              <w:ind w:right="8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1 - 31, 2021</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w:t>
            </w:r>
          </w:p>
        </w:tc>
        <w:tc>
          <w:tcPr>
            <w:tcW w:w="8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65,891</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565,109</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February 1 - 28, 2021</w:t>
            </w:r>
          </w:p>
        </w:tc>
        <w:tc>
          <w:tcPr>
            <w:tcW w:w="2180" w:type="dxa"/>
            <w:vAlign w:val="bottom"/>
          </w:tcPr>
          <w:p>
            <w:pPr>
              <w:jc w:val="right"/>
              <w:spacing w:after="0"/>
              <w:rPr>
                <w:sz w:val="20"/>
                <w:szCs w:val="20"/>
                <w:color w:val="auto"/>
              </w:rPr>
            </w:pPr>
            <w:r>
              <w:rPr>
                <w:rFonts w:ascii="Arial" w:cs="Arial" w:eastAsia="Arial" w:hAnsi="Arial"/>
                <w:sz w:val="18"/>
                <w:szCs w:val="18"/>
                <w:color w:val="auto"/>
              </w:rPr>
              <w:t>313,109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292.49</w:t>
            </w:r>
          </w:p>
        </w:tc>
        <w:tc>
          <w:tcPr>
            <w:tcW w:w="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313,109</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1 - 31, 2021</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80" w:type="dxa"/>
            <w:vAlign w:val="bottom"/>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2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479,000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286.23</w:t>
            </w:r>
          </w:p>
        </w:tc>
        <w:tc>
          <w:tcPr>
            <w:tcW w:w="8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479,000</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152,000</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340" w:right="340" w:hanging="332"/>
        <w:spacing w:after="0" w:line="259"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2020, we announced a share repurchase program for calendar-year 2021 authorizing the repurchase of up to 631,000 shares of our common stock from time to time on the open market or in privately-negotiated transactions as permitted under Exchange Act Rule 10b-18. The number of shares to be repurchased and the timing of such transactions will depend on a variety of factors, including market conditions. This share repurchase program is expected to be completed by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37" w:name="page38"/>
    <w:bookmarkEnd w:id="37"/>
    <w:p>
      <w:pPr>
        <w:spacing w:after="0"/>
        <w:rPr>
          <w:rFonts w:ascii="Arial" w:cs="Arial" w:eastAsia="Arial" w:hAnsi="Arial"/>
          <w:sz w:val="16"/>
          <w:szCs w:val="16"/>
          <w:i w:val="1"/>
          <w:iCs w:val="1"/>
          <w:color w:val="0000FF"/>
        </w:rPr>
      </w:pPr>
      <w:hyperlink w:anchor="page1">
        <w:r>
          <w:rPr>
            <w:rFonts w:ascii="Arial" w:cs="Arial" w:eastAsia="Arial" w:hAnsi="Arial"/>
            <w:sz w:val="16"/>
            <w:szCs w:val="16"/>
            <w:i w:val="1"/>
            <w:iCs w:val="1"/>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24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24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540" w:type="dxa"/>
            <w:vAlign w:val="bottom"/>
            <w:gridSpan w:val="14"/>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9"/>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2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64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8"/>
              </w:rPr>
              <w:t>Number</w:t>
            </w:r>
          </w:p>
        </w:tc>
        <w:tc>
          <w:tcPr>
            <w:tcW w:w="420" w:type="dxa"/>
            <w:vAlign w:val="bottom"/>
          </w:tcPr>
          <w:p>
            <w:pPr>
              <w:spacing w:after="0"/>
              <w:rPr>
                <w:sz w:val="13"/>
                <w:szCs w:val="13"/>
                <w:color w:val="auto"/>
              </w:rPr>
            </w:pPr>
          </w:p>
        </w:tc>
        <w:tc>
          <w:tcPr>
            <w:tcW w:w="1012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quarter ended June 30, 2020, filed July 24, 2020).</w:t>
              </w:r>
            </w:hyperlink>
          </w:p>
        </w:tc>
        <w:tc>
          <w:tcPr>
            <w:tcW w:w="638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rPr>
            </w:pPr>
            <w:hyperlink r:id="rId86">
              <w:r>
                <w:rPr>
                  <w:rFonts w:ascii="Arial" w:cs="Arial" w:eastAsia="Arial" w:hAnsi="Arial"/>
                  <w:sz w:val="18"/>
                  <w:szCs w:val="18"/>
                  <w:color w:val="0000FF"/>
                </w:rPr>
                <w:t>Our Bylaws, as amended through February 23, 2021 (incorporated by reference from our Form 8-k, filed March 1, 2021).</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Form of stock certificate for common stock (incorporated by reference to Exhibit 4 to the Company's 1998 Form 10-K, filed May 6, 1999).</w:t>
              </w:r>
            </w:hyperlink>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0000" w:type="dxa"/>
            <w:vAlign w:val="bottom"/>
            <w:tcBorders>
              <w:top w:val="single" w:sz="8" w:color="0000FF"/>
            </w:tcBorders>
            <w:gridSpan w:val="13"/>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Article 5, 6, 8(c) and 9 of our Amended and Restated Articles of Incorporation (incorporated by reference to Exhibit 3.1 to the Company's</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Form 10-Q report for the quarter ended June 30, 2020, filed July 24, 2020).</w:t>
              </w:r>
            </w:hyperlink>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76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w w:val="94"/>
              </w:rPr>
            </w:pPr>
            <w:hyperlink r:id="rId88">
              <w:r>
                <w:rPr>
                  <w:rFonts w:ascii="Arial" w:cs="Arial" w:eastAsia="Arial" w:hAnsi="Arial"/>
                  <w:sz w:val="18"/>
                  <w:szCs w:val="18"/>
                  <w:color w:val="0000FF"/>
                  <w:w w:val="94"/>
                </w:rPr>
                <w:t>Article I and V of our Bylaws, as amended through May 5, 2015 (incorporated by reference to Exhibit 3.2 to the Company's Form 10-Q</w:t>
              </w:r>
            </w:hyperlink>
          </w:p>
        </w:tc>
        <w:tc>
          <w:tcPr>
            <w:tcW w:w="0" w:type="dxa"/>
            <w:vAlign w:val="bottom"/>
          </w:tcPr>
          <w:p>
            <w:pPr>
              <w:spacing w:after="0"/>
              <w:rPr>
                <w:sz w:val="1"/>
                <w:szCs w:val="1"/>
                <w:color w:val="auto"/>
              </w:rPr>
            </w:pPr>
          </w:p>
        </w:tc>
      </w:tr>
      <w:tr>
        <w:trPr>
          <w:trHeight w:val="156"/>
        </w:trPr>
        <w:tc>
          <w:tcPr>
            <w:tcW w:w="640" w:type="dxa"/>
            <w:vAlign w:val="bottom"/>
            <w:vMerge w:val="restart"/>
          </w:tcPr>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4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report for the quarter ended March 31, 2015, filed May 6, 2015).</w:t>
              </w:r>
            </w:hyperlink>
          </w:p>
        </w:tc>
        <w:tc>
          <w:tcPr>
            <w:tcW w:w="5120" w:type="dxa"/>
            <w:vAlign w:val="bottom"/>
            <w:tcBorders>
              <w:top w:val="single" w:sz="8" w:color="0000FF"/>
            </w:tcBorders>
            <w:gridSpan w:val="6"/>
          </w:tcPr>
          <w:p>
            <w:pPr>
              <w:spacing w:after="0"/>
              <w:rPr>
                <w:sz w:val="13"/>
                <w:szCs w:val="13"/>
                <w:color w:val="auto"/>
              </w:rPr>
            </w:pPr>
          </w:p>
        </w:tc>
        <w:tc>
          <w:tcPr>
            <w:tcW w:w="26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64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64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420" w:type="dxa"/>
            <w:vAlign w:val="bottom"/>
          </w:tcPr>
          <w:p>
            <w:pPr>
              <w:spacing w:after="0"/>
              <w:rPr>
                <w:sz w:val="16"/>
                <w:szCs w:val="16"/>
                <w:color w:val="auto"/>
              </w:rPr>
            </w:pPr>
          </w:p>
        </w:tc>
        <w:tc>
          <w:tcPr>
            <w:tcW w:w="10120" w:type="dxa"/>
            <w:vAlign w:val="bottom"/>
            <w:gridSpan w:val="17"/>
          </w:tcPr>
          <w:p>
            <w:pPr>
              <w:spacing w:after="0" w:line="190"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Non-Qualified Deferred Compensation Plan for Designated Employees, as amended and restated effective January 1, 2020 (incorporated by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15"/>
          </w:tcPr>
          <w:p>
            <w:pPr>
              <w:spacing w:after="0" w:line="156"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reference to Exhibit 10.10 to the Company's Form 10-Q report for the quarter ended September 30, 2020, filed October 23,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18"/>
                <w:szCs w:val="18"/>
                <w:color w:val="auto"/>
              </w:rPr>
            </w:pPr>
          </w:p>
        </w:tc>
        <w:tc>
          <w:tcPr>
            <w:tcW w:w="75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Certification by the Chief Executive Officer Pursuant to Section 302 of the Sarbanes-Oxley Act of 2002.</w:t>
              </w:r>
            </w:hyperlink>
          </w:p>
        </w:tc>
        <w:tc>
          <w:tcPr>
            <w:tcW w:w="1820" w:type="dxa"/>
            <w:vAlign w:val="bottom"/>
            <w:tcBorders>
              <w:top w:val="single" w:sz="8" w:color="0000FF"/>
            </w:tcBorders>
            <w:gridSpan w:val="2"/>
          </w:tcPr>
          <w:p>
            <w:pPr>
              <w:spacing w:after="0"/>
              <w:rPr>
                <w:sz w:val="18"/>
                <w:szCs w:val="18"/>
                <w:color w:val="auto"/>
              </w:rPr>
            </w:pPr>
          </w:p>
        </w:tc>
        <w:tc>
          <w:tcPr>
            <w:tcW w:w="7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by the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580" w:type="dxa"/>
            <w:vAlign w:val="bottom"/>
            <w:gridSpan w:val="4"/>
            <w:shd w:val="clear" w:color="auto" w:fill="0000FF"/>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1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14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by the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Act of 2002.</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7"/>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080" w:hanging="1054"/>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firstLine="8"/>
        <w:spacing w:after="0" w:line="584" w:lineRule="auto"/>
        <w:tabs>
          <w:tab w:leader="none" w:pos="181"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320" w:top="130"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ectPr>
          <w:pgSz w:w="11900" w:h="16838" w:orient="portrait"/>
          <w:cols w:equalWidth="0" w:num="1">
            <w:col w:w="11240"/>
          </w:cols>
          <w:pgMar w:left="320" w:top="141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ectPr>
          <w:pgSz w:w="11900" w:h="16838" w:orient="portrait"/>
          <w:cols w:equalWidth="0" w:num="1">
            <w:col w:w="11240"/>
          </w:cols>
          <w:pgMar w:left="320" w:top="141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Quarterly Report on Form 10-Q of West Pharmaceutical Services, Inc. (the “Company”) for the period ended March 31, 2021,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ectPr>
          <w:pgSz w:w="11900" w:h="16838" w:orient="portrait"/>
          <w:cols w:equalWidth="0" w:num="1">
            <w:col w:w="11240"/>
          </w:cols>
          <w:pgMar w:left="320" w:top="141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connection with the Quarterly Report on Form 10-Q of West Pharmaceutical Services, Inc. (the “Company”) for the period ended March 31, 2021,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lvl w:ilvl="1">
      <w:lvlJc w:val="left"/>
      <w:lvlText w:val="%2"/>
      <w:numFmt w:val="decimal"/>
      <w:start w:val="104"/>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90" Type="http://schemas.openxmlformats.org/officeDocument/2006/relationships/image" Target="media/image77.png"/><Relationship Id="rId22" Type="http://schemas.openxmlformats.org/officeDocument/2006/relationships/hyperlink" Target="https://www.sec.gov/ix?doc=/Archives/edgar/data/105770/000010577021000008/wst-20201231.htm" TargetMode="External"/><Relationship Id="rId85" Type="http://schemas.openxmlformats.org/officeDocument/2006/relationships/hyperlink" Target="https://www.sec.gov/Archives/edgar/data/105770/000010577020000045/ex31articlesofincorpor.htm" TargetMode="External"/><Relationship Id="rId86" Type="http://schemas.openxmlformats.org/officeDocument/2006/relationships/hyperlink" Target="https://www.sec.gov/Archives/edgar/data/105770/000010577021000014/wpsbylawamendmentsfinalfeb.htm" TargetMode="External"/><Relationship Id="rId87" Type="http://schemas.openxmlformats.org/officeDocument/2006/relationships/hyperlink" Target="http://www.sec.gov/Archives/edgar/data/105770/0000105770-99-000016-index.html" TargetMode="External"/><Relationship Id="rId88" Type="http://schemas.openxmlformats.org/officeDocument/2006/relationships/hyperlink" Target="http://www.sec.gov/Archives/edgar/data/105770/000010577015000015/ex32bylaws.htm" TargetMode="External"/><Relationship Id="rId89" Type="http://schemas.openxmlformats.org/officeDocument/2006/relationships/hyperlink" Target="https://www.sec.gov/Archives/edgar/data/105770/000010577020000057/ex10102020amende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2021-04-30T15:32:20Z</dcterms:created>
  <dcterms:modified xsi:type="dcterms:W3CDTF">2021-04-30T15:32:20Z</dcterms:modified>
</cp:coreProperties>
</file>