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200025</wp:posOffset>
            </wp:positionH>
            <wp:positionV relativeFrom="page">
              <wp:posOffset>641350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-121285</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9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1" w:lineRule="exact"/>
        <w:rPr>
          <w:sz w:val="24"/>
          <w:szCs w:val="24"/>
          <w:color w:val="auto"/>
        </w:rPr>
      </w:pPr>
    </w:p>
    <w:p>
      <w:pPr>
        <w:ind w:left="480" w:hanging="311"/>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8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2024</w:t>
      </w:r>
    </w:p>
    <w:p>
      <w:pPr>
        <w:spacing w:after="0" w:line="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or</w:t>
      </w:r>
    </w:p>
    <w:p>
      <w:pPr>
        <w:ind w:left="480" w:hanging="311"/>
        <w:spacing w:after="0" w:line="193" w:lineRule="auto"/>
        <w:tabs>
          <w:tab w:leader="none" w:pos="480" w:val="left"/>
        </w:tabs>
        <w:numPr>
          <w:ilvl w:val="0"/>
          <w:numId w:val="2"/>
        </w:numPr>
        <w:rPr>
          <w:rFonts w:ascii="MS PGothic" w:cs="MS PGothic" w:eastAsia="MS PGothic" w:hAnsi="MS PGothic"/>
          <w:sz w:val="4"/>
          <w:szCs w:val="4"/>
          <w:color w:val="auto"/>
        </w:rPr>
      </w:pPr>
      <w:r>
        <w:rPr>
          <w:rFonts w:ascii="Times New Roman" w:cs="Times New Roman" w:eastAsia="Times New Roman" w:hAnsi="Times New Roman"/>
          <w:sz w:val="4"/>
          <w:szCs w:val="4"/>
          <w:b w:val="1"/>
          <w:bCs w:val="1"/>
          <w:color w:val="auto"/>
        </w:rPr>
        <w:t>TRANSITION REPORT PURSUANT TO SECTION 13 OR 15(d) OF THE SECURITIES EXCHANGE ACT OF 1934</w:t>
      </w:r>
    </w:p>
    <w:p>
      <w:pPr>
        <w:spacing w:after="0" w:line="221" w:lineRule="exact"/>
        <w:rPr>
          <w:sz w:val="24"/>
          <w:szCs w:val="24"/>
          <w:color w:val="auto"/>
        </w:rPr>
      </w:pPr>
    </w:p>
    <w:p>
      <w:pPr>
        <w:ind w:left="4460"/>
        <w:spacing w:after="0"/>
        <w:tabs>
          <w:tab w:leader="none" w:pos="67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20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Commission File Number 1-8036</w:t>
      </w:r>
    </w:p>
    <w:p>
      <w:pPr>
        <w:spacing w:after="0" w:line="20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WEST PHARMACEUTICAL SERVICES, INC.</w:t>
      </w:r>
    </w:p>
    <w:p>
      <w:pPr>
        <w:spacing w:after="0" w:line="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ectPr>
          <w:pgSz w:w="11900" w:h="16838" w:orient="portrait"/>
          <w:cols w:equalWidth="0" w:num="1">
            <w:col w:w="11120"/>
          </w:cols>
          <w:pgMar w:left="300" w:top="1038" w:right="479" w:bottom="1440" w:gutter="0" w:footer="0" w:header="0"/>
        </w:sectPr>
      </w:pPr>
    </w:p>
    <w:p>
      <w:pPr>
        <w:spacing w:after="0" w:line="2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Pennsylvania</w:t>
      </w:r>
    </w:p>
    <w:p>
      <w:pPr>
        <w:spacing w:after="0" w:line="25"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4"/>
          <w:szCs w:val="14"/>
          <w:b w:val="1"/>
          <w:bCs w:val="1"/>
          <w:color w:val="auto"/>
        </w:rPr>
        <w:t>23-1210010</w:t>
      </w:r>
    </w:p>
    <w:p>
      <w:pPr>
        <w:spacing w:after="0" w:line="25"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4"/>
          <w:szCs w:val="14"/>
          <w:color w:val="auto"/>
        </w:rPr>
        <w:t>(I.R.S. Employer Identification Number)</w:t>
      </w:r>
    </w:p>
    <w:p>
      <w:pPr>
        <w:spacing w:after="0" w:line="141" w:lineRule="exact"/>
        <w:rPr>
          <w:sz w:val="24"/>
          <w:szCs w:val="24"/>
          <w:color w:val="auto"/>
        </w:rPr>
      </w:pPr>
    </w:p>
    <w:p>
      <w:pPr>
        <w:sectPr>
          <w:pgSz w:w="11900" w:h="16838" w:orient="portrait"/>
          <w:cols w:equalWidth="0" w:num="2">
            <w:col w:w="6640" w:space="720"/>
            <w:col w:w="3760"/>
          </w:cols>
          <w:pgMar w:left="300" w:top="1038" w:right="479"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4"/>
          <w:szCs w:val="14"/>
          <w:b w:val="1"/>
          <w:bCs w:val="1"/>
          <w:color w:val="auto"/>
        </w:rPr>
        <w:t>530 Herman O. West Drive, Exton, PA</w:t>
      </w:r>
    </w:p>
    <w:p>
      <w:pPr>
        <w:spacing w:after="0" w:line="25"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19341-1147</w:t>
      </w:r>
    </w:p>
    <w:p>
      <w:pPr>
        <w:spacing w:after="0" w:line="2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(Zip Code)</w:t>
      </w:r>
    </w:p>
    <w:p>
      <w:pPr>
        <w:spacing w:after="0" w:line="200" w:lineRule="exact"/>
        <w:rPr>
          <w:sz w:val="24"/>
          <w:szCs w:val="24"/>
          <w:color w:val="auto"/>
        </w:rPr>
      </w:pPr>
    </w:p>
    <w:p>
      <w:pPr>
        <w:sectPr>
          <w:pgSz w:w="11900" w:h="16838" w:orient="portrait"/>
          <w:cols w:equalWidth="0" w:num="2">
            <w:col w:w="7460" w:space="720"/>
            <w:col w:w="2940"/>
          </w:cols>
          <w:pgMar w:left="300" w:top="1038" w:right="479" w:bottom="1440" w:gutter="0" w:footer="0" w:header="0"/>
          <w:type w:val="continuous"/>
        </w:sectPr>
      </w:pP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610-594-2900</w:t>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ectPr>
          <w:pgSz w:w="11900" w:h="16838" w:orient="portrait"/>
          <w:cols w:equalWidth="0" w:num="1">
            <w:col w:w="11120"/>
          </w:cols>
          <w:pgMar w:left="300" w:top="1038" w:right="479" w:bottom="1440" w:gutter="0" w:footer="0" w:header="0"/>
          <w:type w:val="continuous"/>
        </w:sectPr>
      </w:pPr>
    </w:p>
    <w:p>
      <w:pPr>
        <w:spacing w:after="0" w:line="39"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5"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4"/>
          <w:szCs w:val="14"/>
          <w:color w:val="auto"/>
        </w:rPr>
        <w:t>Common Stock, par value $0.25 per share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Trading Symbol</w:t>
      </w:r>
    </w:p>
    <w:p>
      <w:pPr>
        <w:spacing w:after="0" w:line="25"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WST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4"/>
          <w:szCs w:val="14"/>
          <w:color w:val="auto"/>
        </w:rPr>
        <w:t>New York Stock Exchange</w:t>
      </w:r>
    </w:p>
    <w:p>
      <w:pPr>
        <w:spacing w:after="0" w:line="164" w:lineRule="exact"/>
        <w:rPr>
          <w:sz w:val="24"/>
          <w:szCs w:val="24"/>
          <w:color w:val="auto"/>
        </w:rPr>
      </w:pPr>
    </w:p>
    <w:p>
      <w:pPr>
        <w:sectPr>
          <w:pgSz w:w="11900" w:h="16838" w:orient="portrait"/>
          <w:cols w:equalWidth="0" w:num="3">
            <w:col w:w="4420" w:space="720"/>
            <w:col w:w="1760" w:space="720"/>
            <w:col w:w="3500"/>
          </w:cols>
          <w:pgMar w:left="300" w:top="103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w:t>
      </w:r>
    </w:p>
    <w:p>
      <w:pPr>
        <w:spacing w:after="0" w:line="20" w:lineRule="exact"/>
        <w:rPr>
          <w:sz w:val="24"/>
          <w:szCs w:val="24"/>
          <w:color w:val="auto"/>
        </w:rPr>
      </w:pPr>
    </w:p>
    <w:p>
      <w:pPr>
        <w:spacing w:after="0" w:line="161" w:lineRule="exact"/>
        <w:tabs>
          <w:tab w:leader="none" w:pos="8220" w:val="left"/>
          <w:tab w:leader="none" w:pos="8740" w:val="left"/>
        </w:tabs>
        <w:rPr>
          <w:sz w:val="20"/>
          <w:szCs w:val="20"/>
          <w:color w:val="auto"/>
        </w:rPr>
      </w:pPr>
      <w:r>
        <w:rPr>
          <w:rFonts w:ascii="Times New Roman" w:cs="Times New Roman" w:eastAsia="Times New Roman" w:hAnsi="Times New Roman"/>
          <w:sz w:val="14"/>
          <w:szCs w:val="14"/>
          <w:color w:val="auto"/>
        </w:rPr>
        <w:t>shorter period that the registrant was required to file such reports), and (2) has been subject to such filing requirements for the past 90 days.</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w:t>
      </w:r>
    </w:p>
    <w:p>
      <w:pPr>
        <w:spacing w:after="0" w:line="20" w:lineRule="exact"/>
        <w:rPr>
          <w:sz w:val="24"/>
          <w:szCs w:val="24"/>
          <w:color w:val="auto"/>
        </w:rPr>
      </w:pPr>
    </w:p>
    <w:p>
      <w:pPr>
        <w:spacing w:after="0" w:line="161" w:lineRule="exact"/>
        <w:tabs>
          <w:tab w:leader="none" w:pos="7080" w:val="left"/>
          <w:tab w:leader="none" w:pos="7600" w:val="left"/>
        </w:tabs>
        <w:rPr>
          <w:sz w:val="20"/>
          <w:szCs w:val="20"/>
          <w:color w:val="auto"/>
        </w:rPr>
      </w:pPr>
      <w:r>
        <w:rPr>
          <w:rFonts w:ascii="Times New Roman" w:cs="Times New Roman" w:eastAsia="Times New Roman" w:hAnsi="Times New Roman"/>
          <w:sz w:val="14"/>
          <w:szCs w:val="14"/>
          <w:color w:val="auto"/>
        </w:rPr>
        <w:t>during the preceding 12 months (or for such shorter period that the registrant was required to submit such files).</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83" w:lineRule="exact"/>
        <w:rPr>
          <w:sz w:val="24"/>
          <w:szCs w:val="24"/>
          <w:color w:val="auto"/>
        </w:rPr>
      </w:pPr>
    </w:p>
    <w:p>
      <w:pPr>
        <w:ind w:right="460"/>
        <w:spacing w:after="0" w:line="26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520" w:type="dxa"/>
        <w:tblCellMar>
          <w:top w:w="0" w:type="dxa"/>
          <w:left w:w="0" w:type="dxa"/>
          <w:bottom w:w="0" w:type="dxa"/>
          <w:right w:w="0" w:type="dxa"/>
        </w:tblCellMar>
      </w:tblPr>
      <w:tr>
        <w:trPr>
          <w:trHeight w:val="167"/>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240" w:type="dxa"/>
            <w:vAlign w:val="bottom"/>
          </w:tcPr>
          <w:p>
            <w:pPr>
              <w:ind w:left="780"/>
              <w:spacing w:after="0" w:line="141" w:lineRule="exact"/>
              <w:rPr>
                <w:sz w:val="20"/>
                <w:szCs w:val="20"/>
                <w:color w:val="auto"/>
              </w:rPr>
            </w:pPr>
            <w:r>
              <w:rPr>
                <w:rFonts w:ascii="MS PGothic" w:cs="MS PGothic" w:eastAsia="MS PGothic" w:hAnsi="MS PGothic"/>
                <w:sz w:val="14"/>
                <w:szCs w:val="14"/>
                <w:color w:val="auto"/>
              </w:rPr>
              <w:t>☑</w:t>
            </w:r>
          </w:p>
        </w:tc>
        <w:tc>
          <w:tcPr>
            <w:tcW w:w="450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Accelerated filer</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0"/>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240" w:type="dxa"/>
            <w:vAlign w:val="bottom"/>
          </w:tcPr>
          <w:p>
            <w:pPr>
              <w:ind w:left="780"/>
              <w:spacing w:after="0" w:line="141" w:lineRule="exact"/>
              <w:rPr>
                <w:sz w:val="20"/>
                <w:szCs w:val="20"/>
                <w:color w:val="auto"/>
              </w:rPr>
            </w:pPr>
            <w:r>
              <w:rPr>
                <w:rFonts w:ascii="MS PGothic" w:cs="MS PGothic" w:eastAsia="MS PGothic" w:hAnsi="MS PGothic"/>
                <w:sz w:val="14"/>
                <w:szCs w:val="14"/>
                <w:color w:val="auto"/>
              </w:rPr>
              <w:t>☐</w:t>
            </w:r>
          </w:p>
        </w:tc>
        <w:tc>
          <w:tcPr>
            <w:tcW w:w="450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7"/>
        </w:trPr>
        <w:tc>
          <w:tcPr>
            <w:tcW w:w="20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50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Emerging growth company</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w:t>
      </w:r>
    </w:p>
    <w:p>
      <w:pPr>
        <w:spacing w:after="0" w:line="20" w:lineRule="exact"/>
        <w:rPr>
          <w:sz w:val="24"/>
          <w:szCs w:val="24"/>
          <w:color w:val="auto"/>
        </w:rPr>
      </w:pPr>
    </w:p>
    <w:p>
      <w:pPr>
        <w:spacing w:after="0" w:line="161" w:lineRule="exact"/>
        <w:tabs>
          <w:tab w:leader="none" w:pos="5080" w:val="left"/>
        </w:tabs>
        <w:rPr>
          <w:sz w:val="20"/>
          <w:szCs w:val="20"/>
          <w:color w:val="auto"/>
        </w:rPr>
      </w:pPr>
      <w:r>
        <w:rPr>
          <w:rFonts w:ascii="Times New Roman" w:cs="Times New Roman" w:eastAsia="Times New Roman" w:hAnsi="Times New Roman"/>
          <w:sz w:val="14"/>
          <w:szCs w:val="14"/>
          <w:color w:val="auto"/>
        </w:rPr>
        <w:t>provided pursuant to Section 13(a) of the Exchange Act.</w:t>
      </w:r>
      <w:r>
        <w:rPr>
          <w:sz w:val="20"/>
          <w:szCs w:val="20"/>
          <w:color w:val="auto"/>
        </w:rPr>
        <w:tab/>
      </w:r>
      <w:r>
        <w:rPr>
          <w:rFonts w:ascii="MS PGothic" w:cs="MS PGothic" w:eastAsia="MS PGothic" w:hAnsi="MS PGothic"/>
          <w:sz w:val="14"/>
          <w:szCs w:val="14"/>
          <w:color w:val="auto"/>
        </w:rPr>
        <w:t>☐</w:t>
      </w:r>
    </w:p>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20" w:lineRule="exact"/>
        <w:rPr>
          <w:sz w:val="24"/>
          <w:szCs w:val="24"/>
          <w:color w:val="auto"/>
        </w:rPr>
      </w:pPr>
    </w:p>
    <w:p>
      <w:pPr>
        <w:ind w:left="6120"/>
        <w:spacing w:after="0" w:line="161" w:lineRule="exact"/>
        <w:tabs>
          <w:tab w:leader="none" w:pos="660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July 22, 2024, there were 72,541,593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379730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1038"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60" w:type="dxa"/>
            <w:vAlign w:val="bottom"/>
            <w:gridSpan w:val="9"/>
          </w:tcPr>
          <w:p>
            <w:pPr>
              <w:ind w:left="1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5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0000FF"/>
              </w:rPr>
              <w:t>PART I. FINANCIAL INFORMATION</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0"/>
        </w:trPr>
        <w:tc>
          <w:tcPr>
            <w:tcW w:w="2580" w:type="dxa"/>
            <w:vAlign w:val="bottom"/>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ITEM 1.</w:t>
            </w:r>
          </w:p>
        </w:tc>
        <w:tc>
          <w:tcPr>
            <w:tcW w:w="180" w:type="dxa"/>
            <w:vAlign w:val="bottom"/>
          </w:tcPr>
          <w:p>
            <w:pPr>
              <w:spacing w:after="0"/>
              <w:rPr>
                <w:sz w:val="13"/>
                <w:szCs w:val="13"/>
                <w:color w:val="auto"/>
              </w:rPr>
            </w:pPr>
          </w:p>
        </w:tc>
        <w:tc>
          <w:tcPr>
            <w:tcW w:w="780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0000FF"/>
              </w:rPr>
              <w:t>FINANCIAL STATEMENTS (UNAUDITED)</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0000FF"/>
              </w:rPr>
              <w:t>Condensed Consolidated Statements of Income for the Three and Six Months ended June 30, 2024 and 2023</w:t>
            </w:r>
          </w:p>
        </w:tc>
        <w:tc>
          <w:tcPr>
            <w:tcW w:w="22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85"/>
              </w:rPr>
              <w:t>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0000FF"/>
              </w:rPr>
              <w:t>Condensed Consolidated Statements of Comprehensive Income for the Three and Six Months ended June 30, 2024 and</w:t>
            </w:r>
          </w:p>
        </w:tc>
        <w:tc>
          <w:tcPr>
            <w:tcW w:w="220" w:type="dxa"/>
            <w:vAlign w:val="bottom"/>
            <w:vMerge w:val="restart"/>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85"/>
              </w:rPr>
              <w:t>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top w:val="single" w:sz="8" w:color="0000FF"/>
            </w:tcBorders>
          </w:tcPr>
          <w:p>
            <w:pPr>
              <w:spacing w:after="0" w:line="107" w:lineRule="exact"/>
              <w:rPr>
                <w:sz w:val="20"/>
                <w:szCs w:val="20"/>
                <w:color w:val="auto"/>
              </w:rPr>
            </w:pPr>
            <w:r>
              <w:rPr>
                <w:rFonts w:ascii="Times New Roman" w:cs="Times New Roman" w:eastAsia="Times New Roman" w:hAnsi="Times New Roman"/>
                <w:sz w:val="12"/>
                <w:szCs w:val="12"/>
                <w:b w:val="1"/>
                <w:bCs w:val="1"/>
                <w:color w:val="0000FF"/>
              </w:rPr>
              <w:t>2023</w:t>
            </w:r>
          </w:p>
        </w:tc>
        <w:tc>
          <w:tcPr>
            <w:tcW w:w="40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15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06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0000FF"/>
              </w:rPr>
              <w:t>Condensed Consolidated Balance Sheets at June 30, 2024 and December 31, 2023</w:t>
            </w:r>
          </w:p>
        </w:tc>
        <w:tc>
          <w:tcPr>
            <w:tcW w:w="2920" w:type="dxa"/>
            <w:vAlign w:val="bottom"/>
            <w:gridSpan w:val="6"/>
          </w:tcPr>
          <w:p>
            <w:pPr>
              <w:spacing w:after="0"/>
              <w:rPr>
                <w:sz w:val="14"/>
                <w:szCs w:val="14"/>
                <w:color w:val="auto"/>
              </w:rPr>
            </w:pPr>
          </w:p>
        </w:tc>
        <w:tc>
          <w:tcPr>
            <w:tcW w:w="22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85"/>
              </w:rPr>
              <w:t>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8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0000FF"/>
              </w:rPr>
              <w:t>Condensed Consolidated Statements of Cash Flows for the Six Months ended June 30, 2024 and 2023</w:t>
            </w:r>
          </w:p>
        </w:tc>
        <w:tc>
          <w:tcPr>
            <w:tcW w:w="1720" w:type="dxa"/>
            <w:vAlign w:val="bottom"/>
            <w:gridSpan w:val="4"/>
          </w:tcPr>
          <w:p>
            <w:pPr>
              <w:spacing w:after="0"/>
              <w:rPr>
                <w:sz w:val="13"/>
                <w:szCs w:val="13"/>
                <w:color w:val="auto"/>
              </w:rPr>
            </w:pPr>
          </w:p>
        </w:tc>
        <w:tc>
          <w:tcPr>
            <w:tcW w:w="22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85"/>
              </w:rPr>
              <w:t>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8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0000FF"/>
              </w:rPr>
              <w:t>Notes to Condensed Consolidated Financial Statements</w:t>
            </w:r>
          </w:p>
        </w:tc>
        <w:tc>
          <w:tcPr>
            <w:tcW w:w="1720" w:type="dxa"/>
            <w:vAlign w:val="bottom"/>
            <w:gridSpan w:val="4"/>
          </w:tcPr>
          <w:p>
            <w:pPr>
              <w:spacing w:after="0"/>
              <w:rPr>
                <w:sz w:val="13"/>
                <w:szCs w:val="13"/>
                <w:color w:val="auto"/>
              </w:rPr>
            </w:pPr>
          </w:p>
        </w:tc>
        <w:tc>
          <w:tcPr>
            <w:tcW w:w="22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0000FF"/>
                <w:w w:val="85"/>
              </w:rPr>
              <w:t>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ITEM 2.</w:t>
            </w:r>
          </w:p>
        </w:tc>
        <w:tc>
          <w:tcPr>
            <w:tcW w:w="780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0000FF"/>
              </w:rPr>
              <w:t>MANAGEMENT’S DISCUSSION AND ANALYSIS OF FINANCIAL CONDITION AND RESULTS OF</w:t>
            </w:r>
          </w:p>
        </w:tc>
        <w:tc>
          <w:tcPr>
            <w:tcW w:w="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0000FF"/>
                <w:w w:val="99"/>
              </w:rPr>
              <w:t>28</w:t>
            </w:r>
          </w:p>
        </w:tc>
        <w:tc>
          <w:tcPr>
            <w:tcW w:w="0" w:type="dxa"/>
            <w:vAlign w:val="bottom"/>
          </w:tcPr>
          <w:p>
            <w:pPr>
              <w:spacing w:after="0"/>
              <w:rPr>
                <w:sz w:val="1"/>
                <w:szCs w:val="1"/>
                <w:color w:val="auto"/>
              </w:rPr>
            </w:pPr>
          </w:p>
        </w:tc>
      </w:tr>
      <w:tr>
        <w:trPr>
          <w:trHeight w:val="118"/>
        </w:trPr>
        <w:tc>
          <w:tcPr>
            <w:tcW w:w="8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Borders>
              <w:top w:val="single" w:sz="8" w:color="0000FF"/>
            </w:tcBorders>
            <w:gridSpan w:val="4"/>
          </w:tcPr>
          <w:p>
            <w:pPr>
              <w:spacing w:after="0" w:line="107" w:lineRule="exact"/>
              <w:rPr>
                <w:sz w:val="20"/>
                <w:szCs w:val="20"/>
                <w:color w:val="auto"/>
              </w:rPr>
            </w:pPr>
            <w:r>
              <w:rPr>
                <w:rFonts w:ascii="Times New Roman" w:cs="Times New Roman" w:eastAsia="Times New Roman" w:hAnsi="Times New Roman"/>
                <w:sz w:val="12"/>
                <w:szCs w:val="12"/>
                <w:b w:val="1"/>
                <w:bCs w:val="1"/>
                <w:color w:val="0000FF"/>
              </w:rPr>
              <w:t>OPERATIONS</w:t>
            </w:r>
          </w:p>
        </w:tc>
        <w:tc>
          <w:tcPr>
            <w:tcW w:w="5300" w:type="dxa"/>
            <w:vAlign w:val="bottom"/>
            <w:tcBorders>
              <w:top w:val="single" w:sz="8" w:color="0000FF"/>
            </w:tcBorders>
            <w:gridSpan w:val="8"/>
          </w:tcPr>
          <w:p>
            <w:pPr>
              <w:spacing w:after="0"/>
              <w:rPr>
                <w:sz w:val="10"/>
                <w:szCs w:val="10"/>
                <w:color w:val="auto"/>
              </w:rPr>
            </w:pPr>
          </w:p>
        </w:tc>
        <w:tc>
          <w:tcPr>
            <w:tcW w:w="1460" w:type="dxa"/>
            <w:vAlign w:val="bottom"/>
            <w:gridSpan w:val="3"/>
          </w:tcPr>
          <w:p>
            <w:pPr>
              <w:spacing w:after="0"/>
              <w:rPr>
                <w:sz w:val="10"/>
                <w:szCs w:val="10"/>
                <w:color w:val="auto"/>
              </w:rPr>
            </w:pPr>
          </w:p>
        </w:tc>
        <w:tc>
          <w:tcPr>
            <w:tcW w:w="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ITEM 3.</w:t>
            </w:r>
          </w:p>
        </w:tc>
        <w:tc>
          <w:tcPr>
            <w:tcW w:w="502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0000FF"/>
                <w:w w:val="98"/>
              </w:rPr>
              <w:t>QUANTITATIVE AND QUALITATIVE DISCLOSURES ABOUT MARKET RISK</w:t>
            </w:r>
          </w:p>
        </w:tc>
        <w:tc>
          <w:tcPr>
            <w:tcW w:w="2780" w:type="dxa"/>
            <w:vAlign w:val="bottom"/>
            <w:gridSpan w:val="5"/>
          </w:tcPr>
          <w:p>
            <w:pPr>
              <w:spacing w:after="0"/>
              <w:rPr>
                <w:sz w:val="14"/>
                <w:szCs w:val="14"/>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0000FF"/>
                <w:w w:val="99"/>
              </w:rPr>
              <w:t>40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80" w:type="dxa"/>
            <w:vAlign w:val="bottom"/>
            <w:gridSpan w:val="4"/>
            <w:shd w:val="clear" w:color="auto" w:fill="0000FF"/>
          </w:tcPr>
          <w:p>
            <w:pPr>
              <w:spacing w:after="0" w:line="20" w:lineRule="exact"/>
              <w:rPr>
                <w:sz w:val="1"/>
                <w:szCs w:val="1"/>
                <w:color w:val="auto"/>
              </w:rPr>
            </w:pPr>
          </w:p>
        </w:tc>
        <w:tc>
          <w:tcPr>
            <w:tcW w:w="2780" w:type="dxa"/>
            <w:vAlign w:val="bottom"/>
            <w:tcBorders>
              <w:left w:val="single" w:sz="8" w:color="0000FF"/>
            </w:tcBorders>
            <w:gridSpan w:val="5"/>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ITEM 4.</w:t>
            </w:r>
          </w:p>
        </w:tc>
        <w:tc>
          <w:tcPr>
            <w:tcW w:w="502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0000FF"/>
              </w:rPr>
              <w:t>CONTROLS AND PROCEDURES</w:t>
            </w:r>
          </w:p>
        </w:tc>
        <w:tc>
          <w:tcPr>
            <w:tcW w:w="2780" w:type="dxa"/>
            <w:vAlign w:val="bottom"/>
            <w:gridSpan w:val="5"/>
          </w:tcPr>
          <w:p>
            <w:pPr>
              <w:spacing w:after="0"/>
              <w:rPr>
                <w:sz w:val="13"/>
                <w:szCs w:val="13"/>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0000FF"/>
                <w:w w:val="99"/>
              </w:rPr>
              <w:t>41</w:t>
            </w:r>
          </w:p>
        </w:tc>
        <w:tc>
          <w:tcPr>
            <w:tcW w:w="0" w:type="dxa"/>
            <w:vAlign w:val="bottom"/>
          </w:tcPr>
          <w:p>
            <w:pPr>
              <w:spacing w:after="0"/>
              <w:rPr>
                <w:sz w:val="1"/>
                <w:szCs w:val="1"/>
                <w:color w:val="auto"/>
              </w:rPr>
            </w:pPr>
          </w:p>
        </w:tc>
      </w:tr>
      <w:tr>
        <w:trPr>
          <w:trHeight w:val="341"/>
        </w:trPr>
        <w:tc>
          <w:tcPr>
            <w:tcW w:w="2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b w:val="1"/>
                <w:bCs w:val="1"/>
                <w:color w:val="0000FF"/>
                <w:w w:val="99"/>
              </w:rPr>
              <w:t>PART II. OTHER INFORMATION</w:t>
            </w:r>
          </w:p>
        </w:tc>
        <w:tc>
          <w:tcPr>
            <w:tcW w:w="400" w:type="dxa"/>
            <w:vAlign w:val="bottom"/>
            <w:gridSpan w:val="2"/>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ITEM 1.</w:t>
            </w:r>
          </w:p>
        </w:tc>
        <w:tc>
          <w:tcPr>
            <w:tcW w:w="780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0000FF"/>
              </w:rPr>
              <w:t>LEGAL PROCEEDINGS</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0000FF"/>
                <w:w w:val="99"/>
              </w:rPr>
              <w:t>41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ITEM 1A.</w:t>
            </w:r>
          </w:p>
        </w:tc>
        <w:tc>
          <w:tcPr>
            <w:tcW w:w="15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0000FF"/>
              </w:rPr>
              <w:t>RISK FACTORS</w:t>
            </w:r>
          </w:p>
        </w:tc>
        <w:tc>
          <w:tcPr>
            <w:tcW w:w="6240" w:type="dxa"/>
            <w:vAlign w:val="bottom"/>
            <w:gridSpan w:val="10"/>
          </w:tcPr>
          <w:p>
            <w:pPr>
              <w:spacing w:after="0"/>
              <w:rPr>
                <w:sz w:val="13"/>
                <w:szCs w:val="13"/>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0000FF"/>
                <w:w w:val="99"/>
              </w:rPr>
              <w:t>41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980" w:type="dxa"/>
            <w:vAlign w:val="bottom"/>
            <w:gridSpan w:val="6"/>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ITEM 2.</w:t>
            </w:r>
          </w:p>
        </w:tc>
        <w:tc>
          <w:tcPr>
            <w:tcW w:w="502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0000FF"/>
              </w:rPr>
              <w:t>UNREGISTERED SALES OF EQUITY SECURITIES AND USE OF PROCEEDS</w:t>
            </w:r>
          </w:p>
        </w:tc>
        <w:tc>
          <w:tcPr>
            <w:tcW w:w="2780" w:type="dxa"/>
            <w:vAlign w:val="bottom"/>
            <w:gridSpan w:val="5"/>
          </w:tcPr>
          <w:p>
            <w:pPr>
              <w:spacing w:after="0"/>
              <w:rPr>
                <w:sz w:val="13"/>
                <w:szCs w:val="13"/>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0000FF"/>
                <w:w w:val="99"/>
              </w:rPr>
              <w:t>42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340" w:type="dxa"/>
            <w:vAlign w:val="bottom"/>
            <w:gridSpan w:val="8"/>
            <w:shd w:val="clear" w:color="auto" w:fill="0000FF"/>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ITEM 6.</w:t>
            </w:r>
          </w:p>
        </w:tc>
        <w:tc>
          <w:tcPr>
            <w:tcW w:w="502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0000FF"/>
              </w:rPr>
              <w:t>EXHIBITS</w:t>
            </w:r>
          </w:p>
        </w:tc>
        <w:tc>
          <w:tcPr>
            <w:tcW w:w="2780" w:type="dxa"/>
            <w:vAlign w:val="bottom"/>
            <w:gridSpan w:val="5"/>
          </w:tcPr>
          <w:p>
            <w:pPr>
              <w:spacing w:after="0"/>
              <w:rPr>
                <w:sz w:val="13"/>
                <w:szCs w:val="13"/>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0000FF"/>
                <w:w w:val="99"/>
              </w:rPr>
              <w:t>43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2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0000FF"/>
              </w:rPr>
              <w:t>SIGNATURE</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0000FF"/>
                <w:w w:val="99"/>
              </w:rPr>
              <w:t>44</w:t>
            </w:r>
          </w:p>
        </w:tc>
        <w:tc>
          <w:tcPr>
            <w:tcW w:w="0" w:type="dxa"/>
            <w:vAlign w:val="bottom"/>
          </w:tcPr>
          <w:p>
            <w:pPr>
              <w:spacing w:after="0"/>
              <w:rPr>
                <w:sz w:val="1"/>
                <w:szCs w:val="1"/>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00"/>
          </w:cols>
          <w:pgMar w:left="300" w:top="127" w:right="8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61"/>
        </w:trPr>
        <w:tc>
          <w:tcPr>
            <w:tcW w:w="5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46"/>
        </w:trPr>
        <w:tc>
          <w:tcPr>
            <w:tcW w:w="5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INCOME (UNAUDITED)</w:t>
            </w: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West Pharmaceutical Services, Inc. and Subsidiaries</w:t>
            </w: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4"/>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51"/>
        </w:trPr>
        <w:tc>
          <w:tcPr>
            <w:tcW w:w="5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9"/>
              </w:rPr>
              <w:t>Three Months Ended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880" w:type="dxa"/>
            <w:vAlign w:val="bottom"/>
          </w:tcPr>
          <w:p>
            <w:pPr>
              <w:spacing w:after="0"/>
              <w:rPr>
                <w:sz w:val="24"/>
                <w:szCs w:val="24"/>
                <w:color w:val="auto"/>
              </w:rPr>
            </w:pPr>
          </w:p>
        </w:tc>
      </w:tr>
      <w:tr>
        <w:trPr>
          <w:trHeight w:val="187"/>
        </w:trPr>
        <w:tc>
          <w:tcPr>
            <w:tcW w:w="54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289"/>
              <w:spacing w:after="0"/>
              <w:rPr>
                <w:sz w:val="20"/>
                <w:szCs w:val="20"/>
                <w:color w:val="auto"/>
              </w:rPr>
            </w:pPr>
            <w:r>
              <w:rPr>
                <w:rFonts w:ascii="Times New Roman" w:cs="Times New Roman" w:eastAsia="Times New Roman" w:hAnsi="Times New Roman"/>
                <w:sz w:val="14"/>
                <w:szCs w:val="14"/>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49"/>
              <w:spacing w:after="0"/>
              <w:rPr>
                <w:sz w:val="20"/>
                <w:szCs w:val="20"/>
                <w:color w:val="auto"/>
              </w:rPr>
            </w:pPr>
            <w:r>
              <w:rPr>
                <w:rFonts w:ascii="Times New Roman" w:cs="Times New Roman" w:eastAsia="Times New Roman" w:hAnsi="Times New Roman"/>
                <w:sz w:val="14"/>
                <w:szCs w:val="14"/>
                <w:color w:val="auto"/>
              </w:rPr>
              <w:t>June 30,</w:t>
            </w:r>
          </w:p>
        </w:tc>
        <w:tc>
          <w:tcPr>
            <w:tcW w:w="880" w:type="dxa"/>
            <w:vAlign w:val="bottom"/>
            <w:tcBorders>
              <w:bottom w:val="single" w:sz="8" w:color="auto"/>
            </w:tcBorders>
          </w:tcPr>
          <w:p>
            <w:pPr>
              <w:spacing w:after="0"/>
              <w:rPr>
                <w:sz w:val="16"/>
                <w:szCs w:val="16"/>
                <w:color w:val="auto"/>
              </w:rPr>
            </w:pPr>
          </w:p>
        </w:tc>
      </w:tr>
      <w:tr>
        <w:trPr>
          <w:trHeight w:val="174"/>
        </w:trPr>
        <w:tc>
          <w:tcPr>
            <w:tcW w:w="54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84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702.1</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1,397.5</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1,470.4</w:t>
            </w:r>
          </w:p>
        </w:tc>
      </w:tr>
      <w:tr>
        <w:trPr>
          <w:trHeight w:val="180"/>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goods and services sold</w:t>
            </w:r>
          </w:p>
        </w:tc>
        <w:tc>
          <w:tcPr>
            <w:tcW w:w="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472.1</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937.3</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907.7</w:t>
            </w:r>
          </w:p>
        </w:tc>
      </w:tr>
      <w:tr>
        <w:trPr>
          <w:trHeight w:val="171"/>
        </w:trPr>
        <w:tc>
          <w:tcPr>
            <w:tcW w:w="5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460.2</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562.7</w:t>
            </w:r>
          </w:p>
        </w:tc>
      </w:tr>
      <w:tr>
        <w:trPr>
          <w:trHeight w:val="180"/>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r>
      <w:tr>
        <w:trPr>
          <w:trHeight w:val="18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w:t>
            </w:r>
          </w:p>
        </w:tc>
      </w:tr>
      <w:tr>
        <w:trPr>
          <w:trHeight w:val="180"/>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expense (income) (Note 14)</w:t>
            </w:r>
          </w:p>
        </w:tc>
        <w:tc>
          <w:tcPr>
            <w:tcW w:w="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171"/>
        </w:trPr>
        <w:tc>
          <w:tcPr>
            <w:tcW w:w="5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profit</w:t>
            </w: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337.8</w:t>
            </w:r>
          </w:p>
        </w:tc>
      </w:tr>
      <w:tr>
        <w:trPr>
          <w:trHeight w:val="180"/>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8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180"/>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nonoperating (income) expense</w:t>
            </w:r>
          </w:p>
        </w:tc>
        <w:tc>
          <w:tcPr>
            <w:tcW w:w="8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71"/>
        </w:trPr>
        <w:tc>
          <w:tcPr>
            <w:tcW w:w="540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before income taxes and equity in net income of affiliated companies</w:t>
            </w:r>
          </w:p>
        </w:tc>
        <w:tc>
          <w:tcPr>
            <w:tcW w:w="8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184.9</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1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342.8</w:t>
            </w:r>
          </w:p>
        </w:tc>
      </w:tr>
      <w:tr>
        <w:trPr>
          <w:trHeight w:val="180"/>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w:t>
            </w:r>
          </w:p>
        </w:tc>
      </w:tr>
      <w:tr>
        <w:trPr>
          <w:trHeight w:val="18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net income of affiliated companies</w:t>
            </w:r>
          </w:p>
        </w:tc>
        <w:tc>
          <w:tcPr>
            <w:tcW w:w="8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171"/>
        </w:trPr>
        <w:tc>
          <w:tcPr>
            <w:tcW w:w="5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155.1</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226.6</w:t>
            </w:r>
          </w:p>
        </w:tc>
        <w:tc>
          <w:tcPr>
            <w:tcW w:w="12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295.1</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3"/>
        </w:trPr>
        <w:tc>
          <w:tcPr>
            <w:tcW w:w="5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per share:</w:t>
            </w: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5"/>
        </w:trPr>
        <w:tc>
          <w:tcPr>
            <w:tcW w:w="5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840" w:type="dxa"/>
            <w:vAlign w:val="bottom"/>
            <w:tcBorders>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5400" w:type="dxa"/>
            <w:vAlign w:val="bottom"/>
          </w:tcPr>
          <w:p>
            <w:pPr>
              <w:ind w:left="280"/>
              <w:spacing w:after="0" w:line="143" w:lineRule="exact"/>
              <w:rPr>
                <w:sz w:val="20"/>
                <w:szCs w:val="20"/>
                <w:color w:val="auto"/>
              </w:rPr>
            </w:pPr>
            <w:r>
              <w:rPr>
                <w:rFonts w:ascii="Times New Roman" w:cs="Times New Roman" w:eastAsia="Times New Roman" w:hAnsi="Times New Roman"/>
                <w:sz w:val="14"/>
                <w:szCs w:val="14"/>
                <w:color w:val="auto"/>
              </w:rPr>
              <w:t>Diluted</w:t>
            </w:r>
          </w:p>
        </w:tc>
        <w:tc>
          <w:tcPr>
            <w:tcW w:w="840" w:type="dxa"/>
            <w:vAlign w:val="bottom"/>
            <w:tcBorders>
              <w:bottom w:val="single" w:sz="8" w:color="auto"/>
            </w:tcBorders>
          </w:tcPr>
          <w:p>
            <w:pPr>
              <w:jc w:val="right"/>
              <w:ind w:right="669"/>
              <w:spacing w:after="0" w:line="143"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2"/>
                <w:szCs w:val="12"/>
                <w:color w:val="auto"/>
              </w:rPr>
            </w:pPr>
          </w:p>
        </w:tc>
        <w:tc>
          <w:tcPr>
            <w:tcW w:w="540" w:type="dxa"/>
            <w:vAlign w:val="bottom"/>
            <w:tcBorders>
              <w:bottom w:val="single" w:sz="8" w:color="auto"/>
            </w:tcBorders>
          </w:tcPr>
          <w:p>
            <w:pPr>
              <w:jc w:val="right"/>
              <w:ind w:right="3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ind w:right="16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3.06</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ind w:right="34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3.91</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3"/>
        </w:trPr>
        <w:tc>
          <w:tcPr>
            <w:tcW w:w="5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5"/>
        </w:trPr>
        <w:tc>
          <w:tcPr>
            <w:tcW w:w="5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8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5400" w:type="dxa"/>
            <w:vAlign w:val="bottom"/>
          </w:tcPr>
          <w:p>
            <w:pPr>
              <w:ind w:left="280"/>
              <w:spacing w:after="0" w:line="143" w:lineRule="exact"/>
              <w:rPr>
                <w:sz w:val="20"/>
                <w:szCs w:val="20"/>
                <w:color w:val="auto"/>
              </w:rPr>
            </w:pPr>
            <w:r>
              <w:rPr>
                <w:rFonts w:ascii="Times New Roman" w:cs="Times New Roman" w:eastAsia="Times New Roman" w:hAnsi="Times New Roman"/>
                <w:sz w:val="14"/>
                <w:szCs w:val="14"/>
                <w:color w:val="auto"/>
              </w:rPr>
              <w:t>Diluted</w:t>
            </w:r>
          </w:p>
        </w:tc>
        <w:tc>
          <w:tcPr>
            <w:tcW w:w="8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73.7</w:t>
            </w:r>
          </w:p>
        </w:tc>
        <w:tc>
          <w:tcPr>
            <w:tcW w:w="1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75.4</w:t>
            </w: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74.0</w:t>
            </w:r>
          </w:p>
        </w:tc>
        <w:tc>
          <w:tcPr>
            <w:tcW w:w="1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75.5</w:t>
            </w:r>
          </w:p>
        </w:tc>
      </w:tr>
      <w:tr>
        <w:trPr>
          <w:trHeight w:val="20"/>
        </w:trPr>
        <w:tc>
          <w:tcPr>
            <w:tcW w:w="5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 (UNAUDITED)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West Pharmaceutical Services, Inc.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millions)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Three Months Ended</w:t>
            </w: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880" w:type="dxa"/>
            <w:vAlign w:val="bottom"/>
            <w:shd w:val="clear" w:color="auto" w:fill="CCEEFF"/>
          </w:tcPr>
          <w:p>
            <w:pPr>
              <w:spacing w:after="0"/>
              <w:rPr>
                <w:sz w:val="13"/>
                <w:szCs w:val="13"/>
                <w:color w:val="auto"/>
              </w:rPr>
            </w:pPr>
          </w:p>
        </w:tc>
      </w:tr>
      <w:tr>
        <w:trPr>
          <w:trHeight w:val="187"/>
        </w:trPr>
        <w:tc>
          <w:tcPr>
            <w:tcW w:w="54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gridSpan w:val="3"/>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June 30,</w:t>
            </w: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gridSpan w:val="3"/>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June 30,</w:t>
            </w:r>
          </w:p>
        </w:tc>
        <w:tc>
          <w:tcPr>
            <w:tcW w:w="880" w:type="dxa"/>
            <w:vAlign w:val="bottom"/>
            <w:tcBorders>
              <w:bottom w:val="single" w:sz="8" w:color="auto"/>
            </w:tcBorders>
            <w:shd w:val="clear" w:color="auto" w:fill="CCEEFF"/>
          </w:tcPr>
          <w:p>
            <w:pPr>
              <w:spacing w:after="0"/>
              <w:rPr>
                <w:sz w:val="16"/>
                <w:szCs w:val="16"/>
                <w:color w:val="auto"/>
              </w:rPr>
            </w:pPr>
          </w:p>
        </w:tc>
      </w:tr>
      <w:tr>
        <w:trPr>
          <w:trHeight w:val="174"/>
        </w:trPr>
        <w:tc>
          <w:tcPr>
            <w:tcW w:w="54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226.6</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295.1</w:t>
            </w:r>
          </w:p>
        </w:tc>
      </w:tr>
      <w:tr>
        <w:trPr>
          <w:trHeight w:val="180"/>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 net of tax:</w:t>
            </w: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38"/>
        </w:trPr>
        <w:tc>
          <w:tcPr>
            <w:tcW w:w="540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Foreign currency translation adjustments, net of tax of $0.7, $1.3, $1.7 and $1.5,</w:t>
            </w:r>
          </w:p>
        </w:tc>
        <w:tc>
          <w:tcPr>
            <w:tcW w:w="8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91"/>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respectively</w:t>
            </w:r>
          </w:p>
        </w:tc>
        <w:tc>
          <w:tcPr>
            <w:tcW w:w="8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38"/>
        </w:trPr>
        <w:tc>
          <w:tcPr>
            <w:tcW w:w="5400" w:type="dxa"/>
            <w:vAlign w:val="bottom"/>
          </w:tcPr>
          <w:p>
            <w:pPr>
              <w:ind w:left="180"/>
              <w:spacing w:after="0" w:line="138" w:lineRule="exact"/>
              <w:rPr>
                <w:sz w:val="20"/>
                <w:szCs w:val="20"/>
                <w:color w:val="auto"/>
              </w:rPr>
            </w:pPr>
            <w:r>
              <w:rPr>
                <w:rFonts w:ascii="Times New Roman" w:cs="Times New Roman" w:eastAsia="Times New Roman" w:hAnsi="Times New Roman"/>
                <w:sz w:val="14"/>
                <w:szCs w:val="14"/>
                <w:color w:val="auto"/>
              </w:rPr>
              <w:t>Defined benefit pension and other postretirement plan adjustments, net of tax of $(0.1),</w:t>
            </w: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91"/>
        </w:trPr>
        <w:tc>
          <w:tcPr>
            <w:tcW w:w="5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$(0.3), $(0.1), and $(0.5), respectively</w:t>
            </w:r>
          </w:p>
        </w:tc>
        <w:tc>
          <w:tcPr>
            <w:tcW w:w="8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38"/>
        </w:trPr>
        <w:tc>
          <w:tcPr>
            <w:tcW w:w="540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Net loss on equity affiliate accumulated other comprehensive income, net of tax of $0.0,</w:t>
            </w: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91"/>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$0.0, $0.0 and $0.0, respectively</w:t>
            </w:r>
          </w:p>
        </w:tc>
        <w:tc>
          <w:tcPr>
            <w:tcW w:w="8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5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Net loss on derivatives, net of tax of $0.3, $(1.0), $(0.4) and $(1.1), respectively</w:t>
            </w:r>
          </w:p>
        </w:tc>
        <w:tc>
          <w:tcPr>
            <w:tcW w:w="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71"/>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 net of tax</w:t>
            </w:r>
          </w:p>
        </w:tc>
        <w:tc>
          <w:tcPr>
            <w:tcW w:w="8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71"/>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8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153.5</w:t>
            </w:r>
          </w:p>
        </w:tc>
        <w:tc>
          <w:tcPr>
            <w:tcW w:w="12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294.6</w:t>
            </w:r>
          </w:p>
        </w:tc>
      </w:tr>
      <w:tr>
        <w:trPr>
          <w:trHeight w:val="20"/>
        </w:trPr>
        <w:tc>
          <w:tcPr>
            <w:tcW w:w="5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 (UNAUDITED)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 Pharmaceutical Services, Inc. and Subsidiaries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(in millions, except per share data)</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June 30,</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ind w:right="333"/>
              <w:spacing w:after="0"/>
              <w:rPr>
                <w:sz w:val="20"/>
                <w:szCs w:val="20"/>
                <w:color w:val="auto"/>
              </w:rPr>
            </w:pPr>
            <w:r>
              <w:rPr>
                <w:rFonts w:ascii="Times New Roman" w:cs="Times New Roman" w:eastAsia="Times New Roman" w:hAnsi="Times New Roman"/>
                <w:sz w:val="13"/>
                <w:szCs w:val="13"/>
                <w:color w:val="auto"/>
              </w:rPr>
              <w:t>December 31,</w:t>
            </w:r>
          </w:p>
        </w:tc>
        <w:tc>
          <w:tcPr>
            <w:tcW w:w="0" w:type="dxa"/>
            <w:vAlign w:val="bottom"/>
          </w:tcPr>
          <w:p>
            <w:pPr>
              <w:spacing w:after="0"/>
              <w:rPr>
                <w:sz w:val="1"/>
                <w:szCs w:val="1"/>
                <w:color w:val="auto"/>
              </w:rPr>
            </w:pPr>
          </w:p>
        </w:tc>
      </w:tr>
      <w:tr>
        <w:trPr>
          <w:trHeight w:val="175"/>
        </w:trPr>
        <w:tc>
          <w:tcPr>
            <w:tcW w:w="8040" w:type="dxa"/>
            <w:vAlign w:val="bottom"/>
            <w:tcBorders>
              <w:bottom w:val="single" w:sz="8" w:color="CCEEFF"/>
            </w:tcBorders>
            <w:vMerge w:val="continue"/>
          </w:tcPr>
          <w:p>
            <w:pPr>
              <w:spacing w:after="0"/>
              <w:rPr>
                <w:sz w:val="15"/>
                <w:szCs w:val="15"/>
                <w:color w:val="auto"/>
              </w:rPr>
            </w:pPr>
          </w:p>
        </w:tc>
        <w:tc>
          <w:tcPr>
            <w:tcW w:w="10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2024</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3"/>
                <w:szCs w:val="13"/>
                <w:color w:val="auto"/>
              </w:rPr>
              <w:t>2023</w:t>
            </w:r>
          </w:p>
        </w:tc>
        <w:tc>
          <w:tcPr>
            <w:tcW w:w="0" w:type="dxa"/>
            <w:vAlign w:val="bottom"/>
          </w:tcPr>
          <w:p>
            <w:pPr>
              <w:spacing w:after="0"/>
              <w:rPr>
                <w:sz w:val="1"/>
                <w:szCs w:val="1"/>
                <w:color w:val="auto"/>
              </w:rPr>
            </w:pPr>
          </w:p>
        </w:tc>
      </w:tr>
      <w:tr>
        <w:trPr>
          <w:trHeight w:val="17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10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6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853.9</w:t>
            </w:r>
          </w:p>
        </w:tc>
        <w:tc>
          <w:tcPr>
            <w:tcW w:w="0" w:type="dxa"/>
            <w:vAlign w:val="bottom"/>
          </w:tcPr>
          <w:p>
            <w:pPr>
              <w:spacing w:after="0"/>
              <w:rPr>
                <w:sz w:val="1"/>
                <w:szCs w:val="1"/>
                <w:color w:val="auto"/>
              </w:rPr>
            </w:pPr>
          </w:p>
        </w:tc>
      </w:tr>
      <w:tr>
        <w:trPr>
          <w:trHeight w:val="177"/>
        </w:trPr>
        <w:tc>
          <w:tcPr>
            <w:tcW w:w="8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receivable, net</w:t>
            </w:r>
          </w:p>
        </w:tc>
        <w:tc>
          <w:tcPr>
            <w:tcW w:w="10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512.0</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Inventories</w:t>
            </w:r>
          </w:p>
        </w:tc>
        <w:tc>
          <w:tcPr>
            <w:tcW w:w="10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434.7</w:t>
            </w:r>
          </w:p>
        </w:tc>
        <w:tc>
          <w:tcPr>
            <w:tcW w:w="0" w:type="dxa"/>
            <w:vAlign w:val="bottom"/>
          </w:tcPr>
          <w:p>
            <w:pPr>
              <w:spacing w:after="0"/>
              <w:rPr>
                <w:sz w:val="1"/>
                <w:szCs w:val="1"/>
                <w:color w:val="auto"/>
              </w:rPr>
            </w:pPr>
          </w:p>
        </w:tc>
      </w:tr>
      <w:tr>
        <w:trPr>
          <w:trHeight w:val="177"/>
        </w:trPr>
        <w:tc>
          <w:tcPr>
            <w:tcW w:w="8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Other current assets</w:t>
            </w:r>
          </w:p>
        </w:tc>
        <w:tc>
          <w:tcPr>
            <w:tcW w:w="10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138.2</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135.8</w:t>
            </w:r>
          </w:p>
        </w:tc>
        <w:tc>
          <w:tcPr>
            <w:tcW w:w="0" w:type="dxa"/>
            <w:vAlign w:val="bottom"/>
          </w:tcPr>
          <w:p>
            <w:pPr>
              <w:spacing w:after="0"/>
              <w:rPr>
                <w:sz w:val="1"/>
                <w:szCs w:val="1"/>
                <w:color w:val="auto"/>
              </w:rPr>
            </w:pPr>
          </w:p>
        </w:tc>
      </w:tr>
      <w:tr>
        <w:trPr>
          <w:trHeight w:val="17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current assets</w:t>
            </w:r>
          </w:p>
        </w:tc>
        <w:tc>
          <w:tcPr>
            <w:tcW w:w="10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1,483.0</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1,936.4</w:t>
            </w:r>
          </w:p>
        </w:tc>
        <w:tc>
          <w:tcPr>
            <w:tcW w:w="0" w:type="dxa"/>
            <w:vAlign w:val="bottom"/>
          </w:tcPr>
          <w:p>
            <w:pPr>
              <w:spacing w:after="0"/>
              <w:rPr>
                <w:sz w:val="1"/>
                <w:szCs w:val="1"/>
                <w:color w:val="auto"/>
              </w:rPr>
            </w:pPr>
          </w:p>
        </w:tc>
      </w:tr>
      <w:tr>
        <w:trPr>
          <w:trHeight w:val="168"/>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10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2,863.6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2,738.0</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10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1,369.9</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1,324.7</w:t>
            </w:r>
          </w:p>
        </w:tc>
        <w:tc>
          <w:tcPr>
            <w:tcW w:w="0" w:type="dxa"/>
            <w:vAlign w:val="bottom"/>
          </w:tcPr>
          <w:p>
            <w:pPr>
              <w:spacing w:after="0"/>
              <w:rPr>
                <w:sz w:val="1"/>
                <w:szCs w:val="1"/>
                <w:color w:val="auto"/>
              </w:rPr>
            </w:pPr>
          </w:p>
        </w:tc>
      </w:tr>
      <w:tr>
        <w:trPr>
          <w:trHeight w:val="168"/>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0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1,493.7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1,413.3</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10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w:t>
            </w:r>
          </w:p>
        </w:tc>
        <w:tc>
          <w:tcPr>
            <w:tcW w:w="0" w:type="dxa"/>
            <w:vAlign w:val="bottom"/>
          </w:tcPr>
          <w:p>
            <w:pPr>
              <w:spacing w:after="0"/>
              <w:rPr>
                <w:sz w:val="1"/>
                <w:szCs w:val="1"/>
                <w:color w:val="auto"/>
              </w:rPr>
            </w:pPr>
          </w:p>
        </w:tc>
      </w:tr>
      <w:tr>
        <w:trPr>
          <w:trHeight w:val="177"/>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 in affiliated companies</w:t>
            </w:r>
          </w:p>
        </w:tc>
        <w:tc>
          <w:tcPr>
            <w:tcW w:w="10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210.0</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0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108.5</w:t>
            </w:r>
          </w:p>
        </w:tc>
        <w:tc>
          <w:tcPr>
            <w:tcW w:w="0" w:type="dxa"/>
            <w:vAlign w:val="bottom"/>
          </w:tcPr>
          <w:p>
            <w:pPr>
              <w:spacing w:after="0"/>
              <w:rPr>
                <w:sz w:val="1"/>
                <w:szCs w:val="1"/>
                <w:color w:val="auto"/>
              </w:rPr>
            </w:pPr>
          </w:p>
        </w:tc>
      </w:tr>
      <w:tr>
        <w:trPr>
          <w:trHeight w:val="177"/>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10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income taxes</w:t>
            </w:r>
          </w:p>
        </w:tc>
        <w:tc>
          <w:tcPr>
            <w:tcW w:w="10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0" w:type="dxa"/>
            <w:vAlign w:val="bottom"/>
          </w:tcPr>
          <w:p>
            <w:pPr>
              <w:spacing w:after="0"/>
              <w:rPr>
                <w:sz w:val="1"/>
                <w:szCs w:val="1"/>
                <w:color w:val="auto"/>
              </w:rPr>
            </w:pPr>
          </w:p>
        </w:tc>
      </w:tr>
      <w:tr>
        <w:trPr>
          <w:trHeight w:val="177"/>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noncurrent assets</w:t>
            </w:r>
          </w:p>
        </w:tc>
        <w:tc>
          <w:tcPr>
            <w:tcW w:w="10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0" w:type="dxa"/>
            <w:vAlign w:val="bottom"/>
          </w:tcPr>
          <w:p>
            <w:pPr>
              <w:spacing w:after="0"/>
              <w:rPr>
                <w:sz w:val="1"/>
                <w:szCs w:val="1"/>
                <w:color w:val="auto"/>
              </w:rPr>
            </w:pPr>
          </w:p>
        </w:tc>
      </w:tr>
      <w:tr>
        <w:trPr>
          <w:trHeight w:val="199"/>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06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3,489.4</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3,829.5</w:t>
            </w:r>
          </w:p>
        </w:tc>
        <w:tc>
          <w:tcPr>
            <w:tcW w:w="0" w:type="dxa"/>
            <w:vAlign w:val="bottom"/>
          </w:tcPr>
          <w:p>
            <w:pPr>
              <w:spacing w:after="0"/>
              <w:rPr>
                <w:sz w:val="1"/>
                <w:szCs w:val="1"/>
                <w:color w:val="auto"/>
              </w:rPr>
            </w:pPr>
          </w:p>
        </w:tc>
      </w:tr>
      <w:tr>
        <w:trPr>
          <w:trHeight w:val="28"/>
        </w:trPr>
        <w:tc>
          <w:tcPr>
            <w:tcW w:w="8040" w:type="dxa"/>
            <w:vAlign w:val="bottom"/>
            <w:tcBorders>
              <w:top w:val="single" w:sz="8" w:color="CCEEFF"/>
            </w:tcBorders>
          </w:tcPr>
          <w:p>
            <w:pPr>
              <w:spacing w:after="0"/>
              <w:rPr>
                <w:sz w:val="2"/>
                <w:szCs w:val="2"/>
                <w:color w:val="auto"/>
              </w:rPr>
            </w:pPr>
          </w:p>
        </w:tc>
        <w:tc>
          <w:tcPr>
            <w:tcW w:w="1060" w:type="dxa"/>
            <w:vAlign w:val="bottom"/>
            <w:tcBorders>
              <w:top w:val="single" w:sz="8" w:color="CCEEFF"/>
              <w:bottom w:val="single" w:sz="8" w:color="auto"/>
            </w:tcBorders>
          </w:tcPr>
          <w:p>
            <w:pPr>
              <w:spacing w:after="0"/>
              <w:rPr>
                <w:sz w:val="2"/>
                <w:szCs w:val="2"/>
                <w:color w:val="auto"/>
              </w:rPr>
            </w:pPr>
          </w:p>
        </w:tc>
        <w:tc>
          <w:tcPr>
            <w:tcW w:w="500" w:type="dxa"/>
            <w:vAlign w:val="bottom"/>
            <w:tcBorders>
              <w:top w:val="single" w:sz="8" w:color="CCEEFF"/>
              <w:bottom w:val="single" w:sz="8" w:color="auto"/>
            </w:tcBorders>
          </w:tcPr>
          <w:p>
            <w:pPr>
              <w:spacing w:after="0"/>
              <w:rPr>
                <w:sz w:val="2"/>
                <w:szCs w:val="2"/>
                <w:color w:val="auto"/>
              </w:rPr>
            </w:pPr>
          </w:p>
        </w:tc>
        <w:tc>
          <w:tcPr>
            <w:tcW w:w="120" w:type="dxa"/>
            <w:vAlign w:val="bottom"/>
            <w:tcBorders>
              <w:top w:val="single" w:sz="8" w:color="CCEEFF"/>
            </w:tcBorders>
          </w:tcPr>
          <w:p>
            <w:pPr>
              <w:spacing w:after="0"/>
              <w:rPr>
                <w:sz w:val="2"/>
                <w:szCs w:val="2"/>
                <w:color w:val="auto"/>
              </w:rPr>
            </w:pPr>
          </w:p>
        </w:tc>
        <w:tc>
          <w:tcPr>
            <w:tcW w:w="240" w:type="dxa"/>
            <w:vAlign w:val="bottom"/>
            <w:tcBorders>
              <w:top w:val="single" w:sz="8" w:color="CCEEFF"/>
              <w:bottom w:val="single" w:sz="8" w:color="auto"/>
            </w:tcBorders>
          </w:tcPr>
          <w:p>
            <w:pPr>
              <w:spacing w:after="0"/>
              <w:rPr>
                <w:sz w:val="2"/>
                <w:szCs w:val="2"/>
                <w:color w:val="auto"/>
              </w:rPr>
            </w:pPr>
          </w:p>
        </w:tc>
        <w:tc>
          <w:tcPr>
            <w:tcW w:w="1320" w:type="dxa"/>
            <w:vAlign w:val="bottom"/>
            <w:tcBorders>
              <w:top w:val="single" w:sz="8" w:color="CCEEFF"/>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LIABILITIES AND EQUITY</w:t>
            </w:r>
          </w:p>
        </w:tc>
        <w:tc>
          <w:tcPr>
            <w:tcW w:w="10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Notes payable and other current debt</w:t>
            </w:r>
          </w:p>
        </w:tc>
        <w:tc>
          <w:tcPr>
            <w:tcW w:w="106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134.0</w:t>
            </w:r>
          </w:p>
        </w:tc>
        <w:tc>
          <w:tcPr>
            <w:tcW w:w="0" w:type="dxa"/>
            <w:vAlign w:val="bottom"/>
          </w:tcPr>
          <w:p>
            <w:pPr>
              <w:spacing w:after="0"/>
              <w:rPr>
                <w:sz w:val="1"/>
                <w:szCs w:val="1"/>
                <w:color w:val="auto"/>
              </w:rPr>
            </w:pPr>
          </w:p>
        </w:tc>
      </w:tr>
      <w:tr>
        <w:trPr>
          <w:trHeight w:val="177"/>
        </w:trPr>
        <w:tc>
          <w:tcPr>
            <w:tcW w:w="8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10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242.4</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salaries, wages and benefits</w:t>
            </w:r>
          </w:p>
        </w:tc>
        <w:tc>
          <w:tcPr>
            <w:tcW w:w="10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105.9</w:t>
            </w:r>
          </w:p>
        </w:tc>
        <w:tc>
          <w:tcPr>
            <w:tcW w:w="0" w:type="dxa"/>
            <w:vAlign w:val="bottom"/>
          </w:tcPr>
          <w:p>
            <w:pPr>
              <w:spacing w:after="0"/>
              <w:rPr>
                <w:sz w:val="1"/>
                <w:szCs w:val="1"/>
                <w:color w:val="auto"/>
              </w:rPr>
            </w:pPr>
          </w:p>
        </w:tc>
      </w:tr>
      <w:tr>
        <w:trPr>
          <w:trHeight w:val="177"/>
        </w:trPr>
        <w:tc>
          <w:tcPr>
            <w:tcW w:w="8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Income taxes payable</w:t>
            </w:r>
          </w:p>
        </w:tc>
        <w:tc>
          <w:tcPr>
            <w:tcW w:w="10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0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0" w:type="dxa"/>
            <w:vAlign w:val="bottom"/>
          </w:tcPr>
          <w:p>
            <w:pPr>
              <w:spacing w:after="0"/>
              <w:rPr>
                <w:sz w:val="1"/>
                <w:szCs w:val="1"/>
                <w:color w:val="auto"/>
              </w:rPr>
            </w:pPr>
          </w:p>
        </w:tc>
      </w:tr>
      <w:tr>
        <w:trPr>
          <w:trHeight w:val="177"/>
        </w:trPr>
        <w:tc>
          <w:tcPr>
            <w:tcW w:w="8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0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155.2</w:t>
            </w:r>
          </w:p>
        </w:tc>
        <w:tc>
          <w:tcPr>
            <w:tcW w:w="0" w:type="dxa"/>
            <w:vAlign w:val="bottom"/>
          </w:tcPr>
          <w:p>
            <w:pPr>
              <w:spacing w:after="0"/>
              <w:rPr>
                <w:sz w:val="1"/>
                <w:szCs w:val="1"/>
                <w:color w:val="auto"/>
              </w:rPr>
            </w:pPr>
          </w:p>
        </w:tc>
      </w:tr>
      <w:tr>
        <w:trPr>
          <w:trHeight w:val="17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0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633.7</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671.8</w:t>
            </w:r>
          </w:p>
        </w:tc>
        <w:tc>
          <w:tcPr>
            <w:tcW w:w="0" w:type="dxa"/>
            <w:vAlign w:val="bottom"/>
          </w:tcPr>
          <w:p>
            <w:pPr>
              <w:spacing w:after="0"/>
              <w:rPr>
                <w:sz w:val="1"/>
                <w:szCs w:val="1"/>
                <w:color w:val="auto"/>
              </w:rPr>
            </w:pPr>
          </w:p>
        </w:tc>
      </w:tr>
      <w:tr>
        <w:trPr>
          <w:trHeight w:val="168"/>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debt</w:t>
            </w:r>
          </w:p>
        </w:tc>
        <w:tc>
          <w:tcPr>
            <w:tcW w:w="10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income taxes</w:t>
            </w:r>
          </w:p>
        </w:tc>
        <w:tc>
          <w:tcPr>
            <w:tcW w:w="10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0" w:type="dxa"/>
            <w:vAlign w:val="bottom"/>
          </w:tcPr>
          <w:p>
            <w:pPr>
              <w:spacing w:after="0"/>
              <w:rPr>
                <w:sz w:val="1"/>
                <w:szCs w:val="1"/>
                <w:color w:val="auto"/>
              </w:rPr>
            </w:pPr>
          </w:p>
        </w:tc>
      </w:tr>
      <w:tr>
        <w:trPr>
          <w:trHeight w:val="177"/>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Pension and other postretirement benefits</w:t>
            </w:r>
          </w:p>
        </w:tc>
        <w:tc>
          <w:tcPr>
            <w:tcW w:w="10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0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w:t>
            </w:r>
          </w:p>
        </w:tc>
        <w:tc>
          <w:tcPr>
            <w:tcW w:w="0" w:type="dxa"/>
            <w:vAlign w:val="bottom"/>
          </w:tcPr>
          <w:p>
            <w:pPr>
              <w:spacing w:after="0"/>
              <w:rPr>
                <w:sz w:val="1"/>
                <w:szCs w:val="1"/>
                <w:color w:val="auto"/>
              </w:rPr>
            </w:pPr>
          </w:p>
        </w:tc>
      </w:tr>
      <w:tr>
        <w:trPr>
          <w:trHeight w:val="177"/>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compensation benefits</w:t>
            </w:r>
          </w:p>
        </w:tc>
        <w:tc>
          <w:tcPr>
            <w:tcW w:w="10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0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0" w:type="dxa"/>
            <w:vAlign w:val="bottom"/>
          </w:tcPr>
          <w:p>
            <w:pPr>
              <w:spacing w:after="0"/>
              <w:rPr>
                <w:sz w:val="1"/>
                <w:szCs w:val="1"/>
                <w:color w:val="auto"/>
              </w:rPr>
            </w:pPr>
          </w:p>
        </w:tc>
      </w:tr>
      <w:tr>
        <w:trPr>
          <w:trHeight w:val="168"/>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Liabilities</w:t>
            </w:r>
          </w:p>
        </w:tc>
        <w:tc>
          <w:tcPr>
            <w:tcW w:w="10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912.6</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948.5</w:t>
            </w:r>
          </w:p>
        </w:tc>
        <w:tc>
          <w:tcPr>
            <w:tcW w:w="0" w:type="dxa"/>
            <w:vAlign w:val="bottom"/>
          </w:tcPr>
          <w:p>
            <w:pPr>
              <w:spacing w:after="0"/>
              <w:rPr>
                <w:sz w:val="1"/>
                <w:szCs w:val="1"/>
                <w:color w:val="auto"/>
              </w:rPr>
            </w:pPr>
          </w:p>
        </w:tc>
      </w:tr>
      <w:tr>
        <w:trPr>
          <w:trHeight w:val="68"/>
        </w:trPr>
        <w:tc>
          <w:tcPr>
            <w:tcW w:w="804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16)</w:t>
            </w: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80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Preferred stock, 3.0 million shares authorized; 0 shares issued and outstanding</w:t>
            </w:r>
          </w:p>
        </w:tc>
        <w:tc>
          <w:tcPr>
            <w:tcW w:w="10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8040" w:type="dxa"/>
            <w:vAlign w:val="bottom"/>
          </w:tcPr>
          <w:p>
            <w:pPr>
              <w:ind w:left="180"/>
              <w:spacing w:after="0" w:line="132" w:lineRule="exact"/>
              <w:rPr>
                <w:sz w:val="20"/>
                <w:szCs w:val="20"/>
                <w:color w:val="auto"/>
              </w:rPr>
            </w:pPr>
            <w:r>
              <w:rPr>
                <w:rFonts w:ascii="Times New Roman" w:cs="Times New Roman" w:eastAsia="Times New Roman" w:hAnsi="Times New Roman"/>
                <w:sz w:val="13"/>
                <w:szCs w:val="13"/>
                <w:color w:val="auto"/>
              </w:rPr>
              <w:t>Common stock, par value $0.25 per share; 200.0 million shares authorized; shares issued: 75.3 million and 75.3 million as of June 30,2024 and</w:t>
            </w:r>
          </w:p>
        </w:tc>
        <w:tc>
          <w:tcPr>
            <w:tcW w:w="10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0" w:type="dxa"/>
            <w:vAlign w:val="bottom"/>
          </w:tcPr>
          <w:p>
            <w:pPr>
              <w:spacing w:after="0"/>
              <w:rPr>
                <w:sz w:val="1"/>
                <w:szCs w:val="1"/>
                <w:color w:val="auto"/>
              </w:rPr>
            </w:pPr>
          </w:p>
        </w:tc>
      </w:tr>
      <w:tr>
        <w:trPr>
          <w:trHeight w:val="175"/>
        </w:trPr>
        <w:tc>
          <w:tcPr>
            <w:tcW w:w="80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December 31, 2023, respectively; shares outstanding: 72.6 million and 73.5 million as of June 30, 2024 and December 31, 2023, respectively</w:t>
            </w:r>
          </w:p>
        </w:tc>
        <w:tc>
          <w:tcPr>
            <w:tcW w:w="10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Capital in excess of par value</w:t>
            </w:r>
          </w:p>
        </w:tc>
        <w:tc>
          <w:tcPr>
            <w:tcW w:w="10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120.2</w:t>
            </w:r>
          </w:p>
        </w:tc>
        <w:tc>
          <w:tcPr>
            <w:tcW w:w="0" w:type="dxa"/>
            <w:vAlign w:val="bottom"/>
          </w:tcPr>
          <w:p>
            <w:pPr>
              <w:spacing w:after="0"/>
              <w:rPr>
                <w:sz w:val="1"/>
                <w:szCs w:val="1"/>
                <w:color w:val="auto"/>
              </w:rPr>
            </w:pPr>
          </w:p>
        </w:tc>
      </w:tr>
      <w:tr>
        <w:trPr>
          <w:trHeight w:val="177"/>
        </w:trPr>
        <w:tc>
          <w:tcPr>
            <w:tcW w:w="8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Retained earnings</w:t>
            </w:r>
          </w:p>
        </w:tc>
        <w:tc>
          <w:tcPr>
            <w:tcW w:w="10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3,720.9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3,523.4</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0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(143.8)</w:t>
            </w:r>
          </w:p>
        </w:tc>
        <w:tc>
          <w:tcPr>
            <w:tcW w:w="0" w:type="dxa"/>
            <w:vAlign w:val="bottom"/>
          </w:tcPr>
          <w:p>
            <w:pPr>
              <w:spacing w:after="0"/>
              <w:rPr>
                <w:sz w:val="1"/>
                <w:szCs w:val="1"/>
                <w:color w:val="auto"/>
              </w:rPr>
            </w:pPr>
          </w:p>
        </w:tc>
      </w:tr>
      <w:tr>
        <w:trPr>
          <w:trHeight w:val="177"/>
        </w:trPr>
        <w:tc>
          <w:tcPr>
            <w:tcW w:w="8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Treasury stock, at cost (2.7 million and 1.8 million shares)</w:t>
            </w:r>
          </w:p>
        </w:tc>
        <w:tc>
          <w:tcPr>
            <w:tcW w:w="10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(979.5)</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(637.6)</w:t>
            </w:r>
          </w:p>
        </w:tc>
        <w:tc>
          <w:tcPr>
            <w:tcW w:w="0" w:type="dxa"/>
            <w:vAlign w:val="bottom"/>
          </w:tcPr>
          <w:p>
            <w:pPr>
              <w:spacing w:after="0"/>
              <w:rPr>
                <w:sz w:val="1"/>
                <w:szCs w:val="1"/>
                <w:color w:val="auto"/>
              </w:rPr>
            </w:pP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Equity</w:t>
            </w:r>
          </w:p>
        </w:tc>
        <w:tc>
          <w:tcPr>
            <w:tcW w:w="10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2,576.8</w:t>
            </w: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2,881.0</w:t>
            </w:r>
          </w:p>
        </w:tc>
        <w:tc>
          <w:tcPr>
            <w:tcW w:w="0" w:type="dxa"/>
            <w:vAlign w:val="bottom"/>
          </w:tcPr>
          <w:p>
            <w:pPr>
              <w:spacing w:after="0"/>
              <w:rPr>
                <w:sz w:val="1"/>
                <w:szCs w:val="1"/>
                <w:color w:val="auto"/>
              </w:rPr>
            </w:pPr>
          </w:p>
        </w:tc>
      </w:tr>
      <w:tr>
        <w:trPr>
          <w:trHeight w:val="174"/>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Liabilities and Equity</w:t>
            </w:r>
          </w:p>
        </w:tc>
        <w:tc>
          <w:tcPr>
            <w:tcW w:w="106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3,489.4</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3,829.5</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 (UNAUDITED)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West Pharmaceutical Services, Inc.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millions)</w:t>
      </w:r>
    </w:p>
    <w:p>
      <w:pPr>
        <w:spacing w:after="0" w:line="19"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4"/>
          <w:szCs w:val="14"/>
          <w:color w:val="auto"/>
        </w:rPr>
        <w:t>Six Months Ended</w:t>
      </w:r>
    </w:p>
    <w:p>
      <w:pPr>
        <w:jc w:val="center"/>
        <w:ind w:left="8020"/>
        <w:spacing w:after="0"/>
        <w:rPr>
          <w:sz w:val="20"/>
          <w:szCs w:val="20"/>
          <w:color w:val="auto"/>
        </w:rPr>
      </w:pPr>
      <w:r>
        <w:rPr>
          <w:rFonts w:ascii="Times New Roman" w:cs="Times New Roman" w:eastAsia="Times New Roman" w:hAnsi="Times New Roman"/>
          <w:sz w:val="14"/>
          <w:szCs w:val="14"/>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4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2024</w:t>
            </w:r>
          </w:p>
        </w:tc>
        <w:tc>
          <w:tcPr>
            <w:tcW w:w="5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0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0"/>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226.6</w:t>
            </w:r>
          </w:p>
        </w:tc>
        <w:tc>
          <w:tcPr>
            <w:tcW w:w="12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295.1</w:t>
            </w:r>
          </w:p>
        </w:tc>
      </w:tr>
      <w:tr>
        <w:trPr>
          <w:trHeight w:val="18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80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Depreciation</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w:t>
            </w:r>
          </w:p>
        </w:tc>
      </w:tr>
      <w:tr>
        <w:trPr>
          <w:trHeight w:val="180"/>
        </w:trPr>
        <w:tc>
          <w:tcPr>
            <w:tcW w:w="8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Amortization</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80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180"/>
        </w:trPr>
        <w:tc>
          <w:tcPr>
            <w:tcW w:w="8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Loss on disposal of plant</w:t>
            </w:r>
          </w:p>
        </w:tc>
        <w:tc>
          <w:tcPr>
            <w:tcW w:w="10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80"/>
        </w:trPr>
        <w:tc>
          <w:tcPr>
            <w:tcW w:w="80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Asset impairments</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80"/>
        </w:trPr>
        <w:tc>
          <w:tcPr>
            <w:tcW w:w="8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 non-cash items, net</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180"/>
        </w:trPr>
        <w:tc>
          <w:tcPr>
            <w:tcW w:w="8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10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w:t>
            </w: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283.2</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307.3</w:t>
            </w:r>
          </w:p>
        </w:tc>
      </w:tr>
      <w:tr>
        <w:trPr>
          <w:trHeight w:val="107"/>
        </w:trPr>
        <w:tc>
          <w:tcPr>
            <w:tcW w:w="80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 expenditures</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w:t>
            </w:r>
          </w:p>
        </w:tc>
      </w:tr>
      <w:tr>
        <w:trPr>
          <w:trHeight w:val="18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10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71"/>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0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(164.2)</w:t>
            </w:r>
          </w:p>
        </w:tc>
      </w:tr>
      <w:tr>
        <w:trPr>
          <w:trHeight w:val="107"/>
        </w:trPr>
        <w:tc>
          <w:tcPr>
            <w:tcW w:w="80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Borrowings of long-term debt</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Repayments of long-term debt</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Principal repayments on finance leases</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 payments</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r>
      <w:tr>
        <w:trPr>
          <w:trHeight w:val="18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stock-based compensation awards</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180"/>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 contributions</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8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purchased under share repurchase programs</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w:t>
            </w:r>
          </w:p>
        </w:tc>
      </w:tr>
      <w:tr>
        <w:trPr>
          <w:trHeight w:val="180"/>
        </w:trPr>
        <w:tc>
          <w:tcPr>
            <w:tcW w:w="8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Shares repurchased for employee tax withholdings</w:t>
            </w:r>
          </w:p>
        </w:tc>
        <w:tc>
          <w:tcPr>
            <w:tcW w:w="10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0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(489.3)</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w:t>
            </w:r>
          </w:p>
        </w:tc>
      </w:tr>
      <w:tr>
        <w:trPr>
          <w:trHeight w:val="171"/>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rates on cash</w:t>
            </w:r>
          </w:p>
        </w:tc>
        <w:tc>
          <w:tcPr>
            <w:tcW w:w="10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10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(407.7)</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w:t>
            </w:r>
          </w:p>
        </w:tc>
      </w:tr>
      <w:tr>
        <w:trPr>
          <w:trHeight w:val="127"/>
        </w:trPr>
        <w:tc>
          <w:tcPr>
            <w:tcW w:w="8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including cash equivalents at beginning of period</w:t>
            </w:r>
          </w:p>
        </w:tc>
        <w:tc>
          <w:tcPr>
            <w:tcW w:w="10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853.9</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894.3</w:t>
            </w:r>
          </w:p>
        </w:tc>
      </w:tr>
      <w:tr>
        <w:trPr>
          <w:trHeight w:val="171"/>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including cash equivalents at end of period</w:t>
            </w:r>
          </w:p>
        </w:tc>
        <w:tc>
          <w:tcPr>
            <w:tcW w:w="102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446.2</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796.3</w:t>
            </w:r>
          </w:p>
        </w:tc>
      </w:tr>
      <w:tr>
        <w:trPr>
          <w:trHeight w:val="20"/>
        </w:trPr>
        <w:tc>
          <w:tcPr>
            <w:tcW w:w="8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Basis of Presentation</w:t>
      </w:r>
    </w:p>
    <w:p>
      <w:pPr>
        <w:spacing w:after="0" w:line="200" w:lineRule="exact"/>
        <w:rPr>
          <w:sz w:val="20"/>
          <w:szCs w:val="20"/>
          <w:color w:val="auto"/>
        </w:rPr>
      </w:pPr>
    </w:p>
    <w:p>
      <w:pPr>
        <w:spacing w:after="0" w:line="258" w:lineRule="auto"/>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b w:val="1"/>
          <w:bCs w:val="1"/>
          <w:color w:val="auto"/>
        </w:rPr>
        <w:t>Basis of Presentation</w:t>
      </w:r>
      <w:r>
        <w:rPr>
          <w:rFonts w:ascii="Times New Roman" w:cs="Times New Roman" w:eastAsia="Times New Roman" w:hAnsi="Times New Roman"/>
          <w:sz w:val="14"/>
          <w:szCs w:val="14"/>
          <w:color w:val="auto"/>
        </w:rPr>
        <w:t>: The condensed consolidated financial statements included in this report are unaudited and have been prepared in accordance with United States (“U.S.”) generally accepted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accounting principles (“U.S. GAAP”) for interim financial reporting and U.S. Securities and Exchange Commission (“SEC”) regulations. The year-end condensed consolidated balance sheet data was derived from audited financial statements, but does not include all disclosures required by U.S. GAAP. Certain information and footnote disclosures normally included in annual financial statements prepared in accordance with U.S. GAAP have been condensed or omitted. In the opinion of management, these financial statements include all adjustments, which are of a normal recurring nature, necessary for a fair statement of the financial position, results of operations, cash flows and the change in equity for the periods presented. The condensed consolidated financial statements for the three and six months ended June 30, 2024, should be read in conjunction with the consolidated financial statements and notes thereto of West Pharmaceutical Services, Inc. and its majority-owned </w:t>
      </w:r>
      <w:hyperlink r:id="rId16">
        <w:r>
          <w:rPr>
            <w:rFonts w:ascii="Times New Roman" w:cs="Times New Roman" w:eastAsia="Times New Roman" w:hAnsi="Times New Roman"/>
            <w:sz w:val="14"/>
            <w:szCs w:val="14"/>
            <w:color w:val="auto"/>
          </w:rPr>
          <w:t>subsidiaries (which may be referred to as “West”, the “Company”, “we”, “us” or “our”) appearing in our Annual Report on Form 10-K for the year ended December 31, 2023 (the “</w:t>
        </w:r>
        <w:r>
          <w:rPr>
            <w:rFonts w:ascii="Times New Roman" w:cs="Times New Roman" w:eastAsia="Times New Roman" w:hAnsi="Times New Roman"/>
            <w:sz w:val="14"/>
            <w:szCs w:val="14"/>
            <w:u w:val="single" w:color="auto"/>
            <w:color w:val="0000FF"/>
          </w:rPr>
          <w:t>2023 Annual</w:t>
        </w:r>
      </w:hyperlink>
      <w:r>
        <w:rPr>
          <w:rFonts w:ascii="Times New Roman" w:cs="Times New Roman" w:eastAsia="Times New Roman" w:hAnsi="Times New Roman"/>
          <w:sz w:val="14"/>
          <w:szCs w:val="14"/>
          <w:color w:val="auto"/>
        </w:rPr>
        <w:t xml:space="preserve"> </w:t>
      </w:r>
      <w:hyperlink r:id="rId16">
        <w:r>
          <w:rPr>
            <w:rFonts w:ascii="Times New Roman" w:cs="Times New Roman" w:eastAsia="Times New Roman" w:hAnsi="Times New Roman"/>
            <w:sz w:val="14"/>
            <w:szCs w:val="14"/>
            <w:u w:val="single" w:color="auto"/>
            <w:color w:val="0000FF"/>
          </w:rPr>
          <w:t>Report</w:t>
        </w:r>
        <w:r>
          <w:rPr>
            <w:rFonts w:ascii="Times New Roman" w:cs="Times New Roman" w:eastAsia="Times New Roman" w:hAnsi="Times New Roman"/>
            <w:sz w:val="14"/>
            <w:szCs w:val="14"/>
            <w:color w:val="000000"/>
          </w:rPr>
          <w:t>”). The results of operations for any interim period are not necessarily indicative of results for the full year.</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New Accounting Standards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Standards Issued Not Yet Adopted</w:t>
      </w:r>
    </w:p>
    <w:p>
      <w:pPr>
        <w:spacing w:after="0" w:line="20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In November 2023, the Financial Accounting Standards Board ("FASB") issued guidance that seeks to improve reportable segment disclosure requirements, primarily through enhanced disclosures about significant segment expenses. The amendment enhances interim disclosure requirements, clarifies circumstances in which an entity can disclose multiple segment measures of profit or loss, provides new segment disclosure requirements for entities with a single reportable segment, and contains other disclosure requirements. This guidance is effective for fiscal years beginning after December 15, 2023 and interim periods beginning after December 15, 2024. We are currently evaluating the impact of this guidance on our financial statements and disclosures. The Company does not expect the adoption to have a material impact on the consolidated financial statements and disclosures.</w:t>
      </w:r>
    </w:p>
    <w:p>
      <w:pPr>
        <w:spacing w:after="0" w:line="16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In December 2023, the FASB issued guidance that seeks to enhance income tax disclosures to provide information to better assess how an entity's operations and related tax risks affect its tax rate and prospects for future cash flows. Within the income tax rate reconciliation, the amendment requires disclosure of additional categories and greater detail about individual reconciling items over a specified threshold. It also requires information pertaining to taxes paid to be disaggregated for federal, state, and foreign taxes and further disaggregated for specific jurisdictions over a specified threshold. This guidance is effective for fiscal years beginning after December 15, 2024. We are currently evaluating the impact of this guidance on our financial statements and disclosures, but we do not expect the adoption to have a material impact on the consolidated financial statements other than the expanded footnote disclosure.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Revenue</w:t>
      </w:r>
    </w:p>
    <w:p>
      <w:pPr>
        <w:spacing w:after="0" w:line="23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Our revenue results from the sale of goods or services and reflects the consideration to which we expect to be entitled in exchange for those goods or services. We record revenue based on a five-step model, in accordance with Accounting Standards Codification (“ASC”) 606. Following the identification of a contract with a customer, we identify the performance obligations (goods or services) in the contract, determine the transaction price, allocate the transaction price to the performance obligations in the contract, and recognize the revenue when (or as) we satisfy the performance obligations by transferring the promised goods or services to our customers. A good or service is transferred when (or as) the customer obtains control of that good or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presents the approximate percentage of our net sales by market group:</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60"/>
        </w:trPr>
        <w:tc>
          <w:tcPr>
            <w:tcW w:w="5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60" w:type="dxa"/>
            <w:vAlign w:val="bottom"/>
            <w:gridSpan w:val="3"/>
          </w:tcPr>
          <w:p>
            <w:pPr>
              <w:jc w:val="center"/>
              <w:ind w:right="460"/>
              <w:spacing w:after="0" w:line="159" w:lineRule="exact"/>
              <w:rPr>
                <w:sz w:val="20"/>
                <w:szCs w:val="20"/>
                <w:color w:val="auto"/>
              </w:rPr>
            </w:pPr>
            <w:r>
              <w:rPr>
                <w:rFonts w:ascii="Times New Roman" w:cs="Times New Roman" w:eastAsia="Times New Roman" w:hAnsi="Times New Roman"/>
                <w:sz w:val="14"/>
                <w:szCs w:val="14"/>
                <w:color w:val="auto"/>
                <w:w w:val="99"/>
              </w:rPr>
              <w:t>Three Months Ended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gridSpan w:val="3"/>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Six Months Ended</w:t>
            </w:r>
          </w:p>
        </w:tc>
        <w:tc>
          <w:tcPr>
            <w:tcW w:w="880" w:type="dxa"/>
            <w:vAlign w:val="bottom"/>
          </w:tcPr>
          <w:p>
            <w:pPr>
              <w:spacing w:after="0"/>
              <w:rPr>
                <w:sz w:val="13"/>
                <w:szCs w:val="13"/>
                <w:color w:val="auto"/>
              </w:rPr>
            </w:pPr>
          </w:p>
        </w:tc>
      </w:tr>
      <w:tr>
        <w:trPr>
          <w:trHeight w:val="187"/>
        </w:trPr>
        <w:tc>
          <w:tcPr>
            <w:tcW w:w="50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4"/>
                <w:szCs w:val="14"/>
                <w:color w:val="auto"/>
                <w:w w:val="98"/>
              </w:rPr>
              <w:t>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June 30,</w:t>
            </w:r>
          </w:p>
        </w:tc>
        <w:tc>
          <w:tcPr>
            <w:tcW w:w="880" w:type="dxa"/>
            <w:vAlign w:val="bottom"/>
            <w:tcBorders>
              <w:bottom w:val="single" w:sz="8" w:color="auto"/>
            </w:tcBorders>
          </w:tcPr>
          <w:p>
            <w:pPr>
              <w:spacing w:after="0"/>
              <w:rPr>
                <w:sz w:val="16"/>
                <w:szCs w:val="16"/>
                <w:color w:val="auto"/>
              </w:rPr>
            </w:pPr>
          </w:p>
        </w:tc>
      </w:tr>
      <w:tr>
        <w:trPr>
          <w:trHeight w:val="174"/>
        </w:trPr>
        <w:tc>
          <w:tcPr>
            <w:tcW w:w="50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2023</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Biologics</w:t>
            </w:r>
          </w:p>
        </w:tc>
        <w:tc>
          <w:tcPr>
            <w:tcW w:w="9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r>
      <w:tr>
        <w:trPr>
          <w:trHeight w:val="18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Generics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r>
      <w:tr>
        <w:trPr>
          <w:trHeight w:val="18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Pharma</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r>
      <w:tr>
        <w:trPr>
          <w:trHeight w:val="18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196"/>
        </w:trPr>
        <w:tc>
          <w:tcPr>
            <w:tcW w:w="504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418"/>
        </w:trPr>
        <w:tc>
          <w:tcPr>
            <w:tcW w:w="6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presents the approximate percentage of our net sales by product category:</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6"/>
        </w:trPr>
        <w:tc>
          <w:tcPr>
            <w:tcW w:w="5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color w:val="auto"/>
                <w:w w:val="99"/>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Six Months Ended</w:t>
            </w:r>
          </w:p>
        </w:tc>
        <w:tc>
          <w:tcPr>
            <w:tcW w:w="880" w:type="dxa"/>
            <w:vAlign w:val="bottom"/>
          </w:tcPr>
          <w:p>
            <w:pPr>
              <w:spacing w:after="0"/>
              <w:rPr>
                <w:sz w:val="14"/>
                <w:szCs w:val="14"/>
                <w:color w:val="auto"/>
              </w:rPr>
            </w:pPr>
          </w:p>
        </w:tc>
      </w:tr>
      <w:tr>
        <w:trPr>
          <w:trHeight w:val="184"/>
        </w:trPr>
        <w:tc>
          <w:tcPr>
            <w:tcW w:w="50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4"/>
                <w:szCs w:val="14"/>
                <w:color w:val="auto"/>
                <w:w w:val="98"/>
              </w:rPr>
              <w:t>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June 30,</w:t>
            </w:r>
          </w:p>
        </w:tc>
        <w:tc>
          <w:tcPr>
            <w:tcW w:w="880" w:type="dxa"/>
            <w:vAlign w:val="bottom"/>
            <w:tcBorders>
              <w:bottom w:val="single" w:sz="8" w:color="auto"/>
            </w:tcBorders>
          </w:tcPr>
          <w:p>
            <w:pPr>
              <w:spacing w:after="0"/>
              <w:rPr>
                <w:sz w:val="16"/>
                <w:szCs w:val="16"/>
                <w:color w:val="auto"/>
              </w:rPr>
            </w:pPr>
          </w:p>
        </w:tc>
      </w:tr>
      <w:tr>
        <w:trPr>
          <w:trHeight w:val="171"/>
        </w:trPr>
        <w:tc>
          <w:tcPr>
            <w:tcW w:w="50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2023</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High-Value Product Components</w:t>
            </w:r>
          </w:p>
        </w:tc>
        <w:tc>
          <w:tcPr>
            <w:tcW w:w="9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8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High-Value Product Delivery Devices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18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Standard Packaging</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r>
      <w:tr>
        <w:trPr>
          <w:trHeight w:val="18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196"/>
        </w:trPr>
        <w:tc>
          <w:tcPr>
            <w:tcW w:w="504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Due to the Company's reassessment of product categories, beginning in the second quarter of 2023 certain product types have been moved from High-Value Product Components to High-Value Product Delivery Devices. No adjustments were made to the product categorization prior to the second quarter of 2023.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presents the approximate percentage of our net sales by geographic location:</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66"/>
        </w:trPr>
        <w:tc>
          <w:tcPr>
            <w:tcW w:w="5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40" w:type="dxa"/>
            <w:vAlign w:val="bottom"/>
            <w:gridSpan w:val="3"/>
          </w:tcPr>
          <w:p>
            <w:pPr>
              <w:jc w:val="center"/>
              <w:ind w:left="369"/>
              <w:spacing w:after="0"/>
              <w:rPr>
                <w:sz w:val="20"/>
                <w:szCs w:val="20"/>
                <w:color w:val="auto"/>
              </w:rPr>
            </w:pPr>
            <w:r>
              <w:rPr>
                <w:rFonts w:ascii="Times New Roman" w:cs="Times New Roman" w:eastAsia="Times New Roman" w:hAnsi="Times New Roman"/>
                <w:sz w:val="14"/>
                <w:szCs w:val="14"/>
                <w:color w:val="auto"/>
                <w:w w:val="99"/>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w w:val="99"/>
              </w:rPr>
              <w:t>Six Months Ended</w:t>
            </w:r>
          </w:p>
        </w:tc>
      </w:tr>
      <w:tr>
        <w:trPr>
          <w:trHeight w:val="184"/>
        </w:trPr>
        <w:tc>
          <w:tcPr>
            <w:tcW w:w="50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369"/>
              <w:spacing w:after="0"/>
              <w:rPr>
                <w:sz w:val="20"/>
                <w:szCs w:val="20"/>
                <w:color w:val="auto"/>
              </w:rPr>
            </w:pPr>
            <w:r>
              <w:rPr>
                <w:rFonts w:ascii="Times New Roman" w:cs="Times New Roman" w:eastAsia="Times New Roman" w:hAnsi="Times New Roman"/>
                <w:sz w:val="14"/>
                <w:szCs w:val="14"/>
                <w:color w:val="auto"/>
                <w:w w:val="98"/>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Borders>
              <w:bottom w:val="single" w:sz="8" w:color="auto"/>
            </w:tcBorders>
            <w:gridSpan w:val="4"/>
          </w:tcPr>
          <w:p>
            <w:pPr>
              <w:jc w:val="center"/>
              <w:ind w:left="989"/>
              <w:spacing w:after="0"/>
              <w:rPr>
                <w:sz w:val="20"/>
                <w:szCs w:val="20"/>
                <w:color w:val="auto"/>
              </w:rPr>
            </w:pPr>
            <w:r>
              <w:rPr>
                <w:rFonts w:ascii="Times New Roman" w:cs="Times New Roman" w:eastAsia="Times New Roman" w:hAnsi="Times New Roman"/>
                <w:sz w:val="14"/>
                <w:szCs w:val="14"/>
                <w:color w:val="auto"/>
              </w:rPr>
              <w:t>June 30,</w:t>
            </w:r>
          </w:p>
        </w:tc>
        <w:tc>
          <w:tcPr>
            <w:tcW w:w="1060" w:type="dxa"/>
            <w:vAlign w:val="bottom"/>
            <w:tcBorders>
              <w:bottom w:val="single" w:sz="8" w:color="auto"/>
            </w:tcBorders>
          </w:tcPr>
          <w:p>
            <w:pPr>
              <w:spacing w:after="0"/>
              <w:rPr>
                <w:sz w:val="16"/>
                <w:szCs w:val="16"/>
                <w:color w:val="auto"/>
              </w:rPr>
            </w:pPr>
          </w:p>
        </w:tc>
      </w:tr>
      <w:tr>
        <w:trPr>
          <w:trHeight w:val="171"/>
        </w:trPr>
        <w:tc>
          <w:tcPr>
            <w:tcW w:w="50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2024</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5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r>
      <w:tr>
        <w:trPr>
          <w:trHeight w:val="180"/>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Europe, Middle East, Africa</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0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47 %</w:t>
            </w:r>
          </w:p>
        </w:tc>
      </w:tr>
      <w:tr>
        <w:trPr>
          <w:trHeight w:val="18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 Pacific</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r>
      <w:tr>
        <w:trPr>
          <w:trHeight w:val="171"/>
        </w:trPr>
        <w:tc>
          <w:tcPr>
            <w:tcW w:w="5040" w:type="dxa"/>
            <w:vAlign w:val="bottom"/>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4"/>
                <w:szCs w:val="14"/>
                <w:color w:val="auto"/>
              </w:rPr>
            </w:pP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50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49"/>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Contract Assets and Liabilities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82"/>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our contract assets and liabilities: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2"/>
        </w:trPr>
        <w:tc>
          <w:tcPr>
            <w:tcW w:w="5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in millions)</w:t>
            </w:r>
          </w:p>
        </w:tc>
      </w:tr>
      <w:tr>
        <w:trPr>
          <w:trHeight w:val="171"/>
        </w:trPr>
        <w:tc>
          <w:tcPr>
            <w:tcW w:w="55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assets, December 31, 2023</w:t>
            </w:r>
          </w:p>
        </w:tc>
        <w:tc>
          <w:tcPr>
            <w:tcW w:w="10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r>
      <w:tr>
        <w:trPr>
          <w:trHeight w:val="180"/>
        </w:trPr>
        <w:tc>
          <w:tcPr>
            <w:tcW w:w="5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Contract assets, June 30, 2024</w:t>
            </w: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w:t>
            </w:r>
          </w:p>
        </w:tc>
      </w:tr>
      <w:tr>
        <w:trPr>
          <w:trHeight w:val="196"/>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contract assets - increase (decrease)</w:t>
            </w: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0"/>
        </w:trPr>
        <w:tc>
          <w:tcPr>
            <w:tcW w:w="558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5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December 31, 2023</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r>
      <w:tr>
        <w:trPr>
          <w:trHeight w:val="180"/>
        </w:trPr>
        <w:tc>
          <w:tcPr>
            <w:tcW w:w="5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Deferred income, June 30, 2024</w:t>
            </w: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w:t>
            </w:r>
          </w:p>
        </w:tc>
      </w:tr>
      <w:tr>
        <w:trPr>
          <w:trHeight w:val="196"/>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deferred income - decrease (increase)</w:t>
            </w: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Contract assets are included within other current assets and deferred income is included within other current liabilities and other long-term liabilities. During the six months ended June 30, 2024, $24.2 million of revenue was recognized that was included in deferred income at the beginning of the year.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majority of the performance obligations within our contracts are satisfied within one year or less. Performance obligations satisfied beyond one year are not material as of June 30, 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Net Income Per Share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reconciles the shares used in the calculation of basic net income per share to those used for diluted net income per share: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20" w:type="dxa"/>
            <w:vAlign w:val="bottom"/>
            <w:gridSpan w:val="3"/>
          </w:tcPr>
          <w:p>
            <w:pPr>
              <w:jc w:val="center"/>
              <w:ind w:left="549"/>
              <w:spacing w:after="0"/>
              <w:rPr>
                <w:sz w:val="20"/>
                <w:szCs w:val="20"/>
                <w:color w:val="auto"/>
              </w:rPr>
            </w:pPr>
            <w:r>
              <w:rPr>
                <w:rFonts w:ascii="Times New Roman" w:cs="Times New Roman" w:eastAsia="Times New Roman" w:hAnsi="Times New Roman"/>
                <w:sz w:val="14"/>
                <w:szCs w:val="14"/>
                <w:color w:val="auto"/>
                <w:w w:val="99"/>
              </w:rPr>
              <w:t>Three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80" w:type="dxa"/>
            <w:vAlign w:val="bottom"/>
            <w:gridSpan w:val="3"/>
          </w:tcPr>
          <w:p>
            <w:pPr>
              <w:jc w:val="center"/>
              <w:ind w:left="489"/>
              <w:spacing w:after="0"/>
              <w:rPr>
                <w:sz w:val="20"/>
                <w:szCs w:val="20"/>
                <w:color w:val="auto"/>
              </w:rPr>
            </w:pPr>
            <w:r>
              <w:rPr>
                <w:rFonts w:ascii="Times New Roman" w:cs="Times New Roman" w:eastAsia="Times New Roman" w:hAnsi="Times New Roman"/>
                <w:sz w:val="14"/>
                <w:szCs w:val="14"/>
                <w:color w:val="auto"/>
                <w:w w:val="99"/>
              </w:rPr>
              <w:t>Six Months Ended</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549"/>
              <w:spacing w:after="0"/>
              <w:rPr>
                <w:sz w:val="20"/>
                <w:szCs w:val="20"/>
                <w:color w:val="auto"/>
              </w:rPr>
            </w:pPr>
            <w:r>
              <w:rPr>
                <w:rFonts w:ascii="Times New Roman" w:cs="Times New Roman" w:eastAsia="Times New Roman" w:hAnsi="Times New Roman"/>
                <w:sz w:val="14"/>
                <w:szCs w:val="14"/>
                <w:color w:val="auto"/>
                <w:w w:val="98"/>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489"/>
              <w:spacing w:after="0"/>
              <w:rPr>
                <w:sz w:val="20"/>
                <w:szCs w:val="20"/>
                <w:color w:val="auto"/>
              </w:rPr>
            </w:pPr>
            <w:r>
              <w:rPr>
                <w:rFonts w:ascii="Times New Roman" w:cs="Times New Roman" w:eastAsia="Times New Roman" w:hAnsi="Times New Roman"/>
                <w:sz w:val="14"/>
                <w:szCs w:val="14"/>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226.6</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73.0</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74.3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73.3</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74.4</w:t>
            </w:r>
          </w:p>
        </w:tc>
        <w:tc>
          <w:tcPr>
            <w:tcW w:w="0" w:type="dxa"/>
            <w:vAlign w:val="bottom"/>
          </w:tcPr>
          <w:p>
            <w:pPr>
              <w:spacing w:after="0"/>
              <w:rPr>
                <w:sz w:val="1"/>
                <w:szCs w:val="1"/>
                <w:color w:val="auto"/>
              </w:rPr>
            </w:pPr>
          </w:p>
        </w:tc>
      </w:tr>
      <w:tr>
        <w:trPr>
          <w:trHeight w:val="18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Dilutive effect of equity awards, based on the treasury stock method</w:t>
            </w: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1"/>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assuming dilution</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right="140"/>
        <w:spacing w:after="0" w:line="287" w:lineRule="auto"/>
        <w:rPr>
          <w:sz w:val="20"/>
          <w:szCs w:val="20"/>
          <w:color w:val="auto"/>
        </w:rPr>
      </w:pPr>
      <w:r>
        <w:rPr>
          <w:rFonts w:ascii="Times New Roman" w:cs="Times New Roman" w:eastAsia="Times New Roman" w:hAnsi="Times New Roman"/>
          <w:sz w:val="14"/>
          <w:szCs w:val="14"/>
          <w:color w:val="auto"/>
        </w:rPr>
        <w:t>During the three months ended June 30, 2024 and 2023, there were 0.3 million and 0.1 million shares, respectively, from stock-based compensation plans not included in the computation of diluted net income per share because their impact was antidilutive. There were 0.3 million and 0.1 million antidilutive shares outstanding during the six months ended June 30, 2024 and 2023, respectively.</w:t>
      </w:r>
    </w:p>
    <w:p>
      <w:pPr>
        <w:spacing w:after="0" w:line="14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In February 2023, the Board of Directors approved a share repurchase program under which we may repurchase up to $1.0 billion in shares of common stock. The share repurchase program does not have an expiration date under which we may repurchase common stock on the open market or in privately-negotiated transactions. The number of shares to be repurchased and the timing of such transactions will depend on a variety of factors, including market conditions.</w:t>
      </w:r>
    </w:p>
    <w:p>
      <w:pPr>
        <w:spacing w:after="0" w:line="15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During the three months ended June 30, 2024, we purchased 509,336 shares of our common stock under the program at a cost of $187.1 million, or an average price of $367.48 per share. During the six months ended June 30, 2024, we purchased 1,239,015 shares of our common stock under the program at a cost of $454.1 million, or an average price of $366.53 per share.</w:t>
      </w:r>
    </w:p>
    <w:p>
      <w:pPr>
        <w:spacing w:after="0" w:line="145"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During the three months ended June 30, 2023, we purchased 492,710 shares of our common stock under the program at a cost of $173.4 million, or an average price of $351.82 per share. During the six months ended June 30, 2023, we purchased 676,070 shares of our common stock under the program at a cost of $233.5 million, or an average price of $345.33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5: Inventories</w:t>
            </w:r>
          </w:p>
        </w:tc>
        <w:tc>
          <w:tcPr>
            <w:tcW w:w="1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361"/>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Inventories are valued at the lower of cost (on a first-in, first-out basis) or net realizable value. Inventory balances were as follows: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0"/>
        </w:trPr>
        <w:tc>
          <w:tcPr>
            <w:tcW w:w="6700" w:type="dxa"/>
            <w:vAlign w:val="bottom"/>
          </w:tcPr>
          <w:p>
            <w:pPr>
              <w:spacing w:after="0"/>
              <w:rPr>
                <w:sz w:val="13"/>
                <w:szCs w:val="13"/>
                <w:color w:val="auto"/>
              </w:rPr>
            </w:pPr>
          </w:p>
        </w:tc>
        <w:tc>
          <w:tcPr>
            <w:tcW w:w="1600" w:type="dxa"/>
            <w:vAlign w:val="bottom"/>
          </w:tcPr>
          <w:p>
            <w:pPr>
              <w:jc w:val="right"/>
              <w:ind w:right="189"/>
              <w:spacing w:after="0" w:line="159" w:lineRule="exact"/>
              <w:rPr>
                <w:sz w:val="20"/>
                <w:szCs w:val="20"/>
                <w:color w:val="auto"/>
              </w:rPr>
            </w:pPr>
            <w:r>
              <w:rPr>
                <w:rFonts w:ascii="Times New Roman" w:cs="Times New Roman" w:eastAsia="Times New Roman" w:hAnsi="Times New Roman"/>
                <w:sz w:val="14"/>
                <w:szCs w:val="14"/>
                <w:color w:val="auto"/>
              </w:rPr>
              <w:t>June 30,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40" w:type="dxa"/>
            <w:vAlign w:val="bottom"/>
          </w:tcPr>
          <w:p>
            <w:pPr>
              <w:jc w:val="right"/>
              <w:ind w:right="669"/>
              <w:spacing w:after="0" w:line="159" w:lineRule="exact"/>
              <w:rPr>
                <w:sz w:val="20"/>
                <w:szCs w:val="20"/>
                <w:color w:val="auto"/>
              </w:rPr>
            </w:pPr>
            <w:r>
              <w:rPr>
                <w:rFonts w:ascii="Times New Roman" w:cs="Times New Roman" w:eastAsia="Times New Roman" w:hAnsi="Times New Roman"/>
                <w:sz w:val="14"/>
                <w:szCs w:val="14"/>
                <w:color w:val="auto"/>
              </w:rPr>
              <w:t>December 31,</w:t>
            </w:r>
          </w:p>
        </w:tc>
      </w:tr>
      <w:tr>
        <w:trPr>
          <w:trHeight w:val="191"/>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6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1600" w:type="dxa"/>
            <w:vAlign w:val="bottom"/>
            <w:shd w:val="clear" w:color="auto" w:fill="CCEEFF"/>
          </w:tcPr>
          <w:p>
            <w:pPr>
              <w:jc w:val="right"/>
              <w:ind w:right="14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w:t>
            </w:r>
          </w:p>
        </w:tc>
      </w:tr>
      <w:tr>
        <w:trPr>
          <w:trHeight w:val="18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 in process</w:t>
            </w:r>
          </w:p>
        </w:tc>
        <w:tc>
          <w:tcPr>
            <w:tcW w:w="16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w:t>
            </w:r>
          </w:p>
        </w:tc>
      </w:tr>
      <w:tr>
        <w:trPr>
          <w:trHeight w:val="18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16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w:t>
            </w:r>
          </w:p>
        </w:tc>
      </w:tr>
      <w:tr>
        <w:trPr>
          <w:trHeight w:val="171"/>
        </w:trPr>
        <w:tc>
          <w:tcPr>
            <w:tcW w:w="6700" w:type="dxa"/>
            <w:vAlign w:val="bottom"/>
          </w:tcPr>
          <w:p>
            <w:pPr>
              <w:spacing w:after="0"/>
              <w:rPr>
                <w:sz w:val="14"/>
                <w:szCs w:val="14"/>
                <w:color w:val="auto"/>
              </w:rPr>
            </w:pPr>
          </w:p>
        </w:tc>
        <w:tc>
          <w:tcPr>
            <w:tcW w:w="1600" w:type="dxa"/>
            <w:vAlign w:val="bottom"/>
            <w:tcBorders>
              <w:bottom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419.2</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434.7</w:t>
            </w:r>
          </w:p>
        </w:tc>
      </w:tr>
      <w:tr>
        <w:trPr>
          <w:trHeight w:val="20"/>
        </w:trPr>
        <w:tc>
          <w:tcPr>
            <w:tcW w:w="6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Leases</w:t>
      </w:r>
    </w:p>
    <w:p>
      <w:pPr>
        <w:spacing w:after="0" w:line="20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 Lease payments included in the measurement of the lease right-of-use assets and lease liabilities are comprised of fixed payments (including in-substance fixed payments), variable payments that depend on an index or rate, and the exercise price of a lessee option to purchase the underlying asset if the lessee is reasonably certain to exercise.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The components of lease expense were as follows:</w:t>
            </w: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60"/>
        </w:trPr>
        <w:tc>
          <w:tcPr>
            <w:tcW w:w="4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920" w:type="dxa"/>
            <w:vAlign w:val="bottom"/>
            <w:gridSpan w:val="3"/>
          </w:tcPr>
          <w:p>
            <w:pPr>
              <w:jc w:val="right"/>
              <w:ind w:right="589"/>
              <w:spacing w:after="0" w:line="159" w:lineRule="exact"/>
              <w:rPr>
                <w:sz w:val="20"/>
                <w:szCs w:val="20"/>
                <w:color w:val="auto"/>
              </w:rPr>
            </w:pPr>
            <w:r>
              <w:rPr>
                <w:rFonts w:ascii="Times New Roman" w:cs="Times New Roman" w:eastAsia="Times New Roman" w:hAnsi="Times New Roman"/>
                <w:sz w:val="14"/>
                <w:szCs w:val="14"/>
                <w:color w:val="auto"/>
              </w:rPr>
              <w:t>Three Months Ended</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60" w:type="dxa"/>
            <w:vAlign w:val="bottom"/>
            <w:gridSpan w:val="3"/>
          </w:tcPr>
          <w:p>
            <w:pPr>
              <w:jc w:val="right"/>
              <w:ind w:right="29"/>
              <w:spacing w:after="0" w:line="159" w:lineRule="exact"/>
              <w:rPr>
                <w:sz w:val="20"/>
                <w:szCs w:val="20"/>
                <w:color w:val="auto"/>
              </w:rPr>
            </w:pPr>
            <w:r>
              <w:rPr>
                <w:rFonts w:ascii="Times New Roman" w:cs="Times New Roman" w:eastAsia="Times New Roman" w:hAnsi="Times New Roman"/>
                <w:sz w:val="14"/>
                <w:szCs w:val="14"/>
                <w:color w:val="auto"/>
              </w:rPr>
              <w:t>Six Months Ended</w:t>
            </w:r>
          </w:p>
        </w:tc>
        <w:tc>
          <w:tcPr>
            <w:tcW w:w="1080" w:type="dxa"/>
            <w:vAlign w:val="bottom"/>
          </w:tcPr>
          <w:p>
            <w:pPr>
              <w:spacing w:after="0"/>
              <w:rPr>
                <w:sz w:val="13"/>
                <w:szCs w:val="13"/>
                <w:color w:val="auto"/>
              </w:rPr>
            </w:pPr>
          </w:p>
        </w:tc>
      </w:tr>
      <w:tr>
        <w:trPr>
          <w:trHeight w:val="184"/>
        </w:trPr>
        <w:tc>
          <w:tcPr>
            <w:tcW w:w="43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949"/>
              <w:spacing w:after="0"/>
              <w:rPr>
                <w:sz w:val="20"/>
                <w:szCs w:val="20"/>
                <w:color w:val="auto"/>
              </w:rPr>
            </w:pPr>
            <w:r>
              <w:rPr>
                <w:rFonts w:ascii="Times New Roman" w:cs="Times New Roman" w:eastAsia="Times New Roman" w:hAnsi="Times New Roman"/>
                <w:sz w:val="14"/>
                <w:szCs w:val="14"/>
                <w:color w:val="auto"/>
              </w:rPr>
              <w:t>June 30,</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329"/>
              <w:spacing w:after="0"/>
              <w:rPr>
                <w:sz w:val="20"/>
                <w:szCs w:val="20"/>
                <w:color w:val="auto"/>
              </w:rPr>
            </w:pPr>
            <w:r>
              <w:rPr>
                <w:rFonts w:ascii="Times New Roman" w:cs="Times New Roman" w:eastAsia="Times New Roman" w:hAnsi="Times New Roman"/>
                <w:sz w:val="14"/>
                <w:szCs w:val="14"/>
                <w:color w:val="auto"/>
              </w:rPr>
              <w:t>June 30,</w:t>
            </w:r>
          </w:p>
        </w:tc>
        <w:tc>
          <w:tcPr>
            <w:tcW w:w="1080" w:type="dxa"/>
            <w:vAlign w:val="bottom"/>
            <w:tcBorders>
              <w:bottom w:val="single" w:sz="8" w:color="auto"/>
            </w:tcBorders>
          </w:tcPr>
          <w:p>
            <w:pPr>
              <w:spacing w:after="0"/>
              <w:rPr>
                <w:sz w:val="16"/>
                <w:szCs w:val="16"/>
                <w:color w:val="auto"/>
              </w:rPr>
            </w:pPr>
          </w:p>
        </w:tc>
      </w:tr>
      <w:tr>
        <w:trPr>
          <w:trHeight w:val="178"/>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2023</w:t>
            </w: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2024</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180"/>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 amortization of right-of-use (ROU) assets</w:t>
            </w:r>
          </w:p>
        </w:tc>
        <w:tc>
          <w:tcPr>
            <w:tcW w:w="10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lease cost</w:t>
            </w:r>
          </w:p>
        </w:tc>
        <w:tc>
          <w:tcPr>
            <w:tcW w:w="10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10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96"/>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cost</w:t>
            </w: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the finance lease amounts in the Consolidated Balance Sheets:</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393"/>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2580" w:type="dxa"/>
            <w:vAlign w:val="bottom"/>
            <w:tcBorders>
              <w:bottom w:val="single" w:sz="8" w:color="auto"/>
            </w:tcBorders>
          </w:tcPr>
          <w:p>
            <w:pPr>
              <w:spacing w:after="0"/>
              <w:rPr>
                <w:sz w:val="24"/>
                <w:szCs w:val="24"/>
                <w:color w:val="auto"/>
              </w:rPr>
            </w:pPr>
          </w:p>
        </w:tc>
      </w:tr>
      <w:tr>
        <w:trPr>
          <w:trHeight w:val="171"/>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Balance Sheet Classification</w:t>
            </w: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tcPr>
          <w:p>
            <w:pPr>
              <w:jc w:val="right"/>
              <w:ind w:right="1269"/>
              <w:spacing w:after="0"/>
              <w:rPr>
                <w:sz w:val="20"/>
                <w:szCs w:val="20"/>
                <w:color w:val="auto"/>
              </w:rPr>
            </w:pPr>
            <w:r>
              <w:rPr>
                <w:rFonts w:ascii="Times New Roman" w:cs="Times New Roman" w:eastAsia="Times New Roman" w:hAnsi="Times New Roman"/>
                <w:sz w:val="14"/>
                <w:szCs w:val="14"/>
                <w:color w:val="auto"/>
              </w:rPr>
              <w:t>June 30, 2024</w:t>
            </w:r>
          </w:p>
        </w:tc>
      </w:tr>
      <w:tr>
        <w:trPr>
          <w:trHeight w:val="171"/>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ROU assets, net</w:t>
            </w: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r>
      <w:tr>
        <w:trPr>
          <w:trHeight w:val="180"/>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 (current)</w:t>
            </w:r>
          </w:p>
        </w:tc>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040" w:type="dxa"/>
            <w:vAlign w:val="bottom"/>
            <w:gridSpan w:val="3"/>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2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8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 (noncurrent)</w:t>
            </w: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40" w:type="dxa"/>
            <w:vAlign w:val="bottom"/>
            <w:gridSpan w:val="3"/>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cash flow information related to leases were as follows:</w:t>
            </w: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60"/>
        </w:trPr>
        <w:tc>
          <w:tcPr>
            <w:tcW w:w="4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40" w:type="dxa"/>
            <w:vAlign w:val="bottom"/>
            <w:gridSpan w:val="3"/>
          </w:tcPr>
          <w:p>
            <w:pPr>
              <w:jc w:val="right"/>
              <w:ind w:right="9"/>
              <w:spacing w:after="0" w:line="159" w:lineRule="exact"/>
              <w:rPr>
                <w:sz w:val="20"/>
                <w:szCs w:val="20"/>
                <w:color w:val="auto"/>
              </w:rPr>
            </w:pPr>
            <w:r>
              <w:rPr>
                <w:rFonts w:ascii="Times New Roman" w:cs="Times New Roman" w:eastAsia="Times New Roman" w:hAnsi="Times New Roman"/>
                <w:sz w:val="14"/>
                <w:szCs w:val="14"/>
                <w:color w:val="auto"/>
              </w:rPr>
              <w:t>Three Months Ended</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2"/>
          </w:tcPr>
          <w:p>
            <w:pPr>
              <w:jc w:val="right"/>
              <w:ind w:right="9"/>
              <w:spacing w:after="0" w:line="159" w:lineRule="exact"/>
              <w:rPr>
                <w:sz w:val="20"/>
                <w:szCs w:val="20"/>
                <w:color w:val="auto"/>
              </w:rPr>
            </w:pPr>
            <w:r>
              <w:rPr>
                <w:rFonts w:ascii="Times New Roman" w:cs="Times New Roman" w:eastAsia="Times New Roman" w:hAnsi="Times New Roman"/>
                <w:sz w:val="14"/>
                <w:szCs w:val="14"/>
                <w:color w:val="auto"/>
              </w:rPr>
              <w:t>Six Months Ended</w:t>
            </w:r>
          </w:p>
        </w:tc>
        <w:tc>
          <w:tcPr>
            <w:tcW w:w="1060" w:type="dxa"/>
            <w:vAlign w:val="bottom"/>
          </w:tcPr>
          <w:p>
            <w:pPr>
              <w:spacing w:after="0"/>
              <w:rPr>
                <w:sz w:val="13"/>
                <w:szCs w:val="13"/>
                <w:color w:val="auto"/>
              </w:rPr>
            </w:pPr>
          </w:p>
        </w:tc>
      </w:tr>
      <w:tr>
        <w:trPr>
          <w:trHeight w:val="184"/>
        </w:trPr>
        <w:tc>
          <w:tcPr>
            <w:tcW w:w="44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69"/>
              <w:spacing w:after="0"/>
              <w:rPr>
                <w:sz w:val="20"/>
                <w:szCs w:val="20"/>
                <w:color w:val="auto"/>
              </w:rPr>
            </w:pPr>
            <w:r>
              <w:rPr>
                <w:rFonts w:ascii="Times New Roman" w:cs="Times New Roman" w:eastAsia="Times New Roman" w:hAnsi="Times New Roman"/>
                <w:sz w:val="14"/>
                <w:szCs w:val="14"/>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309"/>
              <w:spacing w:after="0"/>
              <w:rPr>
                <w:sz w:val="20"/>
                <w:szCs w:val="20"/>
                <w:color w:val="auto"/>
              </w:rPr>
            </w:pPr>
            <w:r>
              <w:rPr>
                <w:rFonts w:ascii="Times New Roman" w:cs="Times New Roman" w:eastAsia="Times New Roman" w:hAnsi="Times New Roman"/>
                <w:sz w:val="14"/>
                <w:szCs w:val="14"/>
                <w:color w:val="auto"/>
              </w:rPr>
              <w:t>June 30,</w:t>
            </w:r>
          </w:p>
        </w:tc>
        <w:tc>
          <w:tcPr>
            <w:tcW w:w="1060" w:type="dxa"/>
            <w:vAlign w:val="bottom"/>
            <w:tcBorders>
              <w:bottom w:val="single" w:sz="8" w:color="auto"/>
            </w:tcBorders>
          </w:tcPr>
          <w:p>
            <w:pPr>
              <w:spacing w:after="0"/>
              <w:rPr>
                <w:sz w:val="16"/>
                <w:szCs w:val="16"/>
                <w:color w:val="auto"/>
              </w:rPr>
            </w:pPr>
          </w:p>
        </w:tc>
      </w:tr>
      <w:tr>
        <w:trPr>
          <w:trHeight w:val="178"/>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2024</w:t>
            </w:r>
          </w:p>
        </w:tc>
        <w:tc>
          <w:tcPr>
            <w:tcW w:w="6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2023</w:t>
            </w:r>
          </w:p>
        </w:tc>
      </w:tr>
      <w:tr>
        <w:trPr>
          <w:trHeight w:val="16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10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80"/>
        </w:trPr>
        <w:tc>
          <w:tcPr>
            <w:tcW w:w="4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1060" w:type="dxa"/>
            <w:vAlign w:val="bottom"/>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5"/>
                <w:szCs w:val="15"/>
                <w:color w:val="auto"/>
              </w:rPr>
            </w:pPr>
          </w:p>
        </w:tc>
        <w:tc>
          <w:tcPr>
            <w:tcW w:w="6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64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80"/>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Financing cash flows from finance leases</w:t>
            </w:r>
          </w:p>
        </w:tc>
        <w:tc>
          <w:tcPr>
            <w:tcW w:w="106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64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new lease liabilities</w:t>
            </w: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leases</w:t>
            </w:r>
          </w:p>
        </w:tc>
        <w:tc>
          <w:tcPr>
            <w:tcW w:w="106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64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84"/>
        </w:trPr>
        <w:tc>
          <w:tcPr>
            <w:tcW w:w="4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Finance Leases</w:t>
            </w:r>
          </w:p>
        </w:tc>
        <w:tc>
          <w:tcPr>
            <w:tcW w:w="1060" w:type="dxa"/>
            <w:vAlign w:val="bottom"/>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Pr>
          <w:p>
            <w:pPr>
              <w:spacing w:after="0"/>
              <w:rPr>
                <w:sz w:val="16"/>
                <w:szCs w:val="16"/>
                <w:color w:val="auto"/>
              </w:rPr>
            </w:pPr>
          </w:p>
        </w:tc>
        <w:tc>
          <w:tcPr>
            <w:tcW w:w="6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64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47"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As of June 30, 2024 and December 31, 2023, the weighted average remaining lease term for operating leases was 8.6 years and 9.8 years, respectively. As of June 30, 2024, the weighted average remaining lease term for finance leases was 7.6 years. As of December 31, 2023, finance leases were not material.</w:t>
      </w:r>
    </w:p>
    <w:p>
      <w:pPr>
        <w:spacing w:after="0" w:line="145"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As of June 30, 2024 and December 31, 2023, the weighted average discount rate for operating leases was 3.96% and 3.55%, respectively. As of June 30, 2024, the weighted average discount rate for finance leases was 4.94%. As of December 31, 2023, finance leases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20"/>
                <w:szCs w:val="20"/>
                <w:color w:val="auto"/>
              </w:rPr>
            </w:pPr>
            <w:r>
              <w:rPr>
                <w:rFonts w:ascii="Times New Roman" w:cs="Times New Roman" w:eastAsia="Times New Roman" w:hAnsi="Times New Roman"/>
                <w:sz w:val="14"/>
                <w:szCs w:val="14"/>
                <w:color w:val="auto"/>
              </w:rPr>
              <w:t>Maturities of operating lease liabilities were as follows:</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20" w:type="dxa"/>
            <w:vAlign w:val="bottom"/>
          </w:tcPr>
          <w:p>
            <w:pPr>
              <w:spacing w:after="0"/>
              <w:rPr>
                <w:sz w:val="17"/>
                <w:szCs w:val="17"/>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June 30,</w:t>
            </w:r>
          </w:p>
        </w:tc>
        <w:tc>
          <w:tcPr>
            <w:tcW w:w="220" w:type="dxa"/>
            <w:vAlign w:val="bottom"/>
          </w:tcPr>
          <w:p>
            <w:pPr>
              <w:spacing w:after="0"/>
              <w:rPr>
                <w:sz w:val="17"/>
                <w:szCs w:val="17"/>
                <w:color w:val="auto"/>
              </w:rPr>
            </w:pPr>
          </w:p>
        </w:tc>
        <w:tc>
          <w:tcPr>
            <w:tcW w:w="134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84"/>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Year</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color w:val="auto"/>
                <w:w w:val="99"/>
              </w:rPr>
              <w:t>2023</w:t>
            </w:r>
          </w:p>
        </w:tc>
        <w:tc>
          <w:tcPr>
            <w:tcW w:w="0" w:type="dxa"/>
            <w:vAlign w:val="bottom"/>
          </w:tcPr>
          <w:p>
            <w:pPr>
              <w:spacing w:after="0"/>
              <w:rPr>
                <w:sz w:val="1"/>
                <w:szCs w:val="1"/>
                <w:color w:val="auto"/>
              </w:rPr>
            </w:pPr>
          </w:p>
        </w:tc>
      </w:tr>
      <w:tr>
        <w:trPr>
          <w:trHeight w:val="17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 (remaining period as of)</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80"/>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18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80"/>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8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8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171"/>
        </w:trPr>
        <w:tc>
          <w:tcPr>
            <w:tcW w:w="80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0" w:type="dxa"/>
            <w:vAlign w:val="bottom"/>
          </w:tcPr>
          <w:p>
            <w:pPr>
              <w:spacing w:after="0"/>
              <w:rPr>
                <w:sz w:val="1"/>
                <w:szCs w:val="1"/>
                <w:color w:val="auto"/>
              </w:rPr>
            </w:pPr>
          </w:p>
        </w:tc>
      </w:tr>
      <w:tr>
        <w:trPr>
          <w:trHeight w:val="171"/>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lease interest</w:t>
            </w: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liabilities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Maturities of finance lease liabilities were as follows: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80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June 30,</w:t>
            </w:r>
          </w:p>
        </w:tc>
        <w:tc>
          <w:tcPr>
            <w:tcW w:w="0" w:type="dxa"/>
            <w:vAlign w:val="bottom"/>
          </w:tcPr>
          <w:p>
            <w:pPr>
              <w:spacing w:after="0"/>
              <w:rPr>
                <w:sz w:val="1"/>
                <w:szCs w:val="1"/>
                <w:color w:val="auto"/>
              </w:rPr>
            </w:pPr>
          </w:p>
        </w:tc>
      </w:tr>
      <w:tr>
        <w:trPr>
          <w:trHeight w:val="184"/>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Year</w:t>
            </w:r>
          </w:p>
        </w:tc>
        <w:tc>
          <w:tcPr>
            <w:tcW w:w="32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color w:val="auto"/>
                <w:w w:val="99"/>
              </w:rPr>
              <w:t>2024</w:t>
            </w:r>
          </w:p>
        </w:tc>
        <w:tc>
          <w:tcPr>
            <w:tcW w:w="0" w:type="dxa"/>
            <w:vAlign w:val="bottom"/>
          </w:tcPr>
          <w:p>
            <w:pPr>
              <w:spacing w:after="0"/>
              <w:rPr>
                <w:sz w:val="1"/>
                <w:szCs w:val="1"/>
                <w:color w:val="auto"/>
              </w:rPr>
            </w:pPr>
          </w:p>
        </w:tc>
      </w:tr>
      <w:tr>
        <w:trPr>
          <w:trHeight w:val="17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 (remaining period as of)</w:t>
            </w: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80"/>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8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80"/>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8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8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32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80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71"/>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lease interest</w:t>
            </w:r>
          </w:p>
        </w:tc>
        <w:tc>
          <w:tcPr>
            <w:tcW w:w="32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liabilities</w:t>
            </w:r>
          </w:p>
        </w:tc>
        <w:tc>
          <w:tcPr>
            <w:tcW w:w="3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finance leases were not material.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Affiliated Companies</w:t>
      </w:r>
    </w:p>
    <w:p>
      <w:pPr>
        <w:spacing w:after="0" w:line="20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At June 30, 2024 and December 31, 2023, the aggregate carrying amount of our investment in affiliated companies that are accounted for under the equity method was $191.0 million and $203.2 million, respectively, and the aggregate carrying amount of our investment in affiliated companies that are not accounted for under the equity method was $7.2 million and $6.8 million, respectively. We have elected to record these investments, for which fair value was not readily determinable, at cost, less impairment, adjusted for subsequent observable price changes. We test these investments for impairment whenever circumstances indicate that the carrying value of the investments may not be recoverable.</w:t>
      </w:r>
    </w:p>
    <w:p>
      <w:pPr>
        <w:spacing w:after="0" w:line="16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Our purchases from, and royalty payments made to, affiliates totaled $24.9 million and $53.5 million, respectively, for the three and six months ended June 30, 2024, as compared to $39.9 million and $84.1 million, respectively, for the same period in 2023. As of June 30, 2024 and December 31, 2023, the payable balance due to affiliates was $20.4 million and $25.9 million, respectively. The majority of these transactions related to a distributorship agreement with Daikyo Seiko, Ltd. ("Daikyo") that allows us to purchase and re-sell Daikyo products.</w:t>
      </w:r>
    </w:p>
    <w:p>
      <w:pPr>
        <w:spacing w:after="0" w:line="157"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Sales to affiliates were $4.0 million and $7.2 million, respectively, for the three and six months ended June 30, 2024, as compared to $2.7 million and $6.0 million, respectively, for the same periods in 2023. As of June 30, 2024 and December 31, 2023, the receivable balance due from affiliates was $2.4 million and $1.6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Debt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long-term debt obligations, net of unamortized debt issuance costs and current maturities. The interest rates shown in parentheses are as of June 30, 2024.</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June 30,</w:t>
            </w: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December 31,</w:t>
            </w:r>
          </w:p>
        </w:tc>
      </w:tr>
      <w:tr>
        <w:trPr>
          <w:trHeight w:val="19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Loan, due December 31, 2024 (8.50%)</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100" w:type="dxa"/>
            <w:vAlign w:val="bottom"/>
          </w:tcPr>
          <w:p>
            <w:pPr>
              <w:spacing w:after="0"/>
              <w:rPr>
                <w:sz w:val="14"/>
                <w:szCs w:val="14"/>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w:t>
            </w:r>
          </w:p>
        </w:tc>
      </w:tr>
      <w:tr>
        <w:trPr>
          <w:trHeight w:val="18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B notes, due July 5, 2024 (3.82%)</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r>
      <w:tr>
        <w:trPr>
          <w:trHeight w:val="18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Series C notes, due July 5, 2027 (4.02%)</w:t>
            </w: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73.0</w:t>
            </w:r>
          </w:p>
        </w:tc>
      </w:tr>
      <w:tr>
        <w:trPr>
          <w:trHeight w:val="171"/>
        </w:trPr>
        <w:tc>
          <w:tcPr>
            <w:tcW w:w="794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w:t>
            </w:r>
          </w:p>
        </w:tc>
      </w:tr>
      <w:tr>
        <w:trPr>
          <w:trHeight w:val="171"/>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unamortized debt issuance costs</w:t>
            </w: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7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3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w:t>
            </w:r>
          </w:p>
        </w:tc>
      </w:tr>
      <w:tr>
        <w:trPr>
          <w:trHeight w:val="171"/>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134.0</w:t>
            </w:r>
          </w:p>
        </w:tc>
      </w:tr>
      <w:tr>
        <w:trPr>
          <w:trHeight w:val="196"/>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Facility</w:t>
      </w:r>
    </w:p>
    <w:p>
      <w:pPr>
        <w:spacing w:after="0" w:line="20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At June 30, 2024, the borrowing capacity available under our $500.0 million multi-currency revolving credit facility (the “Credit Facility”), including outstanding letters of credit of $2.4 million, was $497.6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 Loan</w:t>
      </w:r>
    </w:p>
    <w:p>
      <w:pPr>
        <w:spacing w:after="0" w:line="20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 xml:space="preserve">At June 30, 2024, we had $79.9 million in borrowings under the Term Loan, of which $79.9 million was classified as current. Please refer to Note 9, </w:t>
      </w:r>
      <w:r>
        <w:rPr>
          <w:rFonts w:ascii="Times New Roman" w:cs="Times New Roman" w:eastAsia="Times New Roman" w:hAnsi="Times New Roman"/>
          <w:sz w:val="14"/>
          <w:szCs w:val="14"/>
          <w:i w:val="1"/>
          <w:iCs w:val="1"/>
          <w:u w:val="single" w:color="auto"/>
          <w:color w:val="0000FF"/>
        </w:rPr>
        <w:t>Derivative Financial Instruments</w:t>
      </w:r>
      <w:r>
        <w:rPr>
          <w:rFonts w:ascii="Times New Roman" w:cs="Times New Roman" w:eastAsia="Times New Roman" w:hAnsi="Times New Roman"/>
          <w:sz w:val="14"/>
          <w:szCs w:val="14"/>
          <w:color w:val="auto"/>
        </w:rPr>
        <w:t>, for a discussion of the foreign currency hedge associated with the Term Loan.</w:t>
      </w:r>
    </w:p>
    <w:p>
      <w:pPr>
        <w:spacing w:after="0" w:line="143"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Pursuant to the financial covenants in our debt agreements, we are required to maintain established interest coverage ratios and to not exceed established leverage ratios. In addition, the agreements contain other customary covenants, none of which we consider restrictive to our operations. At June 30, 2024, we were in compliance with all of our debt covenants.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Derivative Financial Instruments</w:t>
      </w:r>
    </w:p>
    <w:p>
      <w:pPr>
        <w:spacing w:after="0" w:line="20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Our ongoing business operations expose us to various risks, such as fluctuating interest rates, foreign currency exchange rates and increasing commodity prices. To manage these market risks, we periodically enter into derivative financial instruments, such as interest rate swaps, options and foreign exchange contracts for periods consistent with, and for notional amounts equal to or less than, the related underlying exposures. We do not purchase or hold any derivative financial instruments for investment or trading purposes. All derivatives are recorded in our condensed consolidated balance sheet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Exchange Rate Risk</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have entered into forward exchange contracts, designated as fair value hedges, to manage our exposure to fluctuating foreign exchange rates on cross-currency intercompany loans. As of both June 30, 2024 and December 31, 2023, the total amount of these forward exchange contracts was Singapore Dollar (“SGD”) 601.5 million and $13.4 million. We have also entered into forward exchange contracts, designated as fair value hedges, to manage our exposure to fluctuating foreign exchange rates on cross-currency intercompany demand notes which were executed at various times throughout 2023 and 2024. As of June 30, 2024, the total amount of these forward exchange contracts was Euro ("EUR") 290.2 million, SGD 98.1 million, $178.3 million, and EUR 23.5 million. As of December 31, 2023, the total amount of these forward exchange contracts was EUR 278.6 million and SGD 94.0 million.</w:t>
      </w:r>
    </w:p>
    <w:p>
      <w:pPr>
        <w:spacing w:after="0" w:line="164" w:lineRule="exact"/>
        <w:rPr>
          <w:sz w:val="20"/>
          <w:szCs w:val="20"/>
          <w:color w:val="auto"/>
        </w:rPr>
      </w:pPr>
    </w:p>
    <w:p>
      <w:pPr>
        <w:jc w:val="both"/>
        <w:ind w:right="420"/>
        <w:spacing w:after="0" w:line="270" w:lineRule="auto"/>
        <w:rPr>
          <w:sz w:val="20"/>
          <w:szCs w:val="20"/>
          <w:color w:val="auto"/>
        </w:rPr>
      </w:pPr>
      <w:r>
        <w:rPr>
          <w:rFonts w:ascii="Times New Roman" w:cs="Times New Roman" w:eastAsia="Times New Roman" w:hAnsi="Times New Roman"/>
          <w:sz w:val="14"/>
          <w:szCs w:val="14"/>
          <w:color w:val="auto"/>
        </w:rPr>
        <w:t>In addition, we have entered into several foreign currency contracts, designated as cash flow hedges, for periods of up to eighteen months, intended to hedge the currency risk associated with a portion of our forecasted transactions denominated in foreign currencies. As of June 30, 2024, we had outstanding foreign currency contracts to purchase and sell certain pairs of currencies,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b w:val="1"/>
                <w:bCs w:val="1"/>
                <w:color w:val="auto"/>
              </w:rPr>
              <w:t>Sell</w:t>
            </w:r>
          </w:p>
        </w:tc>
        <w:tc>
          <w:tcPr>
            <w:tcW w:w="1900" w:type="dxa"/>
            <w:vAlign w:val="bottom"/>
            <w:tcBorders>
              <w:bottom w:val="single" w:sz="8" w:color="auto"/>
            </w:tcBorders>
          </w:tcPr>
          <w:p>
            <w:pPr>
              <w:spacing w:after="0"/>
              <w:rPr>
                <w:sz w:val="16"/>
                <w:szCs w:val="16"/>
                <w:color w:val="auto"/>
              </w:rPr>
            </w:pPr>
          </w:p>
        </w:tc>
      </w:tr>
      <w:tr>
        <w:trPr>
          <w:trHeight w:val="171"/>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7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900" w:type="dxa"/>
            <w:vAlign w:val="bottom"/>
            <w:tcBorders>
              <w:bottom w:val="single" w:sz="8" w:color="auto"/>
            </w:tcBorders>
          </w:tcPr>
          <w:p>
            <w:pPr>
              <w:jc w:val="right"/>
              <w:ind w:right="1469"/>
              <w:spacing w:after="0"/>
              <w:rPr>
                <w:sz w:val="20"/>
                <w:szCs w:val="20"/>
                <w:color w:val="auto"/>
              </w:rPr>
            </w:pPr>
            <w:r>
              <w:rPr>
                <w:rFonts w:ascii="Times New Roman" w:cs="Times New Roman" w:eastAsia="Times New Roman" w:hAnsi="Times New Roman"/>
                <w:sz w:val="14"/>
                <w:szCs w:val="14"/>
                <w:b w:val="1"/>
                <w:bCs w:val="1"/>
                <w:color w:val="auto"/>
              </w:rPr>
              <w:t>USD</w:t>
            </w:r>
          </w:p>
        </w:tc>
        <w:tc>
          <w:tcPr>
            <w:tcW w:w="2400" w:type="dxa"/>
            <w:vAlign w:val="bottom"/>
            <w:tcBorders>
              <w:bottom w:val="single" w:sz="8" w:color="auto"/>
            </w:tcBorders>
          </w:tcPr>
          <w:p>
            <w:pPr>
              <w:jc w:val="right"/>
              <w:ind w:right="1469"/>
              <w:spacing w:after="0"/>
              <w:rPr>
                <w:sz w:val="20"/>
                <w:szCs w:val="20"/>
                <w:color w:val="auto"/>
              </w:rPr>
            </w:pPr>
            <w:r>
              <w:rPr>
                <w:rFonts w:ascii="Times New Roman" w:cs="Times New Roman" w:eastAsia="Times New Roman" w:hAnsi="Times New Roman"/>
                <w:sz w:val="14"/>
                <w:szCs w:val="14"/>
                <w:b w:val="1"/>
                <w:bCs w:val="1"/>
                <w:color w:val="auto"/>
              </w:rPr>
              <w:t>EUR</w:t>
            </w:r>
          </w:p>
        </w:tc>
        <w:tc>
          <w:tcPr>
            <w:tcW w:w="1900" w:type="dxa"/>
            <w:vAlign w:val="bottom"/>
            <w:tcBorders>
              <w:bottom w:val="single" w:sz="8" w:color="auto"/>
            </w:tcBorders>
          </w:tcPr>
          <w:p>
            <w:pPr>
              <w:jc w:val="right"/>
              <w:ind w:right="989"/>
              <w:spacing w:after="0"/>
              <w:rPr>
                <w:sz w:val="20"/>
                <w:szCs w:val="20"/>
                <w:color w:val="auto"/>
              </w:rPr>
            </w:pPr>
            <w:r>
              <w:rPr>
                <w:rFonts w:ascii="Times New Roman" w:cs="Times New Roman" w:eastAsia="Times New Roman" w:hAnsi="Times New Roman"/>
                <w:sz w:val="14"/>
                <w:szCs w:val="14"/>
                <w:b w:val="1"/>
                <w:bCs w:val="1"/>
                <w:color w:val="auto"/>
              </w:rPr>
              <w:t>SGD</w:t>
            </w:r>
          </w:p>
        </w:tc>
      </w:tr>
      <w:tr>
        <w:trPr>
          <w:trHeight w:val="171"/>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w:t>
            </w:r>
          </w:p>
        </w:tc>
        <w:tc>
          <w:tcPr>
            <w:tcW w:w="17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shd w:val="clear" w:color="auto" w:fill="CCEEFF"/>
          </w:tcPr>
          <w:p>
            <w:pPr>
              <w:spacing w:after="0"/>
              <w:rPr>
                <w:sz w:val="14"/>
                <w:szCs w:val="14"/>
                <w:color w:val="auto"/>
              </w:rPr>
            </w:pPr>
          </w:p>
        </w:tc>
        <w:tc>
          <w:tcPr>
            <w:tcW w:w="290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33.4</w:t>
            </w:r>
          </w:p>
        </w:tc>
        <w:tc>
          <w:tcPr>
            <w:tcW w:w="240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Yen</w:t>
            </w:r>
          </w:p>
        </w:tc>
        <w:tc>
          <w:tcPr>
            <w:tcW w:w="17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5,750.0</w:t>
            </w:r>
          </w:p>
        </w:tc>
        <w:tc>
          <w:tcPr>
            <w:tcW w:w="100" w:type="dxa"/>
            <w:vAlign w:val="bottom"/>
          </w:tcPr>
          <w:p>
            <w:pPr>
              <w:spacing w:after="0"/>
              <w:rPr>
                <w:sz w:val="15"/>
                <w:szCs w:val="15"/>
                <w:color w:val="auto"/>
              </w:rPr>
            </w:pPr>
          </w:p>
        </w:tc>
        <w:tc>
          <w:tcPr>
            <w:tcW w:w="290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27.6</w:t>
            </w:r>
          </w:p>
        </w:tc>
        <w:tc>
          <w:tcPr>
            <w:tcW w:w="240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11.2</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SGD</w:t>
            </w:r>
          </w:p>
        </w:tc>
        <w:tc>
          <w:tcPr>
            <w:tcW w:w="17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shd w:val="clear" w:color="auto" w:fill="CCEEFF"/>
          </w:tcPr>
          <w:p>
            <w:pPr>
              <w:spacing w:after="0"/>
              <w:rPr>
                <w:sz w:val="15"/>
                <w:szCs w:val="15"/>
                <w:color w:val="auto"/>
              </w:rPr>
            </w:pPr>
          </w:p>
        </w:tc>
        <w:tc>
          <w:tcPr>
            <w:tcW w:w="290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14.9</w:t>
            </w:r>
          </w:p>
        </w:tc>
        <w:tc>
          <w:tcPr>
            <w:tcW w:w="240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14.6</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51"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4"/>
          <w:szCs w:val="14"/>
          <w:color w:val="auto"/>
        </w:rPr>
        <w:t>In December 2019, we entered into a cross-currency swap for $90 million, which we designated as a hedge of our net investment in Daikyo. As of June 30, 2024, the notional amount of the cross-currency swap is ¥8.7 billion ($79.9 million) and the swap termination date is December 31, 2024. Under the cross-currency swap, we receive floating interest rate payments based on USD compounded Secured Overnight Financing Rate ("SOFR") plus a margin, in return for paying floating interest rate payments based on Japanese Yen (“Yen”) Tokyo Overnight Average Rate ("TONAR") plus a margin.</w:t>
      </w:r>
    </w:p>
    <w:p>
      <w:pPr>
        <w:spacing w:after="0" w:line="162"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Additionally, we will periodically enter into forward exchange contracts to mitigate our exposure to fluctuating foreign exchange rates on assets and liabilities, other than the intercompany loans and demand notes referenced above, which are denominated in foreign currencies. The Company has elected not to designate these forward contracts in hedging relationships, and any change in the value of the contracts is recognized in income.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Commodity Price Risk</w:t>
      </w:r>
    </w:p>
    <w:p>
      <w:pPr>
        <w:spacing w:after="0" w:line="202"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Many of our proprietary products are made from synthetic elastomers, which are derived from the petroleum refining process. We purchase the majority of our elastomers via long-term supply contracts, some of which contain clauses that provide for surcharges related to fluctuations in crude oil prices. The following economic hedges did not qualify for hedge accounting treatment since they did not meet the highly effective requirement at inception.</w:t>
      </w:r>
    </w:p>
    <w:p>
      <w:pPr>
        <w:spacing w:after="0" w:line="157"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From November 2017 through June 2024, we purchased several series of call options for a total of 1,079,145 barrels of crude oil to mitigate our exposure to such oil-based surcharges and protect operating cash flows with regard to a portion of our forecasted elastomer 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June 30, 2024, we had outstanding contracts to purchase 201,801 barrels of crude oil from June 2024 to December 2025, at a weighted-average strike price of $86.26 per barrel.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Effects of Derivative Instruments on Financial Position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Please refer to Note 10, </w:t>
      </w:r>
      <w:r>
        <w:rPr>
          <w:rFonts w:ascii="Times New Roman" w:cs="Times New Roman" w:eastAsia="Times New Roman" w:hAnsi="Times New Roman"/>
          <w:sz w:val="14"/>
          <w:szCs w:val="14"/>
          <w:i w:val="1"/>
          <w:iCs w:val="1"/>
          <w:u w:val="single" w:color="auto"/>
          <w:color w:val="0000FF"/>
        </w:rPr>
        <w:t>Fair Value Measurements</w:t>
      </w:r>
      <w:r>
        <w:rPr>
          <w:rFonts w:ascii="Times New Roman" w:cs="Times New Roman" w:eastAsia="Times New Roman" w:hAnsi="Times New Roman"/>
          <w:sz w:val="14"/>
          <w:szCs w:val="14"/>
          <w:color w:val="auto"/>
        </w:rPr>
        <w:t>, for the balance sheet location and fair values of our derivative instruments as of June 30, 2024 and December 31,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effects of derivative instruments designated as fair value hedges on the condensed consolidated statements of income: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 of Gain (Loss) Recognized in</w:t>
            </w:r>
          </w:p>
        </w:tc>
        <w:tc>
          <w:tcPr>
            <w:tcW w:w="120" w:type="dxa"/>
            <w:vAlign w:val="bottom"/>
          </w:tcPr>
          <w:p>
            <w:pPr>
              <w:spacing w:after="0"/>
              <w:rPr>
                <w:sz w:val="13"/>
                <w:szCs w:val="13"/>
                <w:color w:val="auto"/>
              </w:rPr>
            </w:pPr>
          </w:p>
        </w:tc>
        <w:tc>
          <w:tcPr>
            <w:tcW w:w="2420" w:type="dxa"/>
            <w:vAlign w:val="bottom"/>
            <w:gridSpan w:val="4"/>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Amount of Gain (Loss) Recognized in</w:t>
            </w:r>
          </w:p>
        </w:tc>
        <w:tc>
          <w:tcPr>
            <w:tcW w:w="1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3"/>
          </w:tcPr>
          <w:p>
            <w:pPr>
              <w:jc w:val="center"/>
              <w:ind w:left="609"/>
              <w:spacing w:after="0"/>
              <w:rPr>
                <w:sz w:val="20"/>
                <w:szCs w:val="20"/>
                <w:color w:val="auto"/>
              </w:rPr>
            </w:pPr>
            <w:r>
              <w:rPr>
                <w:rFonts w:ascii="Times New Roman" w:cs="Times New Roman" w:eastAsia="Times New Roman" w:hAnsi="Times New Roman"/>
                <w:sz w:val="14"/>
                <w:szCs w:val="14"/>
                <w:b w:val="1"/>
                <w:bCs w:val="1"/>
                <w:color w:val="auto"/>
              </w:rPr>
              <w:t>Income for the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rPr>
              <w:t>Income for the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gridSpan w:val="5"/>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2"/>
                <w:szCs w:val="12"/>
                <w:color w:val="auto"/>
              </w:rPr>
            </w:pPr>
          </w:p>
        </w:tc>
        <w:tc>
          <w:tcPr>
            <w:tcW w:w="2420" w:type="dxa"/>
            <w:vAlign w:val="bottom"/>
            <w:gridSpan w:val="4"/>
          </w:tcPr>
          <w:p>
            <w:pPr>
              <w:jc w:val="center"/>
              <w:ind w:right="29"/>
              <w:spacing w:after="0" w:line="144"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2"/>
                <w:szCs w:val="12"/>
                <w:color w:val="auto"/>
              </w:rPr>
            </w:pPr>
          </w:p>
        </w:tc>
        <w:tc>
          <w:tcPr>
            <w:tcW w:w="28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Location on Statement of Income</w:t>
            </w: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60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Hedges:</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Hedged item (intercompany loan)</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center"/>
              <w:ind w:left="749"/>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center"/>
              <w:ind w:left="429"/>
              <w:spacing w:after="0"/>
              <w:rPr>
                <w:sz w:val="20"/>
                <w:szCs w:val="20"/>
                <w:color w:val="auto"/>
              </w:rPr>
            </w:pPr>
            <w:r>
              <w:rPr>
                <w:rFonts w:ascii="Times New Roman" w:cs="Times New Roman" w:eastAsia="Times New Roman" w:hAnsi="Times New Roman"/>
                <w:sz w:val="14"/>
                <w:szCs w:val="14"/>
                <w:color w:val="auto"/>
                <w:w w:val="91"/>
              </w:rPr>
              <w:t>7.4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5"/>
                <w:szCs w:val="15"/>
                <w:color w:val="auto"/>
              </w:rPr>
            </w:pPr>
          </w:p>
        </w:tc>
        <w:tc>
          <w:tcPr>
            <w:tcW w:w="4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5"/>
                <w:szCs w:val="15"/>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 (income)</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designated as hedging instrument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center"/>
              <w:ind w:left="709"/>
              <w:spacing w:after="0"/>
              <w:rPr>
                <w:sz w:val="20"/>
                <w:szCs w:val="20"/>
                <w:color w:val="auto"/>
              </w:rPr>
            </w:pPr>
            <w:r>
              <w:rPr>
                <w:rFonts w:ascii="Times New Roman" w:cs="Times New Roman" w:eastAsia="Times New Roman" w:hAnsi="Times New Roman"/>
                <w:sz w:val="14"/>
                <w:szCs w:val="14"/>
                <w:color w:val="auto"/>
                <w:w w:val="96"/>
              </w:rPr>
              <w:t>(2.9)</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6"/>
              </w:rPr>
              <w:t>(8.2)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5"/>
                <w:szCs w:val="15"/>
                <w:color w:val="auto"/>
              </w:rPr>
            </w:pPr>
          </w:p>
        </w:tc>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(income)</w:t>
            </w:r>
          </w:p>
        </w:tc>
        <w:tc>
          <w:tcPr>
            <w:tcW w:w="0" w:type="dxa"/>
            <w:vAlign w:val="bottom"/>
          </w:tcPr>
          <w:p>
            <w:pPr>
              <w:spacing w:after="0"/>
              <w:rPr>
                <w:sz w:val="1"/>
                <w:szCs w:val="1"/>
                <w:color w:val="auto"/>
              </w:rPr>
            </w:pPr>
          </w:p>
        </w:tc>
      </w:tr>
      <w:tr>
        <w:trPr>
          <w:trHeight w:val="180"/>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Amount excluded from effectiveness testing</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left="709"/>
              <w:spacing w:after="0"/>
              <w:rPr>
                <w:sz w:val="20"/>
                <w:szCs w:val="20"/>
                <w:color w:val="auto"/>
              </w:rPr>
            </w:pPr>
            <w:r>
              <w:rPr>
                <w:rFonts w:ascii="Times New Roman" w:cs="Times New Roman" w:eastAsia="Times New Roman" w:hAnsi="Times New Roman"/>
                <w:sz w:val="14"/>
                <w:szCs w:val="14"/>
                <w:color w:val="auto"/>
                <w:w w:val="96"/>
              </w:rPr>
              <w:t>(1.7)</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left="409"/>
              <w:spacing w:after="0"/>
              <w:rPr>
                <w:sz w:val="20"/>
                <w:szCs w:val="20"/>
                <w:color w:val="auto"/>
              </w:rPr>
            </w:pPr>
            <w:r>
              <w:rPr>
                <w:rFonts w:ascii="Times New Roman" w:cs="Times New Roman" w:eastAsia="Times New Roman" w:hAnsi="Times New Roman"/>
                <w:sz w:val="14"/>
                <w:szCs w:val="14"/>
                <w:color w:val="auto"/>
                <w:w w:val="96"/>
              </w:rPr>
              <w:t>(0.1)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5"/>
                <w:szCs w:val="15"/>
                <w:color w:val="auto"/>
              </w:rPr>
            </w:pPr>
          </w:p>
        </w:tc>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expense (income)</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center"/>
              <w:ind w:left="709"/>
              <w:spacing w:after="0"/>
              <w:rPr>
                <w:sz w:val="20"/>
                <w:szCs w:val="20"/>
                <w:color w:val="auto"/>
              </w:rPr>
            </w:pPr>
            <w:r>
              <w:rPr>
                <w:rFonts w:ascii="Times New Roman" w:cs="Times New Roman" w:eastAsia="Times New Roman" w:hAnsi="Times New Roman"/>
                <w:sz w:val="14"/>
                <w:szCs w:val="14"/>
                <w:color w:val="auto"/>
                <w:w w:val="96"/>
              </w:rPr>
              <w:t>(1.7)</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6"/>
              </w:rPr>
              <w:t>(0.9)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shd w:val="clear" w:color="auto" w:fill="CCEEFF"/>
          </w:tcPr>
          <w:p>
            <w:pPr>
              <w:spacing w:after="0"/>
              <w:rPr>
                <w:sz w:val="16"/>
                <w:szCs w:val="16"/>
                <w:color w:val="auto"/>
              </w:rPr>
            </w:pPr>
          </w:p>
        </w:tc>
        <w:tc>
          <w:tcPr>
            <w:tcW w:w="28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We recognize in earnings the initial value of forward point components for hedges of intercompany loans on a straight-line basis over the life of the fair value hedge. The value of forward point components for hedges of intercompany demand notes is recognized currently in earnings using a market approach. The expense recognized in earnings, pre-tax, for forward point components for the three and six months ended June 30, 2024 was $1.7 million and $3.5 million, respectively. The income recognized in earnings, pre-tax, for forward point components for the three and six months ended June 30, 2023 was $0.2 million and $1.4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effects of derivative instruments designated as fair value, cash flow, and net investment hedges on other comprehensive income (“OCI”) and earnings, net of tax:</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 of Gain (Loss) Recognized in</w:t>
            </w:r>
          </w:p>
        </w:tc>
        <w:tc>
          <w:tcPr>
            <w:tcW w:w="25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Loss Reclassified from</w:t>
            </w:r>
          </w:p>
        </w:tc>
        <w:tc>
          <w:tcPr>
            <w:tcW w:w="1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left="649"/>
              <w:spacing w:after="0"/>
              <w:rPr>
                <w:sz w:val="20"/>
                <w:szCs w:val="20"/>
                <w:color w:val="auto"/>
              </w:rPr>
            </w:pPr>
            <w:r>
              <w:rPr>
                <w:rFonts w:ascii="Times New Roman" w:cs="Times New Roman" w:eastAsia="Times New Roman" w:hAnsi="Times New Roman"/>
                <w:sz w:val="14"/>
                <w:szCs w:val="14"/>
                <w:b w:val="1"/>
                <w:bCs w:val="1"/>
                <w:color w:val="auto"/>
                <w:w w:val="99"/>
              </w:rPr>
              <w:t>OCI for the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OCI into Income for the</w:t>
            </w:r>
          </w:p>
        </w:tc>
        <w:tc>
          <w:tcPr>
            <w:tcW w:w="1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3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gridSpan w:val="5"/>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200" w:type="dxa"/>
            <w:vAlign w:val="bottom"/>
            <w:gridSpan w:val="4"/>
          </w:tcPr>
          <w:p>
            <w:pPr>
              <w:jc w:val="center"/>
              <w:ind w:left="289"/>
              <w:spacing w:after="0" w:line="153"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2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Location of (Gain) Loss Reclassified from</w:t>
            </w: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64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42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OCI into Income</w:t>
            </w:r>
          </w:p>
        </w:tc>
        <w:tc>
          <w:tcPr>
            <w:tcW w:w="0" w:type="dxa"/>
            <w:vAlign w:val="bottom"/>
          </w:tcPr>
          <w:p>
            <w:pPr>
              <w:spacing w:after="0"/>
              <w:rPr>
                <w:sz w:val="1"/>
                <w:szCs w:val="1"/>
                <w:color w:val="auto"/>
              </w:rPr>
            </w:pPr>
          </w:p>
        </w:tc>
      </w:tr>
      <w:tr>
        <w:trPr>
          <w:trHeight w:val="176"/>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Hedges</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currency hedge contracts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tcPr>
          <w:p>
            <w:pPr>
              <w:spacing w:after="0"/>
              <w:rPr>
                <w:sz w:val="15"/>
                <w:szCs w:val="15"/>
                <w:color w:val="auto"/>
              </w:rPr>
            </w:pPr>
          </w:p>
        </w:tc>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expense (income)</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6"/>
                <w:szCs w:val="16"/>
                <w:color w:val="auto"/>
              </w:rPr>
            </w:pPr>
          </w:p>
        </w:tc>
        <w:tc>
          <w:tcPr>
            <w:tcW w:w="28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hedge contracts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5"/>
                <w:szCs w:val="15"/>
                <w:color w:val="auto"/>
              </w:rPr>
            </w:pPr>
          </w:p>
        </w:tc>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0" w:type="dxa"/>
            <w:vAlign w:val="bottom"/>
          </w:tcPr>
          <w:p>
            <w:pPr>
              <w:spacing w:after="0"/>
              <w:rPr>
                <w:sz w:val="1"/>
                <w:szCs w:val="1"/>
                <w:color w:val="auto"/>
              </w:rPr>
            </w:pPr>
          </w:p>
        </w:tc>
      </w:tr>
      <w:tr>
        <w:trPr>
          <w:trHeight w:val="18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hedge contracts</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5"/>
                <w:szCs w:val="15"/>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 and services sold</w:t>
            </w:r>
          </w:p>
        </w:tc>
        <w:tc>
          <w:tcPr>
            <w:tcW w:w="0" w:type="dxa"/>
            <w:vAlign w:val="bottom"/>
          </w:tcPr>
          <w:p>
            <w:pPr>
              <w:spacing w:after="0"/>
              <w:rPr>
                <w:sz w:val="1"/>
                <w:szCs w:val="1"/>
                <w:color w:val="auto"/>
              </w:rPr>
            </w:pPr>
          </w:p>
        </w:tc>
      </w:tr>
      <w:tr>
        <w:trPr>
          <w:trHeight w:val="18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Forward treasury locks</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0" w:type="dxa"/>
            <w:vAlign w:val="bottom"/>
          </w:tcPr>
          <w:p>
            <w:pPr>
              <w:spacing w:after="0"/>
              <w:rPr>
                <w:sz w:val="1"/>
                <w:szCs w:val="1"/>
                <w:color w:val="auto"/>
              </w:rPr>
            </w:pPr>
          </w:p>
        </w:tc>
      </w:tr>
      <w:tr>
        <w:trPr>
          <w:trHeight w:val="171"/>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Hedges:</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Cross-currency swap</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5"/>
                <w:szCs w:val="15"/>
                <w:color w:val="auto"/>
              </w:rPr>
            </w:pPr>
          </w:p>
        </w:tc>
        <w:tc>
          <w:tcPr>
            <w:tcW w:w="84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 (income)</w:t>
            </w: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 of Gain (Loss) Recognized in</w:t>
            </w:r>
          </w:p>
        </w:tc>
        <w:tc>
          <w:tcPr>
            <w:tcW w:w="25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Loss Reclassified from</w:t>
            </w:r>
          </w:p>
        </w:tc>
        <w:tc>
          <w:tcPr>
            <w:tcW w:w="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left="649"/>
              <w:spacing w:after="0"/>
              <w:rPr>
                <w:sz w:val="20"/>
                <w:szCs w:val="20"/>
                <w:color w:val="auto"/>
              </w:rPr>
            </w:pPr>
            <w:r>
              <w:rPr>
                <w:rFonts w:ascii="Times New Roman" w:cs="Times New Roman" w:eastAsia="Times New Roman" w:hAnsi="Times New Roman"/>
                <w:sz w:val="14"/>
                <w:szCs w:val="14"/>
                <w:b w:val="1"/>
                <w:bCs w:val="1"/>
                <w:color w:val="auto"/>
                <w:w w:val="99"/>
              </w:rPr>
              <w:t>OCI for the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OCI into Income for the</w:t>
            </w:r>
          </w:p>
        </w:tc>
        <w:tc>
          <w:tcPr>
            <w:tcW w:w="1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3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gridSpan w:val="5"/>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2200" w:type="dxa"/>
            <w:vAlign w:val="bottom"/>
            <w:gridSpan w:val="4"/>
          </w:tcPr>
          <w:p>
            <w:pPr>
              <w:jc w:val="center"/>
              <w:ind w:left="289"/>
              <w:spacing w:after="0" w:line="153"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2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Location of (Gain) Loss Reclassified from</w:t>
            </w: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64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42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OCI into Income</w:t>
            </w:r>
          </w:p>
        </w:tc>
        <w:tc>
          <w:tcPr>
            <w:tcW w:w="0" w:type="dxa"/>
            <w:vAlign w:val="bottom"/>
          </w:tcPr>
          <w:p>
            <w:pPr>
              <w:spacing w:after="0"/>
              <w:rPr>
                <w:sz w:val="1"/>
                <w:szCs w:val="1"/>
                <w:color w:val="auto"/>
              </w:rPr>
            </w:pPr>
          </w:p>
        </w:tc>
      </w:tr>
      <w:tr>
        <w:trPr>
          <w:trHeight w:val="176"/>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Hedges</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currency hedge contracts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tcPr>
          <w:p>
            <w:pPr>
              <w:spacing w:after="0"/>
              <w:rPr>
                <w:sz w:val="15"/>
                <w:szCs w:val="15"/>
                <w:color w:val="auto"/>
              </w:rPr>
            </w:pPr>
          </w:p>
        </w:tc>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expense (income)</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6"/>
                <w:szCs w:val="16"/>
                <w:color w:val="auto"/>
              </w:rPr>
            </w:pPr>
          </w:p>
        </w:tc>
        <w:tc>
          <w:tcPr>
            <w:tcW w:w="28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hedge contracts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0" w:type="dxa"/>
            <w:vAlign w:val="bottom"/>
          </w:tcPr>
          <w:p>
            <w:pPr>
              <w:spacing w:after="0"/>
              <w:rPr>
                <w:sz w:val="1"/>
                <w:szCs w:val="1"/>
                <w:color w:val="auto"/>
              </w:rPr>
            </w:pPr>
          </w:p>
        </w:tc>
      </w:tr>
      <w:tr>
        <w:trPr>
          <w:trHeight w:val="18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hedge contracts</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5"/>
                <w:szCs w:val="15"/>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 and services sold</w:t>
            </w:r>
          </w:p>
        </w:tc>
        <w:tc>
          <w:tcPr>
            <w:tcW w:w="0" w:type="dxa"/>
            <w:vAlign w:val="bottom"/>
          </w:tcPr>
          <w:p>
            <w:pPr>
              <w:spacing w:after="0"/>
              <w:rPr>
                <w:sz w:val="1"/>
                <w:szCs w:val="1"/>
                <w:color w:val="auto"/>
              </w:rPr>
            </w:pPr>
          </w:p>
        </w:tc>
      </w:tr>
      <w:tr>
        <w:trPr>
          <w:trHeight w:val="18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Forward treasury locks</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0" w:type="dxa"/>
            <w:vAlign w:val="bottom"/>
          </w:tcPr>
          <w:p>
            <w:pPr>
              <w:spacing w:after="0"/>
              <w:rPr>
                <w:sz w:val="1"/>
                <w:szCs w:val="1"/>
                <w:color w:val="auto"/>
              </w:rPr>
            </w:pPr>
          </w:p>
        </w:tc>
      </w:tr>
      <w:tr>
        <w:trPr>
          <w:trHeight w:val="171"/>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Hedges:</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Cross-currency swap</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expense (income)</w:t>
            </w:r>
          </w:p>
        </w:tc>
        <w:tc>
          <w:tcPr>
            <w:tcW w:w="0" w:type="dxa"/>
            <w:vAlign w:val="bottom"/>
          </w:tcPr>
          <w:p>
            <w:pPr>
              <w:spacing w:after="0"/>
              <w:rPr>
                <w:sz w:val="1"/>
                <w:szCs w:val="1"/>
                <w:color w:val="auto"/>
              </w:rPr>
            </w:pPr>
          </w:p>
        </w:tc>
      </w:tr>
      <w:tr>
        <w:trPr>
          <w:trHeight w:val="191"/>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7"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4"/>
          <w:szCs w:val="14"/>
          <w:color w:val="auto"/>
        </w:rPr>
        <w:t>Refer to the above table which summarizes the effects of derivative instruments designated as fair value hedges within the other expense (income) line in our condensed consolidated statements of income for the three and six months ended June 30, 2024 and June 30, 2023. The following table summarizes the effects of derivative instruments designated as cash flow and net investment hedges by line item in our condensed consolidated statements of income:</w:t>
      </w:r>
    </w:p>
    <w:tbl>
      <w:tblPr>
        <w:tblLayout w:type="fixed"/>
        <w:tblInd w:w="0" w:type="dxa"/>
        <w:tblCellMar>
          <w:top w:w="0" w:type="dxa"/>
          <w:left w:w="0" w:type="dxa"/>
          <w:bottom w:w="0" w:type="dxa"/>
          <w:right w:w="0" w:type="dxa"/>
        </w:tblCellMar>
      </w:tblPr>
      <w:tr>
        <w:trPr>
          <w:trHeight w:val="144"/>
        </w:trPr>
        <w:tc>
          <w:tcPr>
            <w:tcW w:w="4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gridSpan w:val="3"/>
          </w:tcPr>
          <w:p>
            <w:pPr>
              <w:jc w:val="center"/>
              <w:ind w:left="529"/>
              <w:spacing w:after="0" w:line="144" w:lineRule="exact"/>
              <w:rPr>
                <w:sz w:val="20"/>
                <w:szCs w:val="20"/>
                <w:color w:val="auto"/>
              </w:rPr>
            </w:pPr>
            <w:r>
              <w:rPr>
                <w:rFonts w:ascii="Times New Roman" w:cs="Times New Roman" w:eastAsia="Times New Roman" w:hAnsi="Times New Roman"/>
                <w:sz w:val="14"/>
                <w:szCs w:val="14"/>
                <w:color w:val="auto"/>
                <w:w w:val="99"/>
              </w:rPr>
              <w:t>Three Months Ended</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gridSpan w:val="3"/>
          </w:tcPr>
          <w:p>
            <w:pPr>
              <w:jc w:val="center"/>
              <w:ind w:left="569"/>
              <w:spacing w:after="0" w:line="144" w:lineRule="exact"/>
              <w:rPr>
                <w:sz w:val="20"/>
                <w:szCs w:val="20"/>
                <w:color w:val="auto"/>
              </w:rPr>
            </w:pPr>
            <w:r>
              <w:rPr>
                <w:rFonts w:ascii="Times New Roman" w:cs="Times New Roman" w:eastAsia="Times New Roman" w:hAnsi="Times New Roman"/>
                <w:sz w:val="14"/>
                <w:szCs w:val="14"/>
                <w:color w:val="auto"/>
              </w:rPr>
              <w:t>Six Months Ended</w:t>
            </w:r>
          </w:p>
        </w:tc>
        <w:tc>
          <w:tcPr>
            <w:tcW w:w="1000" w:type="dxa"/>
            <w:vAlign w:val="bottom"/>
          </w:tcPr>
          <w:p>
            <w:pPr>
              <w:spacing w:after="0"/>
              <w:rPr>
                <w:sz w:val="12"/>
                <w:szCs w:val="12"/>
                <w:color w:val="auto"/>
              </w:rPr>
            </w:pPr>
          </w:p>
        </w:tc>
      </w:tr>
      <w:tr>
        <w:trPr>
          <w:trHeight w:val="184"/>
        </w:trPr>
        <w:tc>
          <w:tcPr>
            <w:tcW w:w="4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529"/>
              <w:spacing w:after="0"/>
              <w:rPr>
                <w:sz w:val="20"/>
                <w:szCs w:val="20"/>
                <w:color w:val="auto"/>
              </w:rPr>
            </w:pPr>
            <w:r>
              <w:rPr>
                <w:rFonts w:ascii="Times New Roman" w:cs="Times New Roman" w:eastAsia="Times New Roman" w:hAnsi="Times New Roman"/>
                <w:sz w:val="14"/>
                <w:szCs w:val="14"/>
                <w:color w:val="auto"/>
                <w:w w:val="98"/>
              </w:rPr>
              <w:t>June 30,</w:t>
            </w: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569"/>
              <w:spacing w:after="0"/>
              <w:rPr>
                <w:sz w:val="20"/>
                <w:szCs w:val="20"/>
                <w:color w:val="auto"/>
              </w:rPr>
            </w:pPr>
            <w:r>
              <w:rPr>
                <w:rFonts w:ascii="Times New Roman" w:cs="Times New Roman" w:eastAsia="Times New Roman" w:hAnsi="Times New Roman"/>
                <w:sz w:val="14"/>
                <w:szCs w:val="14"/>
                <w:color w:val="auto"/>
                <w:w w:val="98"/>
              </w:rPr>
              <w:t>June 30,</w:t>
            </w:r>
          </w:p>
        </w:tc>
        <w:tc>
          <w:tcPr>
            <w:tcW w:w="1000" w:type="dxa"/>
            <w:vAlign w:val="bottom"/>
            <w:tcBorders>
              <w:bottom w:val="single" w:sz="8" w:color="auto"/>
            </w:tcBorders>
          </w:tcPr>
          <w:p>
            <w:pPr>
              <w:spacing w:after="0"/>
              <w:rPr>
                <w:sz w:val="16"/>
                <w:szCs w:val="16"/>
                <w:color w:val="auto"/>
              </w:rPr>
            </w:pPr>
          </w:p>
        </w:tc>
      </w:tr>
      <w:tr>
        <w:trPr>
          <w:trHeight w:val="178"/>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center"/>
              <w:ind w:left="829"/>
              <w:spacing w:after="0"/>
              <w:rPr>
                <w:sz w:val="20"/>
                <w:szCs w:val="20"/>
                <w:color w:val="auto"/>
              </w:rPr>
            </w:pPr>
            <w:r>
              <w:rPr>
                <w:rFonts w:ascii="Times New Roman" w:cs="Times New Roman" w:eastAsia="Times New Roman" w:hAnsi="Times New Roman"/>
                <w:sz w:val="14"/>
                <w:szCs w:val="14"/>
                <w:color w:val="auto"/>
                <w:w w:val="96"/>
              </w:rPr>
              <w:t>(0.2)</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 and services sold</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center"/>
              <w:ind w:left="869"/>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left="869"/>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effects of derivative instruments not designated as hedges on the condensed consolidated statements of income: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 of Gain (Loss) Recognized in</w:t>
            </w:r>
          </w:p>
        </w:tc>
        <w:tc>
          <w:tcPr>
            <w:tcW w:w="120" w:type="dxa"/>
            <w:vAlign w:val="bottom"/>
          </w:tcPr>
          <w:p>
            <w:pPr>
              <w:spacing w:after="0"/>
              <w:rPr>
                <w:sz w:val="13"/>
                <w:szCs w:val="13"/>
                <w:color w:val="auto"/>
              </w:rPr>
            </w:pPr>
          </w:p>
        </w:tc>
        <w:tc>
          <w:tcPr>
            <w:tcW w:w="2420" w:type="dxa"/>
            <w:vAlign w:val="bottom"/>
            <w:gridSpan w:val="4"/>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Amount of Gain (Loss) Recognized in</w:t>
            </w:r>
          </w:p>
        </w:tc>
        <w:tc>
          <w:tcPr>
            <w:tcW w:w="1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rPr>
              <w:t>Income for the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rPr>
              <w:t>Income for the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gridSpan w:val="5"/>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2"/>
                <w:szCs w:val="12"/>
                <w:color w:val="auto"/>
              </w:rPr>
            </w:pPr>
          </w:p>
        </w:tc>
        <w:tc>
          <w:tcPr>
            <w:tcW w:w="2420" w:type="dxa"/>
            <w:vAlign w:val="bottom"/>
            <w:gridSpan w:val="4"/>
          </w:tcPr>
          <w:p>
            <w:pPr>
              <w:jc w:val="center"/>
              <w:ind w:right="49"/>
              <w:spacing w:after="0" w:line="144" w:lineRule="exact"/>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100" w:type="dxa"/>
            <w:vAlign w:val="bottom"/>
          </w:tcPr>
          <w:p>
            <w:pPr>
              <w:spacing w:after="0"/>
              <w:rPr>
                <w:sz w:val="12"/>
                <w:szCs w:val="12"/>
                <w:color w:val="auto"/>
              </w:rPr>
            </w:pPr>
          </w:p>
        </w:tc>
        <w:tc>
          <w:tcPr>
            <w:tcW w:w="354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Location on Statement of Income</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60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5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Commodity call options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center"/>
              <w:ind w:left="709"/>
              <w:spacing w:after="0"/>
              <w:rPr>
                <w:sz w:val="20"/>
                <w:szCs w:val="20"/>
                <w:color w:val="auto"/>
              </w:rPr>
            </w:pPr>
            <w:r>
              <w:rPr>
                <w:rFonts w:ascii="Times New Roman" w:cs="Times New Roman" w:eastAsia="Times New Roman" w:hAnsi="Times New Roman"/>
                <w:sz w:val="14"/>
                <w:szCs w:val="14"/>
                <w:color w:val="auto"/>
                <w:w w:val="96"/>
              </w:rPr>
              <w:t>(0.2)</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center"/>
              <w:ind w:left="709"/>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4"/>
                <w:szCs w:val="14"/>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(income)</w:t>
            </w:r>
          </w:p>
        </w:tc>
        <w:tc>
          <w:tcPr>
            <w:tcW w:w="0" w:type="dxa"/>
            <w:vAlign w:val="bottom"/>
          </w:tcPr>
          <w:p>
            <w:pPr>
              <w:spacing w:after="0"/>
              <w:rPr>
                <w:sz w:val="1"/>
                <w:szCs w:val="1"/>
                <w:color w:val="auto"/>
              </w:rPr>
            </w:pPr>
          </w:p>
        </w:tc>
      </w:tr>
      <w:tr>
        <w:trPr>
          <w:trHeight w:val="180"/>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Currency forwards</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left="749"/>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left="729"/>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tcPr>
          <w:p>
            <w:pPr>
              <w:spacing w:after="0"/>
              <w:rPr>
                <w:sz w:val="15"/>
                <w:szCs w:val="15"/>
                <w:color w:val="auto"/>
              </w:rPr>
            </w:pPr>
          </w:p>
        </w:tc>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expense (income)</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center"/>
              <w:ind w:left="709"/>
              <w:spacing w:after="0"/>
              <w:rPr>
                <w:sz w:val="20"/>
                <w:szCs w:val="20"/>
                <w:color w:val="auto"/>
              </w:rPr>
            </w:pPr>
            <w:r>
              <w:rPr>
                <w:rFonts w:ascii="Times New Roman" w:cs="Times New Roman" w:eastAsia="Times New Roman" w:hAnsi="Times New Roman"/>
                <w:sz w:val="14"/>
                <w:szCs w:val="14"/>
                <w:color w:val="auto"/>
                <w:w w:val="96"/>
              </w:rPr>
              <w:t>(0.1)</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center"/>
              <w:ind w:left="729"/>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35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three and six months ended June 30, 2024 and 2023, there was no material ineffectiveness related to our hedges.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Fair Value Measurements</w:t>
      </w:r>
    </w:p>
    <w:p>
      <w:pPr>
        <w:spacing w:after="0" w:line="20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spacing w:after="0" w:line="145" w:lineRule="exact"/>
        <w:rPr>
          <w:sz w:val="20"/>
          <w:szCs w:val="20"/>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Level 1</w:t>
      </w:r>
      <w:r>
        <w:rPr>
          <w:rFonts w:ascii="Times New Roman" w:cs="Times New Roman" w:eastAsia="Times New Roman" w:hAnsi="Times New Roman"/>
          <w:sz w:val="14"/>
          <w:szCs w:val="14"/>
          <w:color w:val="auto"/>
        </w:rPr>
        <w:t>: Unadjusted quoted prices in active markets for identical assets or liabilities.</w:t>
      </w:r>
    </w:p>
    <w:p>
      <w:pPr>
        <w:spacing w:after="0" w:line="93" w:lineRule="exact"/>
        <w:rPr>
          <w:rFonts w:ascii="Times New Roman" w:cs="Times New Roman" w:eastAsia="Times New Roman" w:hAnsi="Times New Roman"/>
          <w:sz w:val="14"/>
          <w:szCs w:val="14"/>
          <w:color w:val="auto"/>
        </w:rPr>
      </w:pPr>
    </w:p>
    <w:p>
      <w:pPr>
        <w:ind w:left="760" w:right="360" w:hanging="246"/>
        <w:spacing w:after="0" w:line="287" w:lineRule="auto"/>
        <w:tabs>
          <w:tab w:leader="none" w:pos="7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Level 2</w:t>
      </w:r>
      <w:r>
        <w:rPr>
          <w:rFonts w:ascii="Times New Roman" w:cs="Times New Roman" w:eastAsia="Times New Roman" w:hAnsi="Times New Roman"/>
          <w:sz w:val="14"/>
          <w:szCs w:val="14"/>
          <w:color w:val="auto"/>
        </w:rPr>
        <w:t>: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Level 3</w:t>
      </w:r>
      <w:r>
        <w:rPr>
          <w:rFonts w:ascii="Times New Roman" w:cs="Times New Roman" w:eastAsia="Times New Roman" w:hAnsi="Times New Roman"/>
          <w:sz w:val="14"/>
          <w:szCs w:val="14"/>
          <w:color w:val="auto"/>
        </w:rPr>
        <w:t>: Unobservable inputs that reflect the reporting entity’s own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59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following tables present the assets and liabilities recorded at fair value on a recurring basis: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2"/>
        </w:trPr>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220" w:type="dxa"/>
            <w:vAlign w:val="bottom"/>
          </w:tcPr>
          <w:p>
            <w:pPr>
              <w:jc w:val="center"/>
              <w:ind w:left="290"/>
              <w:spacing w:after="0"/>
              <w:rPr>
                <w:sz w:val="20"/>
                <w:szCs w:val="20"/>
                <w:color w:val="auto"/>
              </w:rPr>
            </w:pPr>
            <w:r>
              <w:rPr>
                <w:rFonts w:ascii="Times New Roman" w:cs="Times New Roman" w:eastAsia="Times New Roman" w:hAnsi="Times New Roman"/>
                <w:sz w:val="14"/>
                <w:szCs w:val="14"/>
                <w:color w:val="auto"/>
                <w:w w:val="98"/>
              </w:rPr>
              <w:t>Balance at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Basis of Fair Value Measurements</w:t>
            </w:r>
          </w:p>
        </w:tc>
        <w:tc>
          <w:tcPr>
            <w:tcW w:w="1220" w:type="dxa"/>
            <w:vAlign w:val="bottom"/>
            <w:tcBorders>
              <w:bottom w:val="single" w:sz="8" w:color="auto"/>
            </w:tcBorders>
          </w:tcPr>
          <w:p>
            <w:pPr>
              <w:spacing w:after="0"/>
              <w:rPr>
                <w:sz w:val="17"/>
                <w:szCs w:val="17"/>
                <w:color w:val="auto"/>
              </w:rPr>
            </w:pPr>
          </w:p>
        </w:tc>
      </w:tr>
      <w:tr>
        <w:trPr>
          <w:trHeight w:val="118"/>
        </w:trPr>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220" w:type="dxa"/>
            <w:vAlign w:val="bottom"/>
          </w:tcPr>
          <w:p>
            <w:pPr>
              <w:jc w:val="center"/>
              <w:ind w:left="290"/>
              <w:spacing w:after="0" w:line="119" w:lineRule="exact"/>
              <w:rPr>
                <w:sz w:val="20"/>
                <w:szCs w:val="20"/>
                <w:color w:val="auto"/>
              </w:rPr>
            </w:pPr>
            <w:r>
              <w:rPr>
                <w:rFonts w:ascii="Times New Roman" w:cs="Times New Roman" w:eastAsia="Times New Roman" w:hAnsi="Times New Roman"/>
                <w:sz w:val="13"/>
                <w:szCs w:val="13"/>
                <w:color w:val="auto"/>
              </w:rPr>
              <w:t>June 30,</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91"/>
        </w:trPr>
        <w:tc>
          <w:tcPr>
            <w:tcW w:w="46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22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4"/>
                <w:szCs w:val="14"/>
                <w:color w:val="auto"/>
              </w:rPr>
              <w:t>2024</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Level 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left="369"/>
              <w:spacing w:after="0"/>
              <w:rPr>
                <w:sz w:val="20"/>
                <w:szCs w:val="20"/>
                <w:color w:val="auto"/>
              </w:rPr>
            </w:pPr>
            <w:r>
              <w:rPr>
                <w:rFonts w:ascii="Times New Roman" w:cs="Times New Roman" w:eastAsia="Times New Roman" w:hAnsi="Times New Roman"/>
                <w:sz w:val="14"/>
                <w:szCs w:val="14"/>
                <w:color w:val="auto"/>
              </w:rPr>
              <w:t>Level 2</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Level 3</w:t>
            </w:r>
          </w:p>
        </w:tc>
      </w:tr>
      <w:tr>
        <w:trPr>
          <w:trHeight w:val="139"/>
        </w:trPr>
        <w:tc>
          <w:tcPr>
            <w:tcW w:w="4680" w:type="dxa"/>
            <w:vAlign w:val="bottom"/>
            <w:tcBorders>
              <w:left w:val="single" w:sz="8" w:color="CCEEFF"/>
            </w:tcBorders>
            <w:gridSpan w:val="3"/>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Assets:</w:t>
            </w:r>
          </w:p>
        </w:tc>
        <w:tc>
          <w:tcPr>
            <w:tcW w:w="1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32"/>
        </w:trPr>
        <w:tc>
          <w:tcPr>
            <w:tcW w:w="420" w:type="dxa"/>
            <w:vAlign w:val="bottom"/>
            <w:tcBorders>
              <w:lef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r>
        <w:trPr>
          <w:trHeight w:val="180"/>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Deferred compensation assets</w:t>
            </w:r>
          </w:p>
        </w:tc>
        <w:tc>
          <w:tcPr>
            <w:tcW w:w="1220" w:type="dxa"/>
            <w:vAlign w:val="bottom"/>
          </w:tcPr>
          <w:p>
            <w:pPr>
              <w:jc w:val="right"/>
              <w:ind w:right="107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5"/>
                <w:szCs w:val="15"/>
                <w:color w:val="auto"/>
              </w:rPr>
            </w:pPr>
          </w:p>
        </w:tc>
        <w:tc>
          <w:tcPr>
            <w:tcW w:w="1140" w:type="dxa"/>
            <w:vAlign w:val="bottom"/>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5"/>
                <w:szCs w:val="15"/>
                <w:color w:val="auto"/>
              </w:rPr>
            </w:pPr>
          </w:p>
        </w:tc>
        <w:tc>
          <w:tcPr>
            <w:tcW w:w="1120" w:type="dxa"/>
            <w:vAlign w:val="bottom"/>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6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Cross-currency swap</w:t>
            </w:r>
          </w:p>
        </w:tc>
        <w:tc>
          <w:tcPr>
            <w:tcW w:w="1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6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Commodity call options</w:t>
            </w: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71"/>
        </w:trPr>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ind w:right="107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2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43"/>
        </w:trPr>
        <w:tc>
          <w:tcPr>
            <w:tcW w:w="640" w:type="dxa"/>
            <w:vAlign w:val="bottom"/>
            <w:tcBorders>
              <w:left w:val="single" w:sz="8" w:color="CCEEFF"/>
              <w:bottom w:val="single" w:sz="8" w:color="auto"/>
            </w:tcBorders>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4"/>
                <w:szCs w:val="14"/>
                <w:color w:val="auto"/>
                <w:w w:val="98"/>
              </w:rPr>
              <w:t>Liabilities:</w:t>
            </w:r>
          </w:p>
        </w:tc>
        <w:tc>
          <w:tcPr>
            <w:tcW w:w="404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r>
      <w:tr>
        <w:trPr>
          <w:trHeight w:val="180"/>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1220" w:type="dxa"/>
            <w:vAlign w:val="bottom"/>
          </w:tcPr>
          <w:p>
            <w:pPr>
              <w:jc w:val="right"/>
              <w:ind w:right="107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5"/>
                <w:szCs w:val="15"/>
                <w:color w:val="auto"/>
              </w:rPr>
            </w:pPr>
          </w:p>
        </w:tc>
        <w:tc>
          <w:tcPr>
            <w:tcW w:w="1140" w:type="dxa"/>
            <w:vAlign w:val="bottom"/>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0"/>
        </w:trPr>
        <w:tc>
          <w:tcPr>
            <w:tcW w:w="46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compensation liabilities</w:t>
            </w: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20" w:type="dxa"/>
            <w:vAlign w:val="bottom"/>
            <w:tcBorders>
              <w:top w:val="single" w:sz="8" w:color="CCEEFF"/>
              <w:left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404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29"/>
        </w:trPr>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20" w:type="dxa"/>
            <w:vAlign w:val="bottom"/>
          </w:tcPr>
          <w:p>
            <w:pPr>
              <w:jc w:val="center"/>
              <w:ind w:left="290"/>
              <w:spacing w:after="0"/>
              <w:rPr>
                <w:sz w:val="20"/>
                <w:szCs w:val="20"/>
                <w:color w:val="auto"/>
              </w:rPr>
            </w:pPr>
            <w:r>
              <w:rPr>
                <w:rFonts w:ascii="Times New Roman" w:cs="Times New Roman" w:eastAsia="Times New Roman" w:hAnsi="Times New Roman"/>
                <w:sz w:val="14"/>
                <w:szCs w:val="14"/>
                <w:color w:val="auto"/>
                <w:w w:val="98"/>
              </w:rPr>
              <w:t>Balance at</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Basis of Fair Value Measurements</w:t>
            </w:r>
          </w:p>
        </w:tc>
        <w:tc>
          <w:tcPr>
            <w:tcW w:w="1220" w:type="dxa"/>
            <w:vAlign w:val="bottom"/>
            <w:tcBorders>
              <w:bottom w:val="single" w:sz="8" w:color="auto"/>
            </w:tcBorders>
          </w:tcPr>
          <w:p>
            <w:pPr>
              <w:spacing w:after="0"/>
              <w:rPr>
                <w:sz w:val="24"/>
                <w:szCs w:val="24"/>
                <w:color w:val="auto"/>
              </w:rPr>
            </w:pPr>
          </w:p>
        </w:tc>
      </w:tr>
      <w:tr>
        <w:trPr>
          <w:trHeight w:val="118"/>
        </w:trPr>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220" w:type="dxa"/>
            <w:vAlign w:val="bottom"/>
          </w:tcPr>
          <w:p>
            <w:pPr>
              <w:jc w:val="center"/>
              <w:ind w:left="290"/>
              <w:spacing w:after="0" w:line="119" w:lineRule="exact"/>
              <w:rPr>
                <w:sz w:val="20"/>
                <w:szCs w:val="20"/>
                <w:color w:val="auto"/>
              </w:rPr>
            </w:pPr>
            <w:r>
              <w:rPr>
                <w:rFonts w:ascii="Times New Roman" w:cs="Times New Roman" w:eastAsia="Times New Roman" w:hAnsi="Times New Roman"/>
                <w:sz w:val="13"/>
                <w:szCs w:val="13"/>
                <w:color w:val="auto"/>
              </w:rPr>
              <w:t>December 31,</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91"/>
        </w:trPr>
        <w:tc>
          <w:tcPr>
            <w:tcW w:w="46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22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4"/>
                <w:szCs w:val="14"/>
                <w:color w:val="auto"/>
              </w:rPr>
              <w:t>2023</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Level 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left="369"/>
              <w:spacing w:after="0"/>
              <w:rPr>
                <w:sz w:val="20"/>
                <w:szCs w:val="20"/>
                <w:color w:val="auto"/>
              </w:rPr>
            </w:pPr>
            <w:r>
              <w:rPr>
                <w:rFonts w:ascii="Times New Roman" w:cs="Times New Roman" w:eastAsia="Times New Roman" w:hAnsi="Times New Roman"/>
                <w:sz w:val="14"/>
                <w:szCs w:val="14"/>
                <w:color w:val="auto"/>
              </w:rPr>
              <w:t>Level 2</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Level 3</w:t>
            </w:r>
          </w:p>
        </w:tc>
      </w:tr>
      <w:tr>
        <w:trPr>
          <w:trHeight w:val="139"/>
        </w:trPr>
        <w:tc>
          <w:tcPr>
            <w:tcW w:w="4680" w:type="dxa"/>
            <w:vAlign w:val="bottom"/>
            <w:tcBorders>
              <w:left w:val="single" w:sz="8" w:color="CCEEFF"/>
            </w:tcBorders>
            <w:gridSpan w:val="3"/>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Assets:</w:t>
            </w:r>
          </w:p>
        </w:tc>
        <w:tc>
          <w:tcPr>
            <w:tcW w:w="1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32"/>
        </w:trPr>
        <w:tc>
          <w:tcPr>
            <w:tcW w:w="420" w:type="dxa"/>
            <w:vAlign w:val="bottom"/>
            <w:tcBorders>
              <w:lef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r>
        <w:trPr>
          <w:trHeight w:val="180"/>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Deferred compensation assets</w:t>
            </w:r>
          </w:p>
        </w:tc>
        <w:tc>
          <w:tcPr>
            <w:tcW w:w="1220" w:type="dxa"/>
            <w:vAlign w:val="bottom"/>
          </w:tcPr>
          <w:p>
            <w:pPr>
              <w:jc w:val="right"/>
              <w:ind w:right="107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5"/>
                <w:szCs w:val="15"/>
                <w:color w:val="auto"/>
              </w:rPr>
            </w:pPr>
          </w:p>
        </w:tc>
        <w:tc>
          <w:tcPr>
            <w:tcW w:w="1140" w:type="dxa"/>
            <w:vAlign w:val="bottom"/>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5"/>
                <w:szCs w:val="15"/>
                <w:color w:val="auto"/>
              </w:rPr>
            </w:pPr>
          </w:p>
        </w:tc>
        <w:tc>
          <w:tcPr>
            <w:tcW w:w="1120" w:type="dxa"/>
            <w:vAlign w:val="bottom"/>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6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Cross-currency swap</w:t>
            </w:r>
          </w:p>
        </w:tc>
        <w:tc>
          <w:tcPr>
            <w:tcW w:w="1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6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Commodity call options</w:t>
            </w: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ind w:right="107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43"/>
        </w:trPr>
        <w:tc>
          <w:tcPr>
            <w:tcW w:w="640" w:type="dxa"/>
            <w:vAlign w:val="bottom"/>
            <w:tcBorders>
              <w:left w:val="single" w:sz="8" w:color="CCEEFF"/>
              <w:bottom w:val="single" w:sz="8" w:color="auto"/>
            </w:tcBorders>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4"/>
                <w:szCs w:val="14"/>
                <w:color w:val="auto"/>
                <w:w w:val="98"/>
              </w:rPr>
              <w:t>Liabilities:</w:t>
            </w:r>
          </w:p>
        </w:tc>
        <w:tc>
          <w:tcPr>
            <w:tcW w:w="404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r>
      <w:tr>
        <w:trPr>
          <w:trHeight w:val="180"/>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1220" w:type="dxa"/>
            <w:vAlign w:val="bottom"/>
          </w:tcPr>
          <w:p>
            <w:pPr>
              <w:jc w:val="right"/>
              <w:ind w:right="107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5"/>
                <w:szCs w:val="15"/>
                <w:color w:val="auto"/>
              </w:rPr>
            </w:pPr>
          </w:p>
        </w:tc>
        <w:tc>
          <w:tcPr>
            <w:tcW w:w="1140" w:type="dxa"/>
            <w:vAlign w:val="bottom"/>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0"/>
        </w:trPr>
        <w:tc>
          <w:tcPr>
            <w:tcW w:w="46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compensation liabilities</w:t>
            </w: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20" w:type="dxa"/>
            <w:vAlign w:val="bottom"/>
            <w:tcBorders>
              <w:top w:val="single" w:sz="8" w:color="CCEEFF"/>
              <w:left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404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4"/>
          <w:szCs w:val="14"/>
          <w:color w:val="auto"/>
        </w:rPr>
        <w:t xml:space="preserve">Deferred compensation assets are included within other noncurrent assets and are valued using a market approach based on quoted market prices in an active market. The fair value of our foreign currency contracts, included within other current and other noncurrent assets, as well as other current and other long-term liabilities as of June 30, 2024, is valued using an income approach based on quoted forward foreign exchange rates and spot rates at the reporting date. The fair value of the cross-currency swap, included within other current assets, is valued using a market approach. Please refer to Note 9, </w:t>
      </w:r>
      <w:r>
        <w:rPr>
          <w:rFonts w:ascii="Times New Roman" w:cs="Times New Roman" w:eastAsia="Times New Roman" w:hAnsi="Times New Roman"/>
          <w:sz w:val="14"/>
          <w:szCs w:val="14"/>
          <w:i w:val="1"/>
          <w:iCs w:val="1"/>
          <w:u w:val="single" w:color="auto"/>
          <w:color w:val="0000FF"/>
        </w:rPr>
        <w:t>Derivative Financial Instruments</w:t>
      </w:r>
      <w:r>
        <w:rPr>
          <w:rFonts w:ascii="Times New Roman" w:cs="Times New Roman" w:eastAsia="Times New Roman" w:hAnsi="Times New Roman"/>
          <w:sz w:val="14"/>
          <w:szCs w:val="14"/>
          <w:color w:val="auto"/>
        </w:rPr>
        <w:t>, for further discussion of our derivatives. The fair value of our commodity call options, included within other current and other noncurrent assets, is valued using a market approach. The fair value of the contingent consideration liability, within current and long-term liabilities, related to the SmartDose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technology platform (the “SmartDose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contingent consideration”) was initially determined using a probability-weighted income approach, and is revalued at each reporting date or more frequently if circumstances dictate. Changes in the fair value of this obligation are recorded as income or expense within other expense (income) in our condensed consolidated statements of income. The fair value of deferred compensation liabilities is based on quoted prices of the underlying employees’ investment selections and is included within other long-term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Financial Instruments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that the carrying amounts of our cash and cash equivalents and accounts receivable approximate their fair values due to their near-term maturities.</w:t>
      </w:r>
    </w:p>
    <w:p>
      <w:pPr>
        <w:spacing w:after="0" w:line="200"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estimated fair value of short-term and long-term debt is based on quoted market prices for debt issuances with similar terms and maturities and is classified as Level 2 within the fair value hierarchy. At June 30, 2024, the estimated fair value of short-term and long-term debt was $203.0 million compared to a carrying amount of $205.8 million. At December 31, 2023, the estimated fair value of short-term and long-term debt was $204.4 million and the carrying amount was $206.8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Accumulated Other Comprehensive Loss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changes in the components of accumulated other comprehensive income ("AOCI") (loss), net of tax, for the six months ended June 30, 2024:</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Change in equity affiliate</w:t>
            </w:r>
          </w:p>
        </w:tc>
        <w:tc>
          <w:tcPr>
            <w:tcW w:w="17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Defined benefit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Foreign</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1740" w:type="dxa"/>
            <w:vAlign w:val="bottom"/>
          </w:tcPr>
          <w:p>
            <w:pPr>
              <w:jc w:val="right"/>
              <w:ind w:right="89"/>
              <w:spacing w:after="0" w:line="138" w:lineRule="exact"/>
              <w:rPr>
                <w:sz w:val="20"/>
                <w:szCs w:val="20"/>
                <w:color w:val="auto"/>
              </w:rPr>
            </w:pPr>
            <w:r>
              <w:rPr>
                <w:rFonts w:ascii="Times New Roman" w:cs="Times New Roman" w:eastAsia="Times New Roman" w:hAnsi="Times New Roman"/>
                <w:sz w:val="14"/>
                <w:szCs w:val="14"/>
                <w:color w:val="auto"/>
              </w:rPr>
              <w:t>pension and other</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360"/>
              <w:spacing w:after="0" w:line="138" w:lineRule="exact"/>
              <w:rPr>
                <w:sz w:val="20"/>
                <w:szCs w:val="20"/>
                <w:color w:val="auto"/>
              </w:rPr>
            </w:pPr>
            <w:r>
              <w:rPr>
                <w:rFonts w:ascii="Times New Roman" w:cs="Times New Roman" w:eastAsia="Times New Roman" w:hAnsi="Times New Roman"/>
                <w:sz w:val="14"/>
                <w:szCs w:val="14"/>
                <w:color w:val="auto"/>
              </w:rPr>
              <w:t>currency</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0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Derivatives</w:t>
            </w:r>
          </w:p>
        </w:tc>
        <w:tc>
          <w:tcPr>
            <w:tcW w:w="160" w:type="dxa"/>
            <w:vAlign w:val="bottom"/>
          </w:tcPr>
          <w:p>
            <w:pPr>
              <w:spacing w:after="0"/>
              <w:rPr>
                <w:sz w:val="16"/>
                <w:szCs w:val="16"/>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investment AOCI</w:t>
            </w:r>
          </w:p>
        </w:tc>
        <w:tc>
          <w:tcPr>
            <w:tcW w:w="1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postretirement plans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translation</w:t>
            </w:r>
          </w:p>
        </w:tc>
        <w:tc>
          <w:tcPr>
            <w:tcW w:w="220" w:type="dxa"/>
            <w:vAlign w:val="bottom"/>
          </w:tcPr>
          <w:p>
            <w:pPr>
              <w:spacing w:after="0"/>
              <w:rPr>
                <w:sz w:val="16"/>
                <w:szCs w:val="16"/>
                <w:color w:val="auto"/>
              </w:rPr>
            </w:pPr>
          </w:p>
        </w:tc>
        <w:tc>
          <w:tcPr>
            <w:tcW w:w="7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bottom w:val="single" w:sz="8" w:color="auto"/>
            </w:tcBorders>
            <w:shd w:val="clear" w:color="auto" w:fill="CCEEFF"/>
          </w:tcPr>
          <w:p>
            <w:pPr>
              <w:jc w:val="right"/>
              <w:ind w:right="1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0" w:type="dxa"/>
            <w:vAlign w:val="bottom"/>
          </w:tcPr>
          <w:p>
            <w:pPr>
              <w:spacing w:after="0"/>
              <w:rPr>
                <w:sz w:val="1"/>
                <w:szCs w:val="1"/>
                <w:color w:val="auto"/>
              </w:rPr>
            </w:pPr>
          </w:p>
        </w:tc>
      </w:tr>
      <w:tr>
        <w:trPr>
          <w:trHeight w:val="118"/>
        </w:trPr>
        <w:tc>
          <w:tcPr>
            <w:tcW w:w="322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color w:val="auto"/>
              </w:rPr>
              <w:t>Other comprehensive (loss) income before</w:t>
            </w: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reclassifications</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0" w:type="dxa"/>
            <w:vAlign w:val="bottom"/>
          </w:tcPr>
          <w:p>
            <w:pPr>
              <w:spacing w:after="0"/>
              <w:rPr>
                <w:sz w:val="1"/>
                <w:szCs w:val="1"/>
                <w:color w:val="auto"/>
              </w:rPr>
            </w:pPr>
          </w:p>
        </w:tc>
      </w:tr>
      <w:tr>
        <w:trPr>
          <w:trHeight w:val="138"/>
        </w:trPr>
        <w:tc>
          <w:tcPr>
            <w:tcW w:w="3220" w:type="dxa"/>
            <w:vAlign w:val="bottom"/>
            <w:shd w:val="clear" w:color="auto" w:fill="CCEEFF"/>
          </w:tcPr>
          <w:p>
            <w:pPr>
              <w:ind w:left="80"/>
              <w:spacing w:after="0" w:line="138" w:lineRule="exact"/>
              <w:rPr>
                <w:sz w:val="20"/>
                <w:szCs w:val="20"/>
                <w:color w:val="auto"/>
              </w:rPr>
            </w:pPr>
            <w:r>
              <w:rPr>
                <w:rFonts w:ascii="Times New Roman" w:cs="Times New Roman" w:eastAsia="Times New Roman" w:hAnsi="Times New Roman"/>
                <w:sz w:val="14"/>
                <w:szCs w:val="14"/>
                <w:color w:val="auto"/>
              </w:rPr>
              <w:t>Amounts reclassified out from accumulated other</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comprehensive (loss) income</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1"/>
        </w:trPr>
        <w:tc>
          <w:tcPr>
            <w:tcW w:w="3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Other comprehensive (loss) income, net of tax</w:t>
            </w:r>
          </w:p>
        </w:tc>
        <w:tc>
          <w:tcPr>
            <w:tcW w:w="2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bottom w:val="single" w:sz="8" w:color="CCEEFF"/>
            </w:tcBorders>
          </w:tcPr>
          <w:p>
            <w:pPr>
              <w:spacing w:after="0"/>
              <w:rPr>
                <w:sz w:val="14"/>
                <w:szCs w:val="14"/>
                <w:color w:val="auto"/>
              </w:rPr>
            </w:pPr>
          </w:p>
        </w:tc>
        <w:tc>
          <w:tcPr>
            <w:tcW w:w="174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2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30, 2024</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ind w:right="1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changes in the components of accumulated other comprehensive income ("AOCI") (loss), net of tax, for the six months ended June 30, 2023:</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Change in equity affiliate</w:t>
            </w:r>
          </w:p>
        </w:tc>
        <w:tc>
          <w:tcPr>
            <w:tcW w:w="17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Defined benefit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Foreign</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1740" w:type="dxa"/>
            <w:vAlign w:val="bottom"/>
          </w:tcPr>
          <w:p>
            <w:pPr>
              <w:jc w:val="right"/>
              <w:ind w:right="89"/>
              <w:spacing w:after="0" w:line="138" w:lineRule="exact"/>
              <w:rPr>
                <w:sz w:val="20"/>
                <w:szCs w:val="20"/>
                <w:color w:val="auto"/>
              </w:rPr>
            </w:pPr>
            <w:r>
              <w:rPr>
                <w:rFonts w:ascii="Times New Roman" w:cs="Times New Roman" w:eastAsia="Times New Roman" w:hAnsi="Times New Roman"/>
                <w:sz w:val="14"/>
                <w:szCs w:val="14"/>
                <w:color w:val="auto"/>
              </w:rPr>
              <w:t>pension and other</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360"/>
              <w:spacing w:after="0" w:line="138" w:lineRule="exact"/>
              <w:rPr>
                <w:sz w:val="20"/>
                <w:szCs w:val="20"/>
                <w:color w:val="auto"/>
              </w:rPr>
            </w:pPr>
            <w:r>
              <w:rPr>
                <w:rFonts w:ascii="Times New Roman" w:cs="Times New Roman" w:eastAsia="Times New Roman" w:hAnsi="Times New Roman"/>
                <w:sz w:val="14"/>
                <w:szCs w:val="14"/>
                <w:color w:val="auto"/>
              </w:rPr>
              <w:t>currency</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0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Derivatives</w:t>
            </w:r>
          </w:p>
        </w:tc>
        <w:tc>
          <w:tcPr>
            <w:tcW w:w="160" w:type="dxa"/>
            <w:vAlign w:val="bottom"/>
          </w:tcPr>
          <w:p>
            <w:pPr>
              <w:spacing w:after="0"/>
              <w:rPr>
                <w:sz w:val="16"/>
                <w:szCs w:val="16"/>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investment AOCI</w:t>
            </w:r>
          </w:p>
        </w:tc>
        <w:tc>
          <w:tcPr>
            <w:tcW w:w="1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postretirement plans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translation</w:t>
            </w:r>
          </w:p>
        </w:tc>
        <w:tc>
          <w:tcPr>
            <w:tcW w:w="220" w:type="dxa"/>
            <w:vAlign w:val="bottom"/>
          </w:tcPr>
          <w:p>
            <w:pPr>
              <w:spacing w:after="0"/>
              <w:rPr>
                <w:sz w:val="16"/>
                <w:szCs w:val="16"/>
                <w:color w:val="auto"/>
              </w:rPr>
            </w:pPr>
          </w:p>
        </w:tc>
        <w:tc>
          <w:tcPr>
            <w:tcW w:w="7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center"/>
              <w:ind w:left="749"/>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bottom w:val="single" w:sz="8" w:color="auto"/>
            </w:tcBorders>
            <w:shd w:val="clear" w:color="auto" w:fill="CCEEFF"/>
          </w:tcPr>
          <w:p>
            <w:pPr>
              <w:jc w:val="right"/>
              <w:ind w:right="1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0" w:type="dxa"/>
            <w:vAlign w:val="bottom"/>
          </w:tcPr>
          <w:p>
            <w:pPr>
              <w:spacing w:after="0"/>
              <w:rPr>
                <w:sz w:val="1"/>
                <w:szCs w:val="1"/>
                <w:color w:val="auto"/>
              </w:rPr>
            </w:pPr>
          </w:p>
        </w:tc>
      </w:tr>
      <w:tr>
        <w:trPr>
          <w:trHeight w:val="118"/>
        </w:trPr>
        <w:tc>
          <w:tcPr>
            <w:tcW w:w="322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color w:val="auto"/>
              </w:rPr>
              <w:t>Other comprehensive (loss) income before</w:t>
            </w: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reclassifications</w:t>
            </w:r>
          </w:p>
        </w:tc>
        <w:tc>
          <w:tcPr>
            <w:tcW w:w="200" w:type="dxa"/>
            <w:vAlign w:val="bottom"/>
          </w:tcPr>
          <w:p>
            <w:pPr>
              <w:spacing w:after="0"/>
              <w:rPr>
                <w:sz w:val="16"/>
                <w:szCs w:val="16"/>
                <w:color w:val="auto"/>
              </w:rPr>
            </w:pPr>
          </w:p>
        </w:tc>
        <w:tc>
          <w:tcPr>
            <w:tcW w:w="1120" w:type="dxa"/>
            <w:vAlign w:val="bottom"/>
          </w:tcPr>
          <w:p>
            <w:pPr>
              <w:jc w:val="center"/>
              <w:ind w:left="729"/>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38"/>
        </w:trPr>
        <w:tc>
          <w:tcPr>
            <w:tcW w:w="3220" w:type="dxa"/>
            <w:vAlign w:val="bottom"/>
            <w:shd w:val="clear" w:color="auto" w:fill="CCEEFF"/>
          </w:tcPr>
          <w:p>
            <w:pPr>
              <w:ind w:left="80"/>
              <w:spacing w:after="0" w:line="138" w:lineRule="exact"/>
              <w:rPr>
                <w:sz w:val="20"/>
                <w:szCs w:val="20"/>
                <w:color w:val="auto"/>
              </w:rPr>
            </w:pPr>
            <w:r>
              <w:rPr>
                <w:rFonts w:ascii="Times New Roman" w:cs="Times New Roman" w:eastAsia="Times New Roman" w:hAnsi="Times New Roman"/>
                <w:sz w:val="14"/>
                <w:szCs w:val="14"/>
                <w:color w:val="auto"/>
              </w:rPr>
              <w:t>Amounts reclassified out from accumulated other</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comprehensive (loss) income</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ind w:left="749"/>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71"/>
        </w:trPr>
        <w:tc>
          <w:tcPr>
            <w:tcW w:w="3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Other comprehensive (loss) income, net of tax</w:t>
            </w:r>
          </w:p>
        </w:tc>
        <w:tc>
          <w:tcPr>
            <w:tcW w:w="2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center"/>
              <w:ind w:left="729"/>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bottom w:val="single" w:sz="8" w:color="CCEEFF"/>
            </w:tcBorders>
          </w:tcPr>
          <w:p>
            <w:pPr>
              <w:spacing w:after="0"/>
              <w:rPr>
                <w:sz w:val="14"/>
                <w:szCs w:val="14"/>
                <w:color w:val="auto"/>
              </w:rPr>
            </w:pPr>
          </w:p>
        </w:tc>
        <w:tc>
          <w:tcPr>
            <w:tcW w:w="174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30, 2023</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center"/>
              <w:ind w:left="729"/>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ind w:right="1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reclassifications out from accumulated other comprehensive loss is presented in the following table: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5"/>
          </w:tcPr>
          <w:p>
            <w:pPr>
              <w:ind w:left="140"/>
              <w:spacing w:after="0"/>
              <w:rPr>
                <w:sz w:val="20"/>
                <w:szCs w:val="20"/>
                <w:color w:val="auto"/>
              </w:rPr>
            </w:pPr>
            <w:r>
              <w:rPr>
                <w:rFonts w:ascii="Times New Roman" w:cs="Times New Roman" w:eastAsia="Times New Roman" w:hAnsi="Times New Roman"/>
                <w:sz w:val="14"/>
                <w:szCs w:val="14"/>
                <w:color w:val="auto"/>
              </w:rPr>
              <w:t>Three Months Ended</w:t>
            </w:r>
          </w:p>
        </w:tc>
        <w:tc>
          <w:tcPr>
            <w:tcW w:w="200" w:type="dxa"/>
            <w:vAlign w:val="bottom"/>
          </w:tcPr>
          <w:p>
            <w:pPr>
              <w:spacing w:after="0"/>
              <w:rPr>
                <w:sz w:val="13"/>
                <w:szCs w:val="13"/>
                <w:color w:val="auto"/>
              </w:rPr>
            </w:pPr>
          </w:p>
        </w:tc>
        <w:tc>
          <w:tcPr>
            <w:tcW w:w="138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Six Months Ended</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60" w:type="dxa"/>
            <w:vAlign w:val="bottom"/>
          </w:tcPr>
          <w:p>
            <w:pPr>
              <w:spacing w:after="0"/>
              <w:rPr>
                <w:sz w:val="13"/>
                <w:szCs w:val="13"/>
                <w:color w:val="auto"/>
              </w:rPr>
            </w:pPr>
          </w:p>
        </w:tc>
      </w:tr>
      <w:tr>
        <w:trPr>
          <w:trHeight w:val="191"/>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29"/>
              <w:spacing w:after="0"/>
              <w:rPr>
                <w:sz w:val="20"/>
                <w:szCs w:val="20"/>
                <w:color w:val="auto"/>
              </w:rPr>
            </w:pPr>
            <w:r>
              <w:rPr>
                <w:rFonts w:ascii="Times New Roman" w:cs="Times New Roman" w:eastAsia="Times New Roman" w:hAnsi="Times New Roman"/>
                <w:sz w:val="14"/>
                <w:szCs w:val="14"/>
                <w:color w:val="auto"/>
              </w:rPr>
              <w:t>June 30,</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tcPr>
          <w:p>
            <w:pPr>
              <w:spacing w:after="0"/>
              <w:rPr>
                <w:sz w:val="16"/>
                <w:szCs w:val="16"/>
                <w:color w:val="auto"/>
              </w:rPr>
            </w:pPr>
          </w:p>
        </w:tc>
      </w:tr>
      <w:tr>
        <w:trPr>
          <w:trHeight w:val="192"/>
        </w:trPr>
        <w:tc>
          <w:tcPr>
            <w:tcW w:w="4200" w:type="dxa"/>
            <w:vAlign w:val="bottom"/>
            <w:gridSpan w:val="2"/>
          </w:tcPr>
          <w:p>
            <w:pPr>
              <w:ind w:left="1440"/>
              <w:spacing w:after="0"/>
              <w:rPr>
                <w:sz w:val="20"/>
                <w:szCs w:val="20"/>
                <w:color w:val="auto"/>
              </w:rPr>
            </w:pPr>
            <w:r>
              <w:rPr>
                <w:rFonts w:ascii="Times New Roman" w:cs="Times New Roman" w:eastAsia="Times New Roman" w:hAnsi="Times New Roman"/>
                <w:sz w:val="14"/>
                <w:szCs w:val="14"/>
                <w:color w:val="auto"/>
              </w:rPr>
              <w:t>Detail of components</w:t>
            </w:r>
          </w:p>
        </w:tc>
        <w:tc>
          <w:tcPr>
            <w:tcW w:w="180" w:type="dxa"/>
            <w:vAlign w:val="bottom"/>
          </w:tcPr>
          <w:p>
            <w:pPr>
              <w:spacing w:after="0"/>
              <w:rPr>
                <w:sz w:val="16"/>
                <w:szCs w:val="16"/>
                <w:color w:val="auto"/>
              </w:rPr>
            </w:pPr>
          </w:p>
        </w:tc>
        <w:tc>
          <w:tcPr>
            <w:tcW w:w="6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Location on Statement of Income</w:t>
            </w:r>
          </w:p>
        </w:tc>
      </w:tr>
      <w:tr>
        <w:trPr>
          <w:trHeight w:val="171"/>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gains on derivatives:</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160" w:type="dxa"/>
            <w:vAlign w:val="bottom"/>
            <w:tcBorders>
              <w:top w:val="single" w:sz="8" w:color="auto"/>
            </w:tcBorders>
            <w:shd w:val="clear" w:color="auto" w:fill="CCEEFF"/>
          </w:tcPr>
          <w:p>
            <w:pPr>
              <w:spacing w:after="0"/>
              <w:rPr>
                <w:sz w:val="14"/>
                <w:szCs w:val="14"/>
                <w:color w:val="auto"/>
              </w:rPr>
            </w:pPr>
          </w:p>
        </w:tc>
      </w:tr>
      <w:tr>
        <w:trPr>
          <w:trHeight w:val="180"/>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5"/>
                <w:szCs w:val="15"/>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(1.3)</w:t>
            </w:r>
          </w:p>
        </w:tc>
        <w:tc>
          <w:tcPr>
            <w:tcW w:w="120" w:type="dxa"/>
            <w:vAlign w:val="bottom"/>
          </w:tcPr>
          <w:p>
            <w:pPr>
              <w:spacing w:after="0"/>
              <w:rPr>
                <w:sz w:val="15"/>
                <w:szCs w:val="15"/>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Net sales</w:t>
            </w:r>
          </w:p>
        </w:tc>
      </w:tr>
      <w:tr>
        <w:trPr>
          <w:trHeight w:val="180"/>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(0.6)</w:t>
            </w:r>
          </w:p>
        </w:tc>
        <w:tc>
          <w:tcPr>
            <w:tcW w:w="12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goods and services sold</w:t>
            </w:r>
          </w:p>
        </w:tc>
      </w:tr>
      <w:tr>
        <w:trPr>
          <w:trHeight w:val="180"/>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(2.8)</w:t>
            </w:r>
          </w:p>
        </w:tc>
        <w:tc>
          <w:tcPr>
            <w:tcW w:w="120" w:type="dxa"/>
            <w:vAlign w:val="bottom"/>
          </w:tcPr>
          <w:p>
            <w:pPr>
              <w:spacing w:after="0"/>
              <w:rPr>
                <w:sz w:val="15"/>
                <w:szCs w:val="15"/>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 (income)</w:t>
            </w:r>
          </w:p>
        </w:tc>
      </w:tr>
      <w:tr>
        <w:trPr>
          <w:trHeight w:val="180"/>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Forward treasury locks</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(0.1)</w:t>
            </w:r>
          </w:p>
        </w:tc>
        <w:tc>
          <w:tcPr>
            <w:tcW w:w="12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r>
      <w:tr>
        <w:trPr>
          <w:trHeight w:val="171"/>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before tax</w:t>
            </w: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(4.8)</w:t>
            </w: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r>
      <w:tr>
        <w:trPr>
          <w:trHeight w:val="18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benefit</w:t>
            </w: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1.3</w:t>
            </w:r>
          </w:p>
        </w:tc>
        <w:tc>
          <w:tcPr>
            <w:tcW w:w="12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r>
      <w:tr>
        <w:trPr>
          <w:trHeight w:val="171"/>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(3.5)</w:t>
            </w: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r>
      <w:tr>
        <w:trPr>
          <w:trHeight w:val="99"/>
        </w:trPr>
        <w:tc>
          <w:tcPr>
            <w:tcW w:w="4200" w:type="dxa"/>
            <w:vAlign w:val="bottom"/>
            <w:gridSpan w:val="2"/>
            <w:shd w:val="clear" w:color="auto" w:fill="CCEEFF"/>
          </w:tcPr>
          <w:p>
            <w:pPr>
              <w:ind w:left="20"/>
              <w:spacing w:after="0" w:line="100" w:lineRule="exact"/>
              <w:rPr>
                <w:sz w:val="20"/>
                <w:szCs w:val="20"/>
                <w:color w:val="auto"/>
              </w:rPr>
            </w:pPr>
            <w:r>
              <w:rPr>
                <w:rFonts w:ascii="Times New Roman" w:cs="Times New Roman" w:eastAsia="Times New Roman" w:hAnsi="Times New Roman"/>
                <w:sz w:val="11"/>
                <w:szCs w:val="11"/>
                <w:color w:val="auto"/>
              </w:rPr>
              <w:t>Amortization of defined benefit pension and other postretirement</w:t>
            </w: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160" w:type="dxa"/>
            <w:vAlign w:val="bottom"/>
            <w:shd w:val="clear" w:color="auto" w:fill="CCEEFF"/>
          </w:tcPr>
          <w:p>
            <w:pPr>
              <w:spacing w:after="0"/>
              <w:rPr>
                <w:sz w:val="8"/>
                <w:szCs w:val="8"/>
                <w:color w:val="auto"/>
              </w:rPr>
            </w:pPr>
          </w:p>
        </w:tc>
      </w:tr>
      <w:tr>
        <w:trPr>
          <w:trHeight w:val="191"/>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r>
      <w:tr>
        <w:trPr>
          <w:trHeight w:val="180"/>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Actuarial gains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5"/>
                <w:szCs w:val="15"/>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0.8</w:t>
            </w:r>
          </w:p>
        </w:tc>
        <w:tc>
          <w:tcPr>
            <w:tcW w:w="120" w:type="dxa"/>
            <w:vAlign w:val="bottom"/>
          </w:tcPr>
          <w:p>
            <w:pPr>
              <w:spacing w:after="0"/>
              <w:rPr>
                <w:sz w:val="15"/>
                <w:szCs w:val="15"/>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(a)</w:t>
            </w:r>
          </w:p>
        </w:tc>
      </w:tr>
      <w:tr>
        <w:trPr>
          <w:trHeight w:val="180"/>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0.4</w:t>
            </w:r>
          </w:p>
        </w:tc>
        <w:tc>
          <w:tcPr>
            <w:tcW w:w="12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r>
      <w:tr>
        <w:trPr>
          <w:trHeight w:val="171"/>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before tax</w:t>
            </w: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1"/>
              </w:rPr>
              <w:t>1.2</w:t>
            </w: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r>
      <w:tr>
        <w:trPr>
          <w:trHeight w:val="18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expense</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(0.3)</w:t>
            </w:r>
          </w:p>
        </w:tc>
        <w:tc>
          <w:tcPr>
            <w:tcW w:w="12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r>
      <w:tr>
        <w:trPr>
          <w:trHeight w:val="171"/>
        </w:trPr>
        <w:tc>
          <w:tcPr>
            <w:tcW w:w="4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1"/>
              </w:rPr>
              <w:t>0.9</w:t>
            </w:r>
          </w:p>
        </w:tc>
        <w:tc>
          <w:tcPr>
            <w:tcW w:w="120" w:type="dxa"/>
            <w:vAlign w:val="bottom"/>
            <w:tcBorders>
              <w:bottom w:val="single" w:sz="8" w:color="CCEEFF"/>
            </w:tcBorders>
          </w:tcPr>
          <w:p>
            <w:pPr>
              <w:spacing w:after="0"/>
              <w:rPr>
                <w:sz w:val="14"/>
                <w:szCs w:val="14"/>
                <w:color w:val="auto"/>
              </w:rPr>
            </w:pPr>
          </w:p>
        </w:tc>
        <w:tc>
          <w:tcPr>
            <w:tcW w:w="3160" w:type="dxa"/>
            <w:vAlign w:val="bottom"/>
            <w:tcBorders>
              <w:bottom w:val="single" w:sz="8" w:color="CCEEFF"/>
            </w:tcBorders>
          </w:tcPr>
          <w:p>
            <w:pPr>
              <w:spacing w:after="0"/>
              <w:rPr>
                <w:sz w:val="14"/>
                <w:szCs w:val="14"/>
                <w:color w:val="auto"/>
              </w:rPr>
            </w:pPr>
          </w:p>
        </w:tc>
      </w:tr>
      <w:tr>
        <w:trPr>
          <w:trHeight w:val="196"/>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reclassifications for the period, net of tax</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(2.6)</w:t>
            </w:r>
          </w:p>
        </w:tc>
        <w:tc>
          <w:tcPr>
            <w:tcW w:w="120" w:type="dxa"/>
            <w:vAlign w:val="bottom"/>
            <w:tcBorders>
              <w:bottom w:val="single" w:sz="8" w:color="CCEEFF"/>
            </w:tcBorders>
            <w:shd w:val="clear" w:color="auto" w:fill="CCEEFF"/>
          </w:tcPr>
          <w:p>
            <w:pPr>
              <w:spacing w:after="0"/>
              <w:rPr>
                <w:sz w:val="16"/>
                <w:szCs w:val="16"/>
                <w:color w:val="auto"/>
              </w:rPr>
            </w:pPr>
          </w:p>
        </w:tc>
        <w:tc>
          <w:tcPr>
            <w:tcW w:w="3160" w:type="dxa"/>
            <w:vAlign w:val="bottom"/>
            <w:tcBorders>
              <w:bottom w:val="single" w:sz="8" w:color="CCEEFF"/>
            </w:tcBorders>
            <w:shd w:val="clear" w:color="auto" w:fill="CCEEFF"/>
          </w:tcPr>
          <w:p>
            <w:pPr>
              <w:spacing w:after="0"/>
              <w:rPr>
                <w:sz w:val="16"/>
                <w:szCs w:val="16"/>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This component is included in the computation of net periodic benefit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12: Shareholders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Equity</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640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The following table presents the changes in shareholders’ equity for the six months ended June 30, 2024:</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370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Common</w:t>
            </w:r>
          </w:p>
        </w:tc>
        <w:tc>
          <w:tcPr>
            <w:tcW w:w="120" w:type="dxa"/>
            <w:vAlign w:val="bottom"/>
          </w:tcPr>
          <w:p>
            <w:pPr>
              <w:spacing w:after="0"/>
              <w:rPr>
                <w:sz w:val="24"/>
                <w:szCs w:val="24"/>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w w:val="99"/>
              </w:rPr>
              <w:t>Common</w:t>
            </w:r>
          </w:p>
        </w:tc>
        <w:tc>
          <w:tcPr>
            <w:tcW w:w="120" w:type="dxa"/>
            <w:vAlign w:val="bottom"/>
          </w:tcPr>
          <w:p>
            <w:pPr>
              <w:spacing w:after="0"/>
              <w:rPr>
                <w:sz w:val="24"/>
                <w:szCs w:val="24"/>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Capital in</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Number of</w:t>
            </w:r>
          </w:p>
        </w:tc>
        <w:tc>
          <w:tcPr>
            <w:tcW w:w="120" w:type="dxa"/>
            <w:vAlign w:val="bottom"/>
          </w:tcPr>
          <w:p>
            <w:pPr>
              <w:spacing w:after="0"/>
              <w:rPr>
                <w:sz w:val="24"/>
                <w:szCs w:val="24"/>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Treasury</w:t>
            </w:r>
          </w:p>
        </w:tc>
        <w:tc>
          <w:tcPr>
            <w:tcW w:w="100" w:type="dxa"/>
            <w:vAlign w:val="bottom"/>
          </w:tcPr>
          <w:p>
            <w:pPr>
              <w:spacing w:after="0"/>
              <w:rPr>
                <w:sz w:val="24"/>
                <w:szCs w:val="24"/>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Retained</w:t>
            </w:r>
          </w:p>
        </w:tc>
        <w:tc>
          <w:tcPr>
            <w:tcW w:w="100" w:type="dxa"/>
            <w:vAlign w:val="bottom"/>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Accumulated Other</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700" w:type="dxa"/>
            <w:vAlign w:val="bottom"/>
          </w:tcPr>
          <w:p>
            <w:pPr>
              <w:spacing w:after="0"/>
              <w:rPr>
                <w:sz w:val="11"/>
                <w:szCs w:val="11"/>
                <w:color w:val="auto"/>
              </w:rPr>
            </w:pPr>
          </w:p>
        </w:tc>
        <w:tc>
          <w:tcPr>
            <w:tcW w:w="84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w w:val="96"/>
              </w:rPr>
              <w:t>Shares</w:t>
            </w: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980" w:type="dxa"/>
            <w:vAlign w:val="bottom"/>
            <w:gridSpan w:val="3"/>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w w:val="99"/>
              </w:rPr>
              <w:t>Excess of Par</w:t>
            </w:r>
          </w:p>
        </w:tc>
        <w:tc>
          <w:tcPr>
            <w:tcW w:w="92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Treasury</w:t>
            </w: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5"/>
              </w:rPr>
              <w:t>Value</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Stock</w:t>
            </w:r>
          </w:p>
        </w:tc>
        <w:tc>
          <w:tcPr>
            <w:tcW w:w="10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Earnings</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Comprehensive Loss</w:t>
            </w:r>
          </w:p>
        </w:tc>
        <w:tc>
          <w:tcPr>
            <w:tcW w:w="180" w:type="dxa"/>
            <w:vAlign w:val="bottom"/>
          </w:tcPr>
          <w:p>
            <w:pPr>
              <w:spacing w:after="0"/>
              <w:rPr>
                <w:sz w:val="16"/>
                <w:szCs w:val="16"/>
                <w:color w:val="auto"/>
              </w:rPr>
            </w:pPr>
          </w:p>
        </w:tc>
        <w:tc>
          <w:tcPr>
            <w:tcW w:w="6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3,523.4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2,881.0</w:t>
            </w:r>
          </w:p>
        </w:tc>
        <w:tc>
          <w:tcPr>
            <w:tcW w:w="0" w:type="dxa"/>
            <w:vAlign w:val="bottom"/>
          </w:tcPr>
          <w:p>
            <w:pPr>
              <w:spacing w:after="0"/>
              <w:rPr>
                <w:sz w:val="1"/>
                <w:szCs w:val="1"/>
                <w:color w:val="auto"/>
              </w:rPr>
            </w:pPr>
          </w:p>
        </w:tc>
      </w:tr>
      <w:tr>
        <w:trPr>
          <w:trHeight w:val="18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0" w:type="dxa"/>
            <w:vAlign w:val="bottom"/>
          </w:tcPr>
          <w:p>
            <w:pPr>
              <w:spacing w:after="0"/>
              <w:rPr>
                <w:sz w:val="1"/>
                <w:szCs w:val="1"/>
                <w:color w:val="auto"/>
              </w:rPr>
            </w:pPr>
          </w:p>
        </w:tc>
      </w:tr>
      <w:tr>
        <w:trPr>
          <w:trHeight w:val="18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Activity related to stock-based compensation</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18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purchased under share repurchase program</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w:t>
            </w:r>
          </w:p>
        </w:tc>
        <w:tc>
          <w:tcPr>
            <w:tcW w:w="0" w:type="dxa"/>
            <w:vAlign w:val="bottom"/>
          </w:tcPr>
          <w:p>
            <w:pPr>
              <w:spacing w:after="0"/>
              <w:rPr>
                <w:sz w:val="1"/>
                <w:szCs w:val="1"/>
                <w:color w:val="auto"/>
              </w:rPr>
            </w:pPr>
          </w:p>
        </w:tc>
      </w:tr>
      <w:tr>
        <w:trPr>
          <w:trHeight w:val="18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($0.20 per share)</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8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2024</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3,624.1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2,680.6</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00" w:type="dxa"/>
            <w:vAlign w:val="bottom"/>
            <w:tcBorders>
              <w:top w:val="single" w:sz="8" w:color="CCEEFF"/>
            </w:tcBorders>
            <w:vMerge w:val="continue"/>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111.3</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111.3</w:t>
            </w:r>
          </w:p>
        </w:tc>
        <w:tc>
          <w:tcPr>
            <w:tcW w:w="0" w:type="dxa"/>
            <w:vAlign w:val="bottom"/>
          </w:tcPr>
          <w:p>
            <w:pPr>
              <w:spacing w:after="0"/>
              <w:rPr>
                <w:sz w:val="1"/>
                <w:szCs w:val="1"/>
                <w:color w:val="auto"/>
              </w:rPr>
            </w:pPr>
          </w:p>
        </w:tc>
      </w:tr>
      <w:tr>
        <w:trPr>
          <w:trHeight w:val="18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Activity related to stock-based compensation</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8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purchased under share repurchase program</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w:t>
            </w:r>
          </w:p>
        </w:tc>
        <w:tc>
          <w:tcPr>
            <w:tcW w:w="0" w:type="dxa"/>
            <w:vAlign w:val="bottom"/>
          </w:tcPr>
          <w:p>
            <w:pPr>
              <w:spacing w:after="0"/>
              <w:rPr>
                <w:sz w:val="1"/>
                <w:szCs w:val="1"/>
                <w:color w:val="auto"/>
              </w:rPr>
            </w:pPr>
          </w:p>
        </w:tc>
      </w:tr>
      <w:tr>
        <w:trPr>
          <w:trHeight w:val="18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($0.20 per share)</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8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30, 2024</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3,720.9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2,576.8</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changes in shareholders’ equity for the six months ended June 30,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Common</w:t>
            </w:r>
          </w:p>
        </w:tc>
        <w:tc>
          <w:tcPr>
            <w:tcW w:w="100" w:type="dxa"/>
            <w:vAlign w:val="bottom"/>
          </w:tcPr>
          <w:p>
            <w:pPr>
              <w:spacing w:after="0"/>
              <w:rPr>
                <w:sz w:val="13"/>
                <w:szCs w:val="13"/>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w w:val="99"/>
              </w:rPr>
              <w:t>Common</w:t>
            </w:r>
          </w:p>
        </w:tc>
        <w:tc>
          <w:tcPr>
            <w:tcW w:w="12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8"/>
              </w:rPr>
              <w:t>Capital in</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Number of</w:t>
            </w:r>
          </w:p>
        </w:tc>
        <w:tc>
          <w:tcPr>
            <w:tcW w:w="100" w:type="dxa"/>
            <w:vAlign w:val="bottom"/>
          </w:tcPr>
          <w:p>
            <w:pPr>
              <w:spacing w:after="0"/>
              <w:rPr>
                <w:sz w:val="13"/>
                <w:szCs w:val="13"/>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Treasury</w:t>
            </w:r>
          </w:p>
        </w:tc>
        <w:tc>
          <w:tcPr>
            <w:tcW w:w="120" w:type="dxa"/>
            <w:vAlign w:val="bottom"/>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Retained</w:t>
            </w:r>
          </w:p>
        </w:tc>
        <w:tc>
          <w:tcPr>
            <w:tcW w:w="80" w:type="dxa"/>
            <w:vAlign w:val="bottom"/>
          </w:tcPr>
          <w:p>
            <w:pPr>
              <w:spacing w:after="0"/>
              <w:rPr>
                <w:sz w:val="13"/>
                <w:szCs w:val="13"/>
                <w:color w:val="auto"/>
              </w:rPr>
            </w:pPr>
          </w:p>
        </w:tc>
        <w:tc>
          <w:tcPr>
            <w:tcW w:w="13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Accumulated Other</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620" w:type="dxa"/>
            <w:vAlign w:val="bottom"/>
          </w:tcPr>
          <w:p>
            <w:pPr>
              <w:spacing w:after="0"/>
              <w:rPr>
                <w:sz w:val="11"/>
                <w:szCs w:val="11"/>
                <w:color w:val="auto"/>
              </w:rPr>
            </w:pPr>
          </w:p>
        </w:tc>
        <w:tc>
          <w:tcPr>
            <w:tcW w:w="86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980" w:type="dxa"/>
            <w:vAlign w:val="bottom"/>
            <w:gridSpan w:val="3"/>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Excess of Par</w:t>
            </w:r>
          </w:p>
        </w:tc>
        <w:tc>
          <w:tcPr>
            <w:tcW w:w="94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Treasury</w:t>
            </w: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5"/>
              </w:rPr>
              <w:t>Value</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6"/>
                <w:szCs w:val="16"/>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Earnings</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Comprehensive Loss</w:t>
            </w:r>
          </w:p>
        </w:tc>
        <w:tc>
          <w:tcPr>
            <w:tcW w:w="180" w:type="dxa"/>
            <w:vAlign w:val="bottom"/>
          </w:tcPr>
          <w:p>
            <w:pPr>
              <w:spacing w:after="0"/>
              <w:rPr>
                <w:sz w:val="16"/>
                <w:szCs w:val="16"/>
                <w:color w:val="auto"/>
              </w:rPr>
            </w:pPr>
          </w:p>
        </w:tc>
        <w:tc>
          <w:tcPr>
            <w:tcW w:w="6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(370.9)</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2,987.8</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2,684.9</w:t>
            </w:r>
          </w:p>
        </w:tc>
        <w:tc>
          <w:tcPr>
            <w:tcW w:w="0" w:type="dxa"/>
            <w:vAlign w:val="bottom"/>
          </w:tcPr>
          <w:p>
            <w:pPr>
              <w:spacing w:after="0"/>
              <w:rPr>
                <w:sz w:val="1"/>
                <w:szCs w:val="1"/>
                <w:color w:val="auto"/>
              </w:rPr>
            </w:pPr>
          </w:p>
        </w:tc>
      </w:tr>
      <w:tr>
        <w:trPr>
          <w:trHeight w:val="180"/>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Activity related to stock-based compensation</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80"/>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purchased under share repurchase program</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($0.19 per share)</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80"/>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96"/>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2023</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3,113.6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2,776.2</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20" w:type="dxa"/>
            <w:vAlign w:val="bottom"/>
            <w:tcBorders>
              <w:top w:val="single" w:sz="8" w:color="CCEEFF"/>
            </w:tcBorders>
            <w:vMerge w:val="continue"/>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155.1</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155.1</w:t>
            </w: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Activity related to stock-based compensation</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80"/>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purchased under share repurchase program</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w:t>
            </w: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($0.19 per share)</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80"/>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96"/>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30, 2023</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3,254.6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2,746.7</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7"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Stock-Based Compensation</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West Pharmaceutical Services, Inc. 2016 Omnibus Incentive Compensation Plan (the “2016 Plan”) provides for the granting of stock options, stock appreciation rights, restricted stock awards and performance awards to employees and non-employee directors. A committee of the Board of Directors determines the terms and conditions of awards to be granted. Vesting requirements vary by award. At June 30, 2024, there were 1,339,458 shares remaining in the 2016 Plan for future grants.</w:t>
      </w:r>
    </w:p>
    <w:p>
      <w:pPr>
        <w:spacing w:after="0" w:line="157"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During the six months ended June 30, 2024, we granted 85,263 stock options at a weighted average exercise price of $350.28 per share based on the grant-date fair value of our stock to employees under the 2016 Plan. The weighted average grant date fair value of options granted was $134.93 per share as determined by the Black-Scholes option valuation model using the following weighted average assumptions: a risk-free interest rate of 4.3%; expected life of 6.0 years based on prior experience; stock volatility of 32.0% based on historical data; and a dividend yield of 0.3%. Stock option expense is recognized over the vesting period, net of forfeitures.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During the six months ended June 30, 2024, we granted 32,876 stock-settled performance share unit (“PSU”) awards at a weighted average grant-date fair value of $350.28 per share to eligible employees. These awards are earned based on the Company’s performance against pre-established targets, including annual growth rate of revenue and return on invested capital, over a specified performance period. Depending on the achievement of the targets, recipients of stock-settled PSU awards are entitled to receive a certain number of shares of common stock. Shares earned under PSU awards may vary from 0% to 200% of an employee’s targeted award. The fair value of stock-settled PSU awards is based on the market price of our stock at the grant date and is recognized as expense over the performance period, adjusted for estimated target outcomes and net of forfeitures.</w:t>
      </w:r>
    </w:p>
    <w:p>
      <w:pPr>
        <w:spacing w:after="0" w:line="16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During the six months ended June 30, 2024, we granted 7,019 stock-settled restricted share unit (“RSU”) awards at a weighted average grant-date fair value of $350.65 per share to eligible employees. These awards are earned over a specified performance period. The fair value of stock-settled RSU awards is based on the market price of our stock at the grant date and is recognized as expense over the vesting period, net of forfeitures.</w:t>
      </w:r>
    </w:p>
    <w:p>
      <w:pPr>
        <w:spacing w:after="0" w:line="157"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Stock-based compensation expense was $4.3 million and $9.3 million for the three and six months ended June 30, 2024, respectively. For the three and six months ended June 30, 2023, stock-based compensation expense was $7.5 million and $16.0 million, respectively.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14: Other Expense (Income)</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61"/>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 (income) consists of:</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0"/>
        </w:trPr>
        <w:tc>
          <w:tcPr>
            <w:tcW w:w="5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auto"/>
              </w:rPr>
              <w:t>Three Months Ended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auto"/>
              </w:rPr>
              <w:t>Six Months Ended</w:t>
            </w:r>
          </w:p>
        </w:tc>
        <w:tc>
          <w:tcPr>
            <w:tcW w:w="960" w:type="dxa"/>
            <w:vAlign w:val="bottom"/>
          </w:tcPr>
          <w:p>
            <w:pPr>
              <w:spacing w:after="0"/>
              <w:rPr>
                <w:sz w:val="13"/>
                <w:szCs w:val="13"/>
                <w:color w:val="auto"/>
              </w:rPr>
            </w:pPr>
          </w:p>
        </w:tc>
      </w:tr>
      <w:tr>
        <w:trPr>
          <w:trHeight w:val="184"/>
        </w:trPr>
        <w:tc>
          <w:tcPr>
            <w:tcW w:w="5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4"/>
                <w:szCs w:val="14"/>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89"/>
              <w:spacing w:after="0"/>
              <w:rPr>
                <w:sz w:val="20"/>
                <w:szCs w:val="20"/>
                <w:color w:val="auto"/>
              </w:rPr>
            </w:pPr>
            <w:r>
              <w:rPr>
                <w:rFonts w:ascii="Times New Roman" w:cs="Times New Roman" w:eastAsia="Times New Roman" w:hAnsi="Times New Roman"/>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178"/>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disposal of plant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80"/>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transaction losses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jc w:val="center"/>
              <w:ind w:left="529"/>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180"/>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impairments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jc w:val="center"/>
              <w:ind w:left="529"/>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8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and related charges</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180"/>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items</w:t>
            </w:r>
          </w:p>
        </w:tc>
        <w:tc>
          <w:tcPr>
            <w:tcW w:w="3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5"/>
                <w:szCs w:val="15"/>
                <w:color w:val="auto"/>
              </w:rPr>
            </w:pPr>
          </w:p>
        </w:tc>
        <w:tc>
          <w:tcPr>
            <w:tcW w:w="900" w:type="dxa"/>
            <w:vAlign w:val="bottom"/>
          </w:tcPr>
          <w:p>
            <w:pPr>
              <w:jc w:val="center"/>
              <w:ind w:left="529"/>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96"/>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expense (income)</w:t>
            </w: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Loss on Disposal of Plant</w:t>
      </w:r>
    </w:p>
    <w:p>
      <w:pPr>
        <w:spacing w:after="0" w:line="20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During the three and six months ended June 30, 2023, the Company recorded expense of $2.2 million and $11.6 million, respectively, within other expense (income), as a result of the sale of one of the Company’s manufacturing facilities within the Proprietary Products segment. The transaction closed during the second quarter of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Contingent Consideration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Contingent consideration represents changes in the fair value of the SmartDose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contingent consideration. Please refer to Note 10, </w:t>
      </w:r>
      <w:r>
        <w:rPr>
          <w:rFonts w:ascii="Times New Roman" w:cs="Times New Roman" w:eastAsia="Times New Roman" w:hAnsi="Times New Roman"/>
          <w:sz w:val="14"/>
          <w:szCs w:val="14"/>
          <w:i w:val="1"/>
          <w:iCs w:val="1"/>
          <w:u w:val="single" w:color="auto"/>
          <w:color w:val="0000FF"/>
        </w:rPr>
        <w:t>Fair Value Measurements</w:t>
      </w:r>
      <w:r>
        <w:rPr>
          <w:rFonts w:ascii="Times New Roman" w:cs="Times New Roman" w:eastAsia="Times New Roman" w:hAnsi="Times New Roman"/>
          <w:sz w:val="14"/>
          <w:szCs w:val="14"/>
          <w:color w:val="auto"/>
        </w:rPr>
        <w:t>, for additional details.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Restructuring and Related Charges</w:t>
      </w:r>
    </w:p>
    <w:p>
      <w:pPr>
        <w:spacing w:after="0" w:line="202"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In December 2022, the Company approved a restructuring plan to adjust our operating cost base to better respond to the macroeconomic factors influencing our business. These changes are expected to be implemented over a period of up to twenty-four months from the date of approval. The plan is expected to require restructuring and related charges of approximately $22 million to $24 million, with annualized savings in the range of $22 million to $24 million.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activity related to our restructuring obligations related to our 2022 restructuring plan:</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51"/>
        </w:trPr>
        <w:tc>
          <w:tcPr>
            <w:tcW w:w="6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Severance</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4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9"/>
              </w:rPr>
              <w:t>and benefits</w:t>
            </w:r>
          </w:p>
        </w:tc>
        <w:tc>
          <w:tcPr>
            <w:tcW w:w="20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 charges</w:t>
            </w:r>
          </w:p>
        </w:tc>
        <w:tc>
          <w:tcPr>
            <w:tcW w:w="340" w:type="dxa"/>
            <w:vAlign w:val="bottom"/>
          </w:tcPr>
          <w:p>
            <w:pPr>
              <w:spacing w:after="0"/>
              <w:rPr>
                <w:sz w:val="16"/>
                <w:szCs w:val="16"/>
                <w:color w:val="auto"/>
              </w:rPr>
            </w:pPr>
          </w:p>
        </w:tc>
        <w:tc>
          <w:tcPr>
            <w:tcW w:w="110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(Credits) Charges</w:t>
            </w:r>
          </w:p>
        </w:tc>
        <w:tc>
          <w:tcPr>
            <w:tcW w:w="24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payments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7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June 30, 2024</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Income Taxes</w:t>
      </w:r>
    </w:p>
    <w:p>
      <w:pPr>
        <w:spacing w:after="0" w:line="20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tax provision for interim periods is determined using the estimated annual effective consolidated tax rate, based on the current estimate of full-year earnings before taxes, adjusted for the impact of discrete quarterly items.</w:t>
      </w:r>
    </w:p>
    <w:p>
      <w:pPr>
        <w:spacing w:after="0" w:line="14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provision for income taxes was $21.9 million and $34.8 million for the three months ended June 30, 2024 and 2023, respectively, and the effective tax rate was 17.0% and 18.8%, respectively. The decrease in the effective tax rate is primarily due to a shift in the forecasted geographic earnings mix, offset by a decrease in the tax benefit related to stock-based compensation for three months ended June 30, 2024 as compared to the same period in 2023.</w:t>
      </w:r>
    </w:p>
    <w:p>
      <w:pPr>
        <w:spacing w:after="0" w:line="157"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The provision for income taxes was $38.3 million and $58.4 million for the six months ended June 30, 2024 and 2023, respectively, and the effective tax rate was 15.0% and 17.0%, respectively. The decrease in the effective tax rate is primarily due to a shift in the forecasted geographic earnings mix, offset by a decrease in the tax benefit related to stock-based compensation for six months ended June 30, 2024, as compared to the same period in 2023.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continues to address the change in tax laws enacted pursuant to the Organization for Economic Cooperation and Development (OECD)’s 15% global minimum tax initiative (Pillar 2).</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2024 forecasted impact of Pillar 2 is not expected to be material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Commitments and Contingencies</w:t>
      </w:r>
    </w:p>
    <w:p>
      <w:pPr>
        <w:spacing w:after="0" w:line="20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From time to time, we are involved in product liability matters and other legal proceedings and claims generally incidental to our normal business activities. We accrue for loss contingencies when it is probable that a liability has been incurred and the amount of the loss can be reasonably estimated. While the outcome of current proceedings cannot be accurately predicted, we believe their ultimate resolution should not have a material adverse effect on our business, financial condition, results of operations or liquidity.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significant changes to commitments and contingencies since December 31,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Segment Information</w:t>
      </w:r>
    </w:p>
    <w:p>
      <w:pPr>
        <w:spacing w:after="0" w:line="20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Our business operations are organized into two reportable segments, Proprietary Products and Contract-Manufactured Products. Our Proprietary Products reportable segment offers proprietary packaging, containment solutions and drug delivery products,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The Chief Operating Decision Maker ("CODM") evaluates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the CODM considers not representative of ongoing operations. Such items are referred to as other unallocated items and generally include restructuring and related charges, certain asset impairments and other specifically-identified income or expense items. The segment operating profit metric is what the CODM uses in evaluating our results of operations and the financial measure that provides a valuable insight into our overall performance and financial position.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information about our reportable segments, reconciled to consolidated totals: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60" w:type="dxa"/>
            <w:vAlign w:val="bottom"/>
            <w:gridSpan w:val="3"/>
          </w:tcPr>
          <w:p>
            <w:pPr>
              <w:jc w:val="right"/>
              <w:ind w:right="449"/>
              <w:spacing w:after="0"/>
              <w:rPr>
                <w:sz w:val="20"/>
                <w:szCs w:val="20"/>
                <w:color w:val="auto"/>
              </w:rPr>
            </w:pPr>
            <w:r>
              <w:rPr>
                <w:rFonts w:ascii="Times New Roman" w:cs="Times New Roman" w:eastAsia="Times New Roman" w:hAnsi="Times New Roman"/>
                <w:sz w:val="14"/>
                <w:szCs w:val="14"/>
                <w:color w:val="auto"/>
              </w:rPr>
              <w:t>Three Months Ended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880" w:type="dxa"/>
            <w:vAlign w:val="bottom"/>
          </w:tcPr>
          <w:p>
            <w:pPr>
              <w:spacing w:after="0"/>
              <w:rPr>
                <w:sz w:val="13"/>
                <w:szCs w:val="13"/>
                <w:color w:val="auto"/>
              </w:rPr>
            </w:pPr>
          </w:p>
        </w:tc>
      </w:tr>
      <w:tr>
        <w:trPr>
          <w:trHeight w:val="184"/>
        </w:trPr>
        <w:tc>
          <w:tcPr>
            <w:tcW w:w="50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809"/>
              <w:spacing w:after="0"/>
              <w:rPr>
                <w:sz w:val="20"/>
                <w:szCs w:val="20"/>
                <w:color w:val="auto"/>
              </w:rPr>
            </w:pPr>
            <w:r>
              <w:rPr>
                <w:rFonts w:ascii="Times New Roman" w:cs="Times New Roman" w:eastAsia="Times New Roman" w:hAnsi="Times New Roman"/>
                <w:sz w:val="14"/>
                <w:szCs w:val="14"/>
                <w:color w:val="auto"/>
              </w:rPr>
              <w:t>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49"/>
              <w:spacing w:after="0"/>
              <w:rPr>
                <w:sz w:val="20"/>
                <w:szCs w:val="20"/>
                <w:color w:val="auto"/>
              </w:rPr>
            </w:pPr>
            <w:r>
              <w:rPr>
                <w:rFonts w:ascii="Times New Roman" w:cs="Times New Roman" w:eastAsia="Times New Roman" w:hAnsi="Times New Roman"/>
                <w:sz w:val="14"/>
                <w:szCs w:val="14"/>
                <w:color w:val="auto"/>
              </w:rPr>
              <w:t>June 30,</w:t>
            </w:r>
          </w:p>
        </w:tc>
        <w:tc>
          <w:tcPr>
            <w:tcW w:w="880" w:type="dxa"/>
            <w:vAlign w:val="bottom"/>
            <w:tcBorders>
              <w:bottom w:val="single" w:sz="8" w:color="auto"/>
            </w:tcBorders>
          </w:tcPr>
          <w:p>
            <w:pPr>
              <w:spacing w:after="0"/>
              <w:rPr>
                <w:sz w:val="16"/>
                <w:szCs w:val="16"/>
                <w:color w:val="auto"/>
              </w:rPr>
            </w:pPr>
          </w:p>
        </w:tc>
      </w:tr>
      <w:tr>
        <w:trPr>
          <w:trHeight w:val="178"/>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2023</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0"/>
        </w:trPr>
        <w:tc>
          <w:tcPr>
            <w:tcW w:w="5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Proprietary Products</w:t>
            </w:r>
          </w:p>
        </w:tc>
        <w:tc>
          <w:tcPr>
            <w:tcW w:w="98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559.7</w:t>
            </w:r>
          </w:p>
        </w:tc>
        <w:tc>
          <w:tcPr>
            <w:tcW w:w="100" w:type="dxa"/>
            <w:vAlign w:val="bottom"/>
          </w:tcPr>
          <w:p>
            <w:pPr>
              <w:spacing w:after="0"/>
              <w:rPr>
                <w:sz w:val="15"/>
                <w:szCs w:val="15"/>
                <w:color w:val="auto"/>
              </w:rPr>
            </w:pPr>
          </w:p>
        </w:tc>
        <w:tc>
          <w:tcPr>
            <w:tcW w:w="10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618.0</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1,119.2</w:t>
            </w:r>
          </w:p>
        </w:tc>
        <w:tc>
          <w:tcPr>
            <w:tcW w:w="12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1,201.1</w:t>
            </w:r>
          </w:p>
        </w:tc>
      </w:tr>
      <w:tr>
        <w:trPr>
          <w:trHeight w:val="18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9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w:t>
            </w: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w:t>
            </w:r>
          </w:p>
        </w:tc>
      </w:tr>
      <w:tr>
        <w:trPr>
          <w:trHeight w:val="171"/>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net sales</w:t>
            </w:r>
          </w:p>
        </w:tc>
        <w:tc>
          <w:tcPr>
            <w:tcW w:w="98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702.1</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753.8</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1,397.5</w:t>
            </w:r>
          </w:p>
        </w:tc>
        <w:tc>
          <w:tcPr>
            <w:tcW w:w="12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1,470.4</w:t>
            </w:r>
          </w:p>
        </w:tc>
      </w:tr>
      <w:tr>
        <w:trPr>
          <w:trHeight w:val="20"/>
        </w:trPr>
        <w:tc>
          <w:tcPr>
            <w:tcW w:w="5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provides summarized financial information for our segments: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60"/>
        </w:trPr>
        <w:tc>
          <w:tcPr>
            <w:tcW w:w="5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auto"/>
              </w:rPr>
              <w:t>Three Months Ended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auto"/>
              </w:rPr>
              <w:t>Six Months Ended</w:t>
            </w:r>
          </w:p>
        </w:tc>
        <w:tc>
          <w:tcPr>
            <w:tcW w:w="960" w:type="dxa"/>
            <w:vAlign w:val="bottom"/>
          </w:tcPr>
          <w:p>
            <w:pPr>
              <w:spacing w:after="0"/>
              <w:rPr>
                <w:sz w:val="13"/>
                <w:szCs w:val="13"/>
                <w:color w:val="auto"/>
              </w:rPr>
            </w:pPr>
          </w:p>
        </w:tc>
      </w:tr>
      <w:tr>
        <w:trPr>
          <w:trHeight w:val="184"/>
        </w:trPr>
        <w:tc>
          <w:tcPr>
            <w:tcW w:w="5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4"/>
                <w:szCs w:val="14"/>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89"/>
              <w:spacing w:after="0"/>
              <w:rPr>
                <w:sz w:val="20"/>
                <w:szCs w:val="20"/>
                <w:color w:val="auto"/>
              </w:rPr>
            </w:pPr>
            <w:r>
              <w:rPr>
                <w:rFonts w:ascii="Times New Roman" w:cs="Times New Roman" w:eastAsia="Times New Roman" w:hAnsi="Times New Roman"/>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178"/>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2023</w:t>
            </w:r>
          </w:p>
        </w:tc>
      </w:tr>
      <w:tr>
        <w:trPr>
          <w:trHeight w:val="16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profit (loss):</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80"/>
        </w:trPr>
        <w:tc>
          <w:tcPr>
            <w:tcW w:w="5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Proprietary Products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120" w:type="dxa"/>
            <w:vAlign w:val="bottom"/>
          </w:tcPr>
          <w:p>
            <w:pPr>
              <w:spacing w:after="0"/>
              <w:rPr>
                <w:sz w:val="15"/>
                <w:szCs w:val="15"/>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257.3</w:t>
            </w:r>
          </w:p>
        </w:tc>
        <w:tc>
          <w:tcPr>
            <w:tcW w:w="100" w:type="dxa"/>
            <w:vAlign w:val="bottom"/>
          </w:tcPr>
          <w:p>
            <w:pPr>
              <w:spacing w:after="0"/>
              <w:rPr>
                <w:sz w:val="15"/>
                <w:szCs w:val="15"/>
                <w:color w:val="auto"/>
              </w:rPr>
            </w:pPr>
          </w:p>
        </w:tc>
        <w:tc>
          <w:tcPr>
            <w:tcW w:w="5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364.9</w:t>
            </w:r>
          </w:p>
        </w:tc>
      </w:tr>
      <w:tr>
        <w:trPr>
          <w:trHeight w:val="18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r>
      <w:tr>
        <w:trPr>
          <w:trHeight w:val="171"/>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business segment operating profit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120" w:type="dxa"/>
            <w:vAlign w:val="bottom"/>
          </w:tcPr>
          <w:p>
            <w:pPr>
              <w:spacing w:after="0"/>
              <w:rPr>
                <w:sz w:val="14"/>
                <w:szCs w:val="14"/>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209.1</w:t>
            </w:r>
          </w:p>
        </w:tc>
        <w:tc>
          <w:tcPr>
            <w:tcW w:w="100" w:type="dxa"/>
            <w:vAlign w:val="bottom"/>
          </w:tcPr>
          <w:p>
            <w:pPr>
              <w:spacing w:after="0"/>
              <w:rPr>
                <w:sz w:val="14"/>
                <w:szCs w:val="14"/>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291.6</w:t>
            </w:r>
          </w:p>
        </w:tc>
        <w:tc>
          <w:tcPr>
            <w:tcW w:w="100" w:type="dxa"/>
            <w:vAlign w:val="bottom"/>
          </w:tcPr>
          <w:p>
            <w:pPr>
              <w:spacing w:after="0"/>
              <w:rPr>
                <w:sz w:val="14"/>
                <w:szCs w:val="14"/>
                <w:color w:val="auto"/>
              </w:rPr>
            </w:pPr>
          </w:p>
        </w:tc>
        <w:tc>
          <w:tcPr>
            <w:tcW w:w="5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397.2</w:t>
            </w:r>
          </w:p>
        </w:tc>
      </w:tr>
      <w:tr>
        <w:trPr>
          <w:trHeight w:val="18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Unallocated</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0"/>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5"/>
                <w:szCs w:val="15"/>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5"/>
                <w:szCs w:val="15"/>
                <w:color w:val="auto"/>
              </w:rPr>
            </w:pPr>
          </w:p>
        </w:tc>
        <w:tc>
          <w:tcPr>
            <w:tcW w:w="5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180"/>
        </w:trPr>
        <w:tc>
          <w:tcPr>
            <w:tcW w:w="504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Corporate general costs </w:t>
            </w:r>
            <w:r>
              <w:rPr>
                <w:rFonts w:ascii="Times New Roman" w:cs="Times New Roman" w:eastAsia="Times New Roman" w:hAnsi="Times New Roman"/>
                <w:sz w:val="18"/>
                <w:szCs w:val="18"/>
                <w:color w:val="auto"/>
                <w:vertAlign w:val="superscript"/>
              </w:rPr>
              <w:t>(1)</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r>
      <w:tr>
        <w:trPr>
          <w:trHeight w:val="180"/>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Unallocated Items: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504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Amortization of acquisition-related intangible assets </w:t>
            </w:r>
            <w:r>
              <w:rPr>
                <w:rFonts w:ascii="Times New Roman" w:cs="Times New Roman" w:eastAsia="Times New Roman" w:hAnsi="Times New Roman"/>
                <w:sz w:val="18"/>
                <w:szCs w:val="18"/>
                <w:color w:val="auto"/>
                <w:vertAlign w:val="superscript"/>
              </w:rPr>
              <w:t>(2)</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80"/>
        </w:trPr>
        <w:tc>
          <w:tcPr>
            <w:tcW w:w="504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Loss on disposal of plant </w:t>
            </w:r>
            <w:r>
              <w:rPr>
                <w:rFonts w:ascii="Times New Roman" w:cs="Times New Roman" w:eastAsia="Times New Roman" w:hAnsi="Times New Roman"/>
                <w:sz w:val="18"/>
                <w:szCs w:val="18"/>
                <w:color w:val="auto"/>
                <w:vertAlign w:val="superscript"/>
              </w:rPr>
              <w:t>(3)</w:t>
            </w:r>
          </w:p>
        </w:tc>
        <w:tc>
          <w:tcPr>
            <w:tcW w:w="3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80"/>
        </w:trPr>
        <w:tc>
          <w:tcPr>
            <w:tcW w:w="504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Restructuring and other charges </w:t>
            </w:r>
            <w:r>
              <w:rPr>
                <w:rFonts w:ascii="Times New Roman" w:cs="Times New Roman" w:eastAsia="Times New Roman" w:hAnsi="Times New Roman"/>
                <w:sz w:val="18"/>
                <w:szCs w:val="18"/>
                <w:color w:val="auto"/>
                <w:vertAlign w:val="superscript"/>
              </w:rPr>
              <w:t>(4)</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71"/>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Corporate and Unallocated</w:t>
            </w: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20" w:type="dxa"/>
            <w:vAlign w:val="bottom"/>
            <w:tcBorders>
              <w:bottom w:val="single" w:sz="8" w:color="CCEEFF"/>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tcBorders>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w:t>
            </w:r>
          </w:p>
        </w:tc>
      </w:tr>
      <w:tr>
        <w:trPr>
          <w:trHeight w:val="171"/>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consolidated operating profit</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12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337.8</w:t>
            </w:r>
          </w:p>
        </w:tc>
      </w:tr>
      <w:tr>
        <w:trPr>
          <w:trHeight w:val="171"/>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(income) expense, net and other nonoperating (income) expense, net</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96"/>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before income taxes and equity in net income of affiliated companies</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184.9</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40" w:firstLine="5"/>
        <w:spacing w:after="0" w:line="287" w:lineRule="auto"/>
        <w:tabs>
          <w:tab w:leader="none" w:pos="2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general costs includes executive and director compensation, certain pension and other retirement benefit costs, and other corporate facilities and administrative expenses not allocated to the segments.</w:t>
      </w:r>
    </w:p>
    <w:p>
      <w:pPr>
        <w:spacing w:after="0" w:line="145" w:lineRule="exact"/>
        <w:rPr>
          <w:rFonts w:ascii="Times New Roman" w:cs="Times New Roman" w:eastAsia="Times New Roman" w:hAnsi="Times New Roman"/>
          <w:sz w:val="14"/>
          <w:szCs w:val="14"/>
          <w:color w:val="auto"/>
        </w:rPr>
      </w:pPr>
    </w:p>
    <w:p>
      <w:pPr>
        <w:ind w:right="100" w:firstLine="5"/>
        <w:spacing w:after="0" w:line="270" w:lineRule="auto"/>
        <w:tabs>
          <w:tab w:leader="none" w:pos="2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and six months ended June 30, 2024, the Company recorded $0.2 million and $0.4 million, respectively, of amortization expense within operating profit associated with an intangible asset acquired during the second quarter of 2020. During the three and six months ended June 30, 2023, the Company recorded $0.2 million and $0.4 million, respectively, of amortization expense within operating profit associated with an intangible asset acquired during the second quarter of 2020.</w:t>
      </w:r>
    </w:p>
    <w:p>
      <w:pPr>
        <w:spacing w:after="0" w:line="156" w:lineRule="exact"/>
        <w:rPr>
          <w:rFonts w:ascii="Times New Roman" w:cs="Times New Roman" w:eastAsia="Times New Roman" w:hAnsi="Times New Roman"/>
          <w:sz w:val="14"/>
          <w:szCs w:val="14"/>
          <w:color w:val="auto"/>
        </w:rPr>
      </w:pPr>
    </w:p>
    <w:p>
      <w:pPr>
        <w:ind w:right="120" w:firstLine="5"/>
        <w:spacing w:after="0" w:line="287" w:lineRule="auto"/>
        <w:tabs>
          <w:tab w:leader="none" w:pos="2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and six months ended June 30, 2023, the Company recorded expense of $2.2 million and $11.6 million, respectively, within other expense (income), as a result of the sale of one of the Company’s manufacturing facilities within the Proprietary Products segment. The transaction closed during the second quarter of 2023.</w:t>
      </w:r>
    </w:p>
    <w:p>
      <w:pPr>
        <w:spacing w:after="0" w:line="145" w:lineRule="exact"/>
        <w:rPr>
          <w:rFonts w:ascii="Times New Roman" w:cs="Times New Roman" w:eastAsia="Times New Roman" w:hAnsi="Times New Roman"/>
          <w:sz w:val="14"/>
          <w:szCs w:val="14"/>
          <w:color w:val="auto"/>
        </w:rPr>
      </w:pPr>
    </w:p>
    <w:p>
      <w:pPr>
        <w:ind w:right="200" w:firstLine="5"/>
        <w:spacing w:after="0" w:line="287" w:lineRule="auto"/>
        <w:tabs>
          <w:tab w:leader="none" w:pos="2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52525"/>
        </w:rPr>
        <w:t xml:space="preserve">Restructuring and other charges of </w:t>
      </w:r>
      <w:r>
        <w:rPr>
          <w:rFonts w:ascii="Times New Roman" w:cs="Times New Roman" w:eastAsia="Times New Roman" w:hAnsi="Times New Roman"/>
          <w:sz w:val="14"/>
          <w:szCs w:val="14"/>
          <w:color w:val="000000"/>
        </w:rPr>
        <w:t>$0.1 million</w:t>
      </w:r>
      <w:r>
        <w:rPr>
          <w:rFonts w:ascii="Times New Roman" w:cs="Times New Roman" w:eastAsia="Times New Roman" w:hAnsi="Times New Roman"/>
          <w:sz w:val="14"/>
          <w:szCs w:val="14"/>
          <w:color w:val="252525"/>
        </w:rPr>
        <w:t xml:space="preserve"> for both the </w:t>
      </w:r>
      <w:r>
        <w:rPr>
          <w:rFonts w:ascii="Times New Roman" w:cs="Times New Roman" w:eastAsia="Times New Roman" w:hAnsi="Times New Roman"/>
          <w:sz w:val="14"/>
          <w:szCs w:val="14"/>
          <w:color w:val="000000"/>
        </w:rPr>
        <w:t>three and six months ended June 30, 2023 represents the net impact of an</w:t>
      </w:r>
      <w:r>
        <w:rPr>
          <w:rFonts w:ascii="Times New Roman" w:cs="Times New Roman" w:eastAsia="Times New Roman" w:hAnsi="Times New Roman"/>
          <w:sz w:val="14"/>
          <w:szCs w:val="14"/>
          <w:color w:val="252525"/>
        </w:rPr>
        <w:t xml:space="preserve"> inventory write down of </w:t>
      </w:r>
      <w:r>
        <w:rPr>
          <w:rFonts w:ascii="Times New Roman" w:cs="Times New Roman" w:eastAsia="Times New Roman" w:hAnsi="Times New Roman"/>
          <w:sz w:val="14"/>
          <w:szCs w:val="14"/>
          <w:color w:val="000000"/>
        </w:rPr>
        <w:t>$0.9 million within cost of goods</w:t>
      </w:r>
      <w:r>
        <w:rPr>
          <w:rFonts w:ascii="Times New Roman" w:cs="Times New Roman" w:eastAsia="Times New Roman" w:hAnsi="Times New Roman"/>
          <w:sz w:val="14"/>
          <w:szCs w:val="14"/>
          <w:color w:val="252525"/>
        </w:rPr>
        <w:t xml:space="preserve"> </w:t>
      </w:r>
      <w:r>
        <w:rPr>
          <w:rFonts w:ascii="Times New Roman" w:cs="Times New Roman" w:eastAsia="Times New Roman" w:hAnsi="Times New Roman"/>
          <w:sz w:val="14"/>
          <w:szCs w:val="14"/>
          <w:color w:val="000000"/>
        </w:rPr>
        <w:t xml:space="preserve">and services sold and a $0.8 million </w:t>
      </w:r>
      <w:r>
        <w:rPr>
          <w:rFonts w:ascii="Times New Roman" w:cs="Times New Roman" w:eastAsia="Times New Roman" w:hAnsi="Times New Roman"/>
          <w:sz w:val="14"/>
          <w:szCs w:val="14"/>
          <w:color w:val="252525"/>
        </w:rPr>
        <w:t>benefit</w:t>
      </w:r>
      <w:r>
        <w:rPr>
          <w:rFonts w:ascii="Times New Roman" w:cs="Times New Roman" w:eastAsia="Times New Roman" w:hAnsi="Times New Roman"/>
          <w:sz w:val="14"/>
          <w:szCs w:val="14"/>
          <w:color w:val="000000"/>
        </w:rPr>
        <w:t xml:space="preserve"> within other expense (income) </w:t>
      </w:r>
      <w:r>
        <w:rPr>
          <w:rFonts w:ascii="Times New Roman" w:cs="Times New Roman" w:eastAsia="Times New Roman" w:hAnsi="Times New Roman"/>
          <w:sz w:val="14"/>
          <w:szCs w:val="14"/>
          <w:color w:val="252525"/>
        </w:rPr>
        <w:t>for revised severance estimates in connection with its 2022 restructuring plan.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Please refer to Note 14, </w:t>
      </w:r>
      <w:r>
        <w:rPr>
          <w:rFonts w:ascii="Times New Roman" w:cs="Times New Roman" w:eastAsia="Times New Roman" w:hAnsi="Times New Roman"/>
          <w:sz w:val="14"/>
          <w:szCs w:val="14"/>
          <w:i w:val="1"/>
          <w:iCs w:val="1"/>
          <w:u w:val="single" w:color="auto"/>
          <w:color w:val="0000FF"/>
        </w:rPr>
        <w:t>Other Expense (Income)</w:t>
      </w:r>
      <w:r>
        <w:rPr>
          <w:rFonts w:ascii="Times New Roman" w:cs="Times New Roman" w:eastAsia="Times New Roman" w:hAnsi="Times New Roman"/>
          <w:sz w:val="14"/>
          <w:szCs w:val="14"/>
          <w:color w:val="auto"/>
        </w:rPr>
        <w:t>, for further discussion of certain unallocated items referenced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Subsequent Events</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On July 2, 2024, the Company entered into the Third Amendment to the Credit Facility Agreement, which amended the Existing Credit Facility Agreement. Among other changes to the existing credit agreement, the Third Amendment established an incremental term loan in the stated principal amount of $130.0 million (the “New Term Loan”), which was fully drawn at closing and matures on July 2, 2027. The entire stated principal amount of the New Term Loan is due at maturity and there is no scheduled amortization prior to such date. Together with cash on hand, proceeds from the New Term Loan were used to repay an outstanding term loan under the Existing Credit Facility Agreement in the principal amount of $79.9 million and to repay an aggregate principal amount of $53.0 million of the Company’s 3.82% Series B Senior Notes due July 5, 2024 issued under that certain Note Purchase Agreement dated as of July 5, 2012.</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following discussion is intended to further the reader’s understanding of the consolidated financial condition and results of operations of our Company. It should be read in conjunction with our condensed consolidated financial statements and accompanying notes elsewhere in this Quarterly Report on Form 10-Q (“Form 10-Q”) as well as Management’s Discussion and Analysis of Financial Condition and Results of Operations and the consolidated financial statements and accompanying notes included in our 2023 Annual Report. Our historical financial statements may not be indicative of our future performance. This Management’s Discussion and Analysis of Financial Condition and Results of Operations contains a number of forward-looking statements, all of which are based on our current expectations and could be affected by the uncertainties and risks discussed in Part I, Item 1A of our 2023 Annual Report and in Part II, Item 1A of this Form 10-Q.</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Throughout this section, references to “Notes” refer to the notes to our condensed consolidated financial statements (unaudited) in Part I, Item 1 of this Form 10-Q, unless otherwise indicated.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Non-U.S. GAAP Financial Measures</w:t>
      </w:r>
    </w:p>
    <w:p>
      <w:pPr>
        <w:spacing w:after="0" w:line="20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For the purpose of aiding the comparison of our year-over-year results, we may refer to net sales and other financial results excluding the effects of changes in foreign currency exchange rates. Organic net sales exclude the impact from acquisitions and/or divestitures and translate the current-period reported sales of subsidiaries whose functional currency is other than USD at the applicable foreign exchange rates in effect during the comparable prior-year period. We may also refer to adjusted consolidated operating profit and adjusted consolidated operating profit margin, which exclude the effects of unallocated items. The unallocated items are not representative of ongoing operations, and generally include restructuring and related charges, certain asset impairments, and other specifically-identified income or expense items. The re-measured results excluding effects from currency translation, the impact from acquisitions and/or divestitures, and excluding the effects of unallocated items are not in conformity with U.S. Generally Accepted Accounting Principles ("GAAP") and should not be used as a substitute for the comparable U.S. GAAP financial measures. The non-U.S. GAAP financial measures are incorporated in our discussion and analysis as management uses them in evaluating our results of operations and believes that this information provides users with a valuable insight into our overall performance and financial position.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Operations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are a leading global manufacturer in the design and production of technologically advanced, high-quality, integrated containment and delivery systems for injectable drugs and healthcare products. Our products include a variety of primary proprietary packaging, containment solutions, reconstitution and transfer systems, and drug delivery systems, as well as contract manufacturing, analytical lab services and integrated solutions. Our customers include leading biologic, generic, pharmaceutical, diagnostic, and medical device companies around the world. Our top priority is delivering quality products that meet the exact product specifications and quality standards customers require and expect. This focus on quality includes a commitment to excellence in manufacturing, scientific and technical expertise and management, which enables us to partner with our customers in order to deliver safe, effective drug products to patients quickly and efficiently.</w:t>
      </w:r>
    </w:p>
    <w:p>
      <w:pPr>
        <w:spacing w:after="0" w:line="16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business operations are organized into two global segments, Proprietary Products and Contract-Manufactured Products. Our Proprietary Products reportable segment offers proprietary packaging, containment solutions and drug delivery systems,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 We also maintain collaborations to share technologies and market products with affiliates in Japan and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Macroeconomic Factors</w:t>
      </w:r>
    </w:p>
    <w:p>
      <w:pPr>
        <w:spacing w:after="0" w:line="20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We have operations based in Israel that conduct research and development activities and manufacture certain components for our devices. Our Israel-based facilities continue to substantially operate as they had prior to the conflict in Israel and surrounding area. We continue to monitor the impact of the conflict in Israel and surrounding areas on our operations and those of our suppliers, the possible expansion of such conflict and potential geopolitical consequences, if any, on our business and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Performance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52525"/>
        </w:rPr>
        <w:t xml:space="preserve">The following tables present a reconciliation from U.S. GAAP to non-U.S. GAAP financial measures for the three and six months ended </w:t>
      </w:r>
      <w:r>
        <w:rPr>
          <w:rFonts w:ascii="Times New Roman" w:cs="Times New Roman" w:eastAsia="Times New Roman" w:hAnsi="Times New Roman"/>
          <w:sz w:val="14"/>
          <w:szCs w:val="14"/>
          <w:color w:val="000000"/>
        </w:rPr>
        <w:t>June 30,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 except per share data)</w:t>
            </w:r>
          </w:p>
        </w:tc>
        <w:tc>
          <w:tcPr>
            <w:tcW w:w="24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Operating profit</w:t>
            </w:r>
          </w:p>
        </w:tc>
        <w:tc>
          <w:tcPr>
            <w:tcW w:w="14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4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spacing w:after="0"/>
              <w:rPr>
                <w:sz w:val="16"/>
                <w:szCs w:val="16"/>
                <w:color w:val="auto"/>
              </w:rPr>
            </w:pPr>
          </w:p>
        </w:tc>
        <w:tc>
          <w:tcPr>
            <w:tcW w:w="12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Diluted EPS</w:t>
            </w:r>
          </w:p>
        </w:tc>
      </w:tr>
      <w:tr>
        <w:trPr>
          <w:trHeight w:val="171"/>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Three months ended June 30, 2024 GAAP</w:t>
            </w: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r>
      <w:tr>
        <w:trPr>
          <w:trHeight w:val="180"/>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Unallocated items:</w:t>
            </w: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47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Amortization of acquisition-related intangible assets </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r>
      <w:tr>
        <w:trPr>
          <w:trHeight w:val="17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Three months ended June 30, 2024 adjusted amounts (non-U.S. GAAP)</w:t>
            </w: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20"/>
        </w:trPr>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49"/>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 except per share data)</w:t>
            </w:r>
          </w:p>
        </w:tc>
        <w:tc>
          <w:tcPr>
            <w:tcW w:w="240" w:type="dxa"/>
            <w:vAlign w:val="bottom"/>
          </w:tcPr>
          <w:p>
            <w:pPr>
              <w:spacing w:after="0"/>
              <w:rPr>
                <w:sz w:val="24"/>
                <w:szCs w:val="24"/>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Operating profit</w:t>
            </w:r>
          </w:p>
        </w:tc>
        <w:tc>
          <w:tcPr>
            <w:tcW w:w="14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spacing w:after="0"/>
              <w:rPr>
                <w:sz w:val="24"/>
                <w:szCs w:val="24"/>
                <w:color w:val="auto"/>
              </w:rPr>
            </w:pPr>
          </w:p>
        </w:tc>
        <w:tc>
          <w:tcPr>
            <w:tcW w:w="12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Diluted EPS</w:t>
            </w:r>
          </w:p>
        </w:tc>
      </w:tr>
      <w:tr>
        <w:trPr>
          <w:trHeight w:val="171"/>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Six months ended June 30, 2024 GAAP</w:t>
            </w: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226.6</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r>
      <w:tr>
        <w:trPr>
          <w:trHeight w:val="180"/>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Unallocated items:</w:t>
            </w: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47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Amortization of acquisition-related intangible assets </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r>
      <w:tr>
        <w:trPr>
          <w:trHeight w:val="17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Six months ended June 30, 2024 adjusted amounts (non-U.S. GAAP)</w:t>
            </w: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249.4</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228.0</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w:t>
            </w:r>
          </w:p>
        </w:tc>
      </w:tr>
      <w:tr>
        <w:trPr>
          <w:trHeight w:val="20"/>
        </w:trPr>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During the </w:t>
      </w:r>
      <w:r>
        <w:rPr>
          <w:rFonts w:ascii="Times New Roman" w:cs="Times New Roman" w:eastAsia="Times New Roman" w:hAnsi="Times New Roman"/>
          <w:sz w:val="14"/>
          <w:szCs w:val="14"/>
          <w:color w:val="252525"/>
        </w:rPr>
        <w:t>three and six months ended</w:t>
      </w:r>
      <w:r>
        <w:rPr>
          <w:rFonts w:ascii="Times New Roman" w:cs="Times New Roman" w:eastAsia="Times New Roman" w:hAnsi="Times New Roman"/>
          <w:sz w:val="14"/>
          <w:szCs w:val="14"/>
          <w:color w:val="auto"/>
        </w:rPr>
        <w:t xml:space="preserve"> June 30, 2024, we recorded a tax benefit of $5.7 million and $16.6 million, respectively, associated with stock-based compensation.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52525"/>
        </w:rPr>
        <w:t xml:space="preserve">The following tables present a reconciliation from U.S. GAAP to non-U.S. GAAP financial measures for the three and six months ended </w:t>
      </w:r>
      <w:r>
        <w:rPr>
          <w:rFonts w:ascii="Times New Roman" w:cs="Times New Roman" w:eastAsia="Times New Roman" w:hAnsi="Times New Roman"/>
          <w:sz w:val="14"/>
          <w:szCs w:val="14"/>
          <w:color w:val="000000"/>
        </w:rPr>
        <w:t>June 30,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 except per share data)</w:t>
            </w:r>
          </w:p>
        </w:tc>
        <w:tc>
          <w:tcPr>
            <w:tcW w:w="24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Operating profit</w:t>
            </w:r>
          </w:p>
        </w:tc>
        <w:tc>
          <w:tcPr>
            <w:tcW w:w="14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4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spacing w:after="0"/>
              <w:rPr>
                <w:sz w:val="16"/>
                <w:szCs w:val="16"/>
                <w:color w:val="auto"/>
              </w:rPr>
            </w:pPr>
          </w:p>
        </w:tc>
        <w:tc>
          <w:tcPr>
            <w:tcW w:w="12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Diluted EPS</w:t>
            </w:r>
          </w:p>
        </w:tc>
      </w:tr>
      <w:tr>
        <w:trPr>
          <w:trHeight w:val="171"/>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Three months ended June 30, 2023 GAAP</w:t>
            </w: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r>
      <w:tr>
        <w:trPr>
          <w:trHeight w:val="180"/>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Unallocated items:</w:t>
            </w: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47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Amortization of acquisition-related intangible assets </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r>
      <w:tr>
        <w:trPr>
          <w:trHeight w:val="180"/>
        </w:trPr>
        <w:tc>
          <w:tcPr>
            <w:tcW w:w="47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Loss on disposal of plant </w:t>
            </w:r>
            <w:r>
              <w:rPr>
                <w:rFonts w:ascii="Times New Roman" w:cs="Times New Roman" w:eastAsia="Times New Roman" w:hAnsi="Times New Roman"/>
                <w:sz w:val="18"/>
                <w:szCs w:val="18"/>
                <w:color w:val="auto"/>
                <w:vertAlign w:val="superscript"/>
              </w:rPr>
              <w:t>(2)</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r>
      <w:tr>
        <w:trPr>
          <w:trHeight w:val="180"/>
        </w:trPr>
        <w:tc>
          <w:tcPr>
            <w:tcW w:w="47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Restructuring and other charges </w:t>
            </w:r>
            <w:r>
              <w:rPr>
                <w:rFonts w:ascii="Times New Roman" w:cs="Times New Roman" w:eastAsia="Times New Roman" w:hAnsi="Times New Roman"/>
                <w:sz w:val="18"/>
                <w:szCs w:val="18"/>
                <w:color w:val="auto"/>
                <w:vertAlign w:val="superscript"/>
              </w:rPr>
              <w:t>(3)</w:t>
            </w:r>
          </w:p>
        </w:tc>
        <w:tc>
          <w:tcPr>
            <w:tcW w:w="2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Three months ended June 30, 2023 adjusted amounts (non-U.S. GAAP)</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w:t>
            </w:r>
          </w:p>
        </w:tc>
      </w:tr>
      <w:tr>
        <w:trPr>
          <w:trHeight w:val="20"/>
        </w:trPr>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7"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 except per share data)</w:t>
            </w:r>
          </w:p>
        </w:tc>
        <w:tc>
          <w:tcPr>
            <w:tcW w:w="24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Operating profit</w:t>
            </w:r>
          </w:p>
        </w:tc>
        <w:tc>
          <w:tcPr>
            <w:tcW w:w="14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4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spacing w:after="0"/>
              <w:rPr>
                <w:sz w:val="16"/>
                <w:szCs w:val="16"/>
                <w:color w:val="auto"/>
              </w:rPr>
            </w:pPr>
          </w:p>
        </w:tc>
        <w:tc>
          <w:tcPr>
            <w:tcW w:w="12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Diluted EPS</w:t>
            </w:r>
          </w:p>
        </w:tc>
      </w:tr>
      <w:tr>
        <w:trPr>
          <w:trHeight w:val="171"/>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Six months ended June 30, 2023 GAAP</w:t>
            </w: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295.1</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r>
      <w:tr>
        <w:trPr>
          <w:trHeight w:val="180"/>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Unallocated items:</w:t>
            </w: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47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Amortization of acquisition-related intangible assets </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r>
      <w:tr>
        <w:trPr>
          <w:trHeight w:val="180"/>
        </w:trPr>
        <w:tc>
          <w:tcPr>
            <w:tcW w:w="47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Loss on disposal of plant </w:t>
            </w:r>
            <w:r>
              <w:rPr>
                <w:rFonts w:ascii="Times New Roman" w:cs="Times New Roman" w:eastAsia="Times New Roman" w:hAnsi="Times New Roman"/>
                <w:sz w:val="18"/>
                <w:szCs w:val="18"/>
                <w:color w:val="auto"/>
                <w:vertAlign w:val="superscript"/>
              </w:rPr>
              <w:t>(2)</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w:t>
            </w:r>
          </w:p>
        </w:tc>
      </w:tr>
      <w:tr>
        <w:trPr>
          <w:trHeight w:val="180"/>
        </w:trPr>
        <w:tc>
          <w:tcPr>
            <w:tcW w:w="47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Restructuring and other charges </w:t>
            </w:r>
            <w:r>
              <w:rPr>
                <w:rFonts w:ascii="Times New Roman" w:cs="Times New Roman" w:eastAsia="Times New Roman" w:hAnsi="Times New Roman"/>
                <w:sz w:val="18"/>
                <w:szCs w:val="18"/>
                <w:color w:val="auto"/>
                <w:vertAlign w:val="superscript"/>
              </w:rPr>
              <w:t>(3)</w:t>
            </w:r>
          </w:p>
        </w:tc>
        <w:tc>
          <w:tcPr>
            <w:tcW w:w="2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Six months ended June 30, 2023 adjusted amounts (non-U.S. GAAP)</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349.9</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309.2</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w:t>
            </w:r>
          </w:p>
        </w:tc>
      </w:tr>
      <w:tr>
        <w:trPr>
          <w:trHeight w:val="20"/>
        </w:trPr>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During the </w:t>
      </w:r>
      <w:r>
        <w:rPr>
          <w:rFonts w:ascii="Times New Roman" w:cs="Times New Roman" w:eastAsia="Times New Roman" w:hAnsi="Times New Roman"/>
          <w:sz w:val="14"/>
          <w:szCs w:val="14"/>
          <w:color w:val="252525"/>
        </w:rPr>
        <w:t>three and six months ended</w:t>
      </w:r>
      <w:r>
        <w:rPr>
          <w:rFonts w:ascii="Times New Roman" w:cs="Times New Roman" w:eastAsia="Times New Roman" w:hAnsi="Times New Roman"/>
          <w:sz w:val="14"/>
          <w:szCs w:val="14"/>
          <w:color w:val="auto"/>
        </w:rPr>
        <w:t xml:space="preserve"> June 30, 2023, we recorded a tax benefit of $7.7 million and $19.3 million, respectively, associated with stock-based compensation.</w:t>
      </w:r>
    </w:p>
    <w:p>
      <w:pPr>
        <w:spacing w:after="0" w:line="200" w:lineRule="exact"/>
        <w:rPr>
          <w:sz w:val="20"/>
          <w:szCs w:val="20"/>
          <w:color w:val="auto"/>
        </w:rPr>
      </w:pPr>
    </w:p>
    <w:p>
      <w:pPr>
        <w:ind w:left="520" w:right="40" w:hanging="260"/>
        <w:spacing w:after="0" w:line="270" w:lineRule="auto"/>
        <w:tabs>
          <w:tab w:leader="none" w:pos="515" w:val="left"/>
        </w:tabs>
        <w:numPr>
          <w:ilvl w:val="0"/>
          <w:numId w:val="5"/>
        </w:numPr>
        <w:rPr>
          <w:rFonts w:ascii="Times New Roman" w:cs="Times New Roman" w:eastAsia="Times New Roman" w:hAnsi="Times New Roman"/>
          <w:sz w:val="14"/>
          <w:szCs w:val="14"/>
          <w:color w:val="252525"/>
        </w:rPr>
      </w:pPr>
      <w:r>
        <w:rPr>
          <w:rFonts w:ascii="Times New Roman" w:cs="Times New Roman" w:eastAsia="Times New Roman" w:hAnsi="Times New Roman"/>
          <w:sz w:val="14"/>
          <w:szCs w:val="14"/>
          <w:color w:val="252525"/>
        </w:rPr>
        <w:t xml:space="preserve">During the three and six months ended </w:t>
      </w:r>
      <w:r>
        <w:rPr>
          <w:rFonts w:ascii="Times New Roman" w:cs="Times New Roman" w:eastAsia="Times New Roman" w:hAnsi="Times New Roman"/>
          <w:sz w:val="14"/>
          <w:szCs w:val="14"/>
          <w:color w:val="000000"/>
        </w:rPr>
        <w:t>June 30, 2024 and</w:t>
      </w:r>
      <w:r>
        <w:rPr>
          <w:rFonts w:ascii="Times New Roman" w:cs="Times New Roman" w:eastAsia="Times New Roman" w:hAnsi="Times New Roman"/>
          <w:sz w:val="14"/>
          <w:szCs w:val="14"/>
          <w:color w:val="252525"/>
        </w:rPr>
        <w:t xml:space="preserve"> 2023, the Company recorded </w:t>
      </w:r>
      <w:r>
        <w:rPr>
          <w:rFonts w:ascii="Times New Roman" w:cs="Times New Roman" w:eastAsia="Times New Roman" w:hAnsi="Times New Roman"/>
          <w:sz w:val="14"/>
          <w:szCs w:val="14"/>
          <w:color w:val="000000"/>
        </w:rPr>
        <w:t>$0.2 million</w:t>
      </w:r>
      <w:r>
        <w:rPr>
          <w:rFonts w:ascii="Times New Roman" w:cs="Times New Roman" w:eastAsia="Times New Roman" w:hAnsi="Times New Roman"/>
          <w:sz w:val="14"/>
          <w:szCs w:val="14"/>
          <w:color w:val="252525"/>
        </w:rPr>
        <w:t xml:space="preserve"> and </w:t>
      </w:r>
      <w:r>
        <w:rPr>
          <w:rFonts w:ascii="Times New Roman" w:cs="Times New Roman" w:eastAsia="Times New Roman" w:hAnsi="Times New Roman"/>
          <w:sz w:val="14"/>
          <w:szCs w:val="14"/>
          <w:color w:val="000000"/>
        </w:rPr>
        <w:t>$0.4 million</w:t>
      </w:r>
      <w:r>
        <w:rPr>
          <w:rFonts w:ascii="Times New Roman" w:cs="Times New Roman" w:eastAsia="Times New Roman" w:hAnsi="Times New Roman"/>
          <w:sz w:val="14"/>
          <w:szCs w:val="14"/>
          <w:color w:val="252525"/>
        </w:rPr>
        <w:t xml:space="preserve">, respectively, of amortization expense within operating profit associated with an intangible asset acquired during the </w:t>
      </w:r>
      <w:r>
        <w:rPr>
          <w:rFonts w:ascii="Times New Roman" w:cs="Times New Roman" w:eastAsia="Times New Roman" w:hAnsi="Times New Roman"/>
          <w:sz w:val="14"/>
          <w:szCs w:val="14"/>
          <w:color w:val="000000"/>
        </w:rPr>
        <w:t>second quarter of 2020. During the three and six months ended June 30, 2024 and</w:t>
      </w:r>
      <w:r>
        <w:rPr>
          <w:rFonts w:ascii="Times New Roman" w:cs="Times New Roman" w:eastAsia="Times New Roman" w:hAnsi="Times New Roman"/>
          <w:sz w:val="14"/>
          <w:szCs w:val="14"/>
          <w:color w:val="252525"/>
        </w:rPr>
        <w:t xml:space="preserve"> 2023</w:t>
      </w:r>
      <w:r>
        <w:rPr>
          <w:rFonts w:ascii="Times New Roman" w:cs="Times New Roman" w:eastAsia="Times New Roman" w:hAnsi="Times New Roman"/>
          <w:sz w:val="14"/>
          <w:szCs w:val="14"/>
          <w:color w:val="000000"/>
        </w:rPr>
        <w:t>, the Company recorded $0.5 million and $1.0 million,</w:t>
      </w:r>
      <w:r>
        <w:rPr>
          <w:rFonts w:ascii="Times New Roman" w:cs="Times New Roman" w:eastAsia="Times New Roman" w:hAnsi="Times New Roman"/>
          <w:sz w:val="14"/>
          <w:szCs w:val="14"/>
          <w:color w:val="252525"/>
        </w:rPr>
        <w:t xml:space="preserve"> </w:t>
      </w:r>
      <w:r>
        <w:rPr>
          <w:rFonts w:ascii="Times New Roman" w:cs="Times New Roman" w:eastAsia="Times New Roman" w:hAnsi="Times New Roman"/>
          <w:sz w:val="14"/>
          <w:szCs w:val="14"/>
          <w:color w:val="000000"/>
        </w:rPr>
        <w:t xml:space="preserve">respectively, of amortization expense </w:t>
      </w:r>
      <w:r>
        <w:rPr>
          <w:rFonts w:ascii="Times New Roman" w:cs="Times New Roman" w:eastAsia="Times New Roman" w:hAnsi="Times New Roman"/>
          <w:sz w:val="14"/>
          <w:szCs w:val="14"/>
          <w:color w:val="252525"/>
        </w:rPr>
        <w:t>in association with an acquisition of increased ownership interest in Daikyo.</w:t>
      </w:r>
    </w:p>
    <w:p>
      <w:pPr>
        <w:spacing w:after="0" w:line="156" w:lineRule="exact"/>
        <w:rPr>
          <w:rFonts w:ascii="Times New Roman" w:cs="Times New Roman" w:eastAsia="Times New Roman" w:hAnsi="Times New Roman"/>
          <w:sz w:val="14"/>
          <w:szCs w:val="14"/>
          <w:color w:val="252525"/>
        </w:rPr>
      </w:pPr>
    </w:p>
    <w:p>
      <w:pPr>
        <w:ind w:left="520" w:right="40" w:hanging="260"/>
        <w:spacing w:after="0" w:line="287" w:lineRule="auto"/>
        <w:tabs>
          <w:tab w:leader="none" w:pos="515" w:val="left"/>
        </w:tabs>
        <w:numPr>
          <w:ilvl w:val="0"/>
          <w:numId w:val="5"/>
        </w:numPr>
        <w:rPr>
          <w:rFonts w:ascii="Times New Roman" w:cs="Times New Roman" w:eastAsia="Times New Roman" w:hAnsi="Times New Roman"/>
          <w:sz w:val="14"/>
          <w:szCs w:val="14"/>
          <w:color w:val="252525"/>
        </w:rPr>
      </w:pPr>
      <w:r>
        <w:rPr>
          <w:rFonts w:ascii="Times New Roman" w:cs="Times New Roman" w:eastAsia="Times New Roman" w:hAnsi="Times New Roman"/>
          <w:sz w:val="14"/>
          <w:szCs w:val="14"/>
          <w:color w:val="auto"/>
        </w:rPr>
        <w:t>During the three and six months ended June 30, 2023, the Company recorded expense of $2.2 million and $11.6 million, respectively, within other expense (income), as a result of the sale of one of the Company’s manufacturing facilities within the Proprietary Products segment. The transaction closed during the second quarter of 2023.</w:t>
      </w:r>
    </w:p>
    <w:p>
      <w:pPr>
        <w:spacing w:after="0" w:line="145" w:lineRule="exact"/>
        <w:rPr>
          <w:rFonts w:ascii="Times New Roman" w:cs="Times New Roman" w:eastAsia="Times New Roman" w:hAnsi="Times New Roman"/>
          <w:sz w:val="14"/>
          <w:szCs w:val="14"/>
          <w:color w:val="252525"/>
        </w:rPr>
      </w:pPr>
    </w:p>
    <w:p>
      <w:pPr>
        <w:ind w:left="520" w:right="280" w:hanging="260"/>
        <w:spacing w:after="0" w:line="287" w:lineRule="auto"/>
        <w:tabs>
          <w:tab w:leader="none" w:pos="515" w:val="left"/>
        </w:tabs>
        <w:numPr>
          <w:ilvl w:val="0"/>
          <w:numId w:val="5"/>
        </w:numPr>
        <w:rPr>
          <w:rFonts w:ascii="Times New Roman" w:cs="Times New Roman" w:eastAsia="Times New Roman" w:hAnsi="Times New Roman"/>
          <w:sz w:val="14"/>
          <w:szCs w:val="14"/>
          <w:color w:val="252525"/>
        </w:rPr>
      </w:pPr>
      <w:r>
        <w:rPr>
          <w:rFonts w:ascii="Times New Roman" w:cs="Times New Roman" w:eastAsia="Times New Roman" w:hAnsi="Times New Roman"/>
          <w:sz w:val="14"/>
          <w:szCs w:val="14"/>
          <w:color w:val="252525"/>
        </w:rPr>
        <w:t xml:space="preserve">Restructuring and other charges of </w:t>
      </w:r>
      <w:r>
        <w:rPr>
          <w:rFonts w:ascii="Times New Roman" w:cs="Times New Roman" w:eastAsia="Times New Roman" w:hAnsi="Times New Roman"/>
          <w:sz w:val="14"/>
          <w:szCs w:val="14"/>
          <w:color w:val="000000"/>
        </w:rPr>
        <w:t>$0.1 million</w:t>
      </w:r>
      <w:r>
        <w:rPr>
          <w:rFonts w:ascii="Times New Roman" w:cs="Times New Roman" w:eastAsia="Times New Roman" w:hAnsi="Times New Roman"/>
          <w:sz w:val="14"/>
          <w:szCs w:val="14"/>
          <w:color w:val="252525"/>
        </w:rPr>
        <w:t xml:space="preserve"> for both the </w:t>
      </w:r>
      <w:r>
        <w:rPr>
          <w:rFonts w:ascii="Times New Roman" w:cs="Times New Roman" w:eastAsia="Times New Roman" w:hAnsi="Times New Roman"/>
          <w:sz w:val="14"/>
          <w:szCs w:val="14"/>
          <w:color w:val="000000"/>
        </w:rPr>
        <w:t>three and six months ended June 30, 2023 represents the net impact of an</w:t>
      </w:r>
      <w:r>
        <w:rPr>
          <w:rFonts w:ascii="Times New Roman" w:cs="Times New Roman" w:eastAsia="Times New Roman" w:hAnsi="Times New Roman"/>
          <w:sz w:val="14"/>
          <w:szCs w:val="14"/>
          <w:color w:val="252525"/>
        </w:rPr>
        <w:t xml:space="preserve"> inventory write down of </w:t>
      </w:r>
      <w:r>
        <w:rPr>
          <w:rFonts w:ascii="Times New Roman" w:cs="Times New Roman" w:eastAsia="Times New Roman" w:hAnsi="Times New Roman"/>
          <w:sz w:val="14"/>
          <w:szCs w:val="14"/>
          <w:color w:val="000000"/>
        </w:rPr>
        <w:t>$0.9 million within cost of</w:t>
      </w:r>
      <w:r>
        <w:rPr>
          <w:rFonts w:ascii="Times New Roman" w:cs="Times New Roman" w:eastAsia="Times New Roman" w:hAnsi="Times New Roman"/>
          <w:sz w:val="14"/>
          <w:szCs w:val="14"/>
          <w:color w:val="252525"/>
        </w:rPr>
        <w:t xml:space="preserve"> </w:t>
      </w:r>
      <w:r>
        <w:rPr>
          <w:rFonts w:ascii="Times New Roman" w:cs="Times New Roman" w:eastAsia="Times New Roman" w:hAnsi="Times New Roman"/>
          <w:sz w:val="14"/>
          <w:szCs w:val="14"/>
          <w:color w:val="000000"/>
        </w:rPr>
        <w:t xml:space="preserve">goods and services sold and a $0.8 million </w:t>
      </w:r>
      <w:r>
        <w:rPr>
          <w:rFonts w:ascii="Times New Roman" w:cs="Times New Roman" w:eastAsia="Times New Roman" w:hAnsi="Times New Roman"/>
          <w:sz w:val="14"/>
          <w:szCs w:val="14"/>
          <w:color w:val="252525"/>
        </w:rPr>
        <w:t>benefit</w:t>
      </w:r>
      <w:r>
        <w:rPr>
          <w:rFonts w:ascii="Times New Roman" w:cs="Times New Roman" w:eastAsia="Times New Roman" w:hAnsi="Times New Roman"/>
          <w:sz w:val="14"/>
          <w:szCs w:val="14"/>
          <w:color w:val="000000"/>
        </w:rPr>
        <w:t xml:space="preserve"> within other expense (income) </w:t>
      </w:r>
      <w:r>
        <w:rPr>
          <w:rFonts w:ascii="Times New Roman" w:cs="Times New Roman" w:eastAsia="Times New Roman" w:hAnsi="Times New Roman"/>
          <w:sz w:val="14"/>
          <w:szCs w:val="14"/>
          <w:color w:val="252525"/>
        </w:rPr>
        <w:t>for revised severance estimates in connection with its 2022 restructuring plan.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evaluate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we consider not representative of ongoing operations. Such items are referred to as other unallocated items for which further information can be found above in the reconciliation from U.S. GAAP to non-U.S. GAAP financial measures.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Percentages in the following tables and throughout the </w:t>
      </w:r>
      <w:r>
        <w:rPr>
          <w:rFonts w:ascii="Times New Roman" w:cs="Times New Roman" w:eastAsia="Times New Roman" w:hAnsi="Times New Roman"/>
          <w:sz w:val="14"/>
          <w:szCs w:val="14"/>
          <w:i w:val="1"/>
          <w:iCs w:val="1"/>
          <w:color w:val="auto"/>
        </w:rPr>
        <w:t>Results of Operations</w:t>
      </w:r>
      <w:r>
        <w:rPr>
          <w:rFonts w:ascii="Times New Roman" w:cs="Times New Roman" w:eastAsia="Times New Roman" w:hAnsi="Times New Roman"/>
          <w:sz w:val="14"/>
          <w:szCs w:val="14"/>
          <w:color w:val="auto"/>
        </w:rPr>
        <w:t xml:space="preserve"> section may reflect rounding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61"/>
        </w:trPr>
        <w:tc>
          <w:tcPr>
            <w:tcW w:w="80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following table presents net sales, consolidated and by reportable segment, for the three months ended June 30, 2024 and 2023:</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0"/>
        </w:trPr>
        <w:tc>
          <w:tcPr>
            <w:tcW w:w="4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auto"/>
              </w:rPr>
              <w:t>Three Months Ended</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91"/>
        </w:trPr>
        <w:tc>
          <w:tcPr>
            <w:tcW w:w="4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329"/>
              <w:spacing w:after="0"/>
              <w:rPr>
                <w:sz w:val="20"/>
                <w:szCs w:val="20"/>
                <w:color w:val="auto"/>
              </w:rPr>
            </w:pPr>
            <w:r>
              <w:rPr>
                <w:rFonts w:ascii="Times New Roman" w:cs="Times New Roman" w:eastAsia="Times New Roman" w:hAnsi="Times New Roman"/>
                <w:sz w:val="14"/>
                <w:szCs w:val="14"/>
                <w:color w:val="auto"/>
              </w:rPr>
              <w:t>June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4"/>
                <w:szCs w:val="14"/>
                <w:color w:val="auto"/>
              </w:rPr>
              <w:t>Percentage Change</w:t>
            </w:r>
          </w:p>
        </w:tc>
        <w:tc>
          <w:tcPr>
            <w:tcW w:w="1060" w:type="dxa"/>
            <w:vAlign w:val="bottom"/>
            <w:tcBorders>
              <w:bottom w:val="single" w:sz="8" w:color="auto"/>
            </w:tcBorders>
          </w:tcPr>
          <w:p>
            <w:pPr>
              <w:spacing w:after="0"/>
              <w:rPr>
                <w:sz w:val="16"/>
                <w:szCs w:val="16"/>
                <w:color w:val="auto"/>
              </w:rPr>
            </w:pPr>
          </w:p>
        </w:tc>
      </w:tr>
      <w:tr>
        <w:trPr>
          <w:trHeight w:val="171"/>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40" w:type="dxa"/>
            <w:vAlign w:val="bottom"/>
          </w:tcPr>
          <w:p>
            <w:pPr>
              <w:spacing w:after="0"/>
              <w:rPr>
                <w:sz w:val="14"/>
                <w:szCs w:val="14"/>
                <w:color w:val="auto"/>
              </w:rPr>
            </w:pPr>
          </w:p>
        </w:tc>
        <w:tc>
          <w:tcPr>
            <w:tcW w:w="112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99"/>
              </w:rPr>
              <w:t>2023</w:t>
            </w:r>
          </w:p>
        </w:tc>
        <w:tc>
          <w:tcPr>
            <w:tcW w:w="120" w:type="dxa"/>
            <w:vAlign w:val="bottom"/>
          </w:tcPr>
          <w:p>
            <w:pPr>
              <w:spacing w:after="0"/>
              <w:rPr>
                <w:sz w:val="14"/>
                <w:szCs w:val="14"/>
                <w:color w:val="auto"/>
              </w:rPr>
            </w:pPr>
          </w:p>
        </w:tc>
        <w:tc>
          <w:tcPr>
            <w:tcW w:w="222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As-Reported</w:t>
            </w:r>
          </w:p>
        </w:tc>
        <w:tc>
          <w:tcPr>
            <w:tcW w:w="10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Organic</w:t>
            </w:r>
          </w:p>
        </w:tc>
      </w:tr>
      <w:tr>
        <w:trPr>
          <w:trHeight w:val="171"/>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559.7</w:t>
            </w: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618.0</w:t>
            </w:r>
          </w:p>
        </w:tc>
        <w:tc>
          <w:tcPr>
            <w:tcW w:w="12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8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12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5.4 %</w:t>
            </w:r>
          </w:p>
        </w:tc>
      </w:tr>
      <w:tr>
        <w:trPr>
          <w:trHeight w:val="196"/>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net sales</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702.1</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753.8</w:t>
            </w:r>
          </w:p>
        </w:tc>
        <w:tc>
          <w:tcPr>
            <w:tcW w:w="1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Consolidated net sales decreased by $51.7 million, or 6.9%, for the three months ended June 30, 2024, as compared to the same period in 2023, including an unfavorable foreign currency translation impact of $6.1 million. Excluding foreign currency translation effects and removal of the 2023 sales impact related to one of our plants that was disposed of in the second quarter of 2023 of $1.1 million, consolidated net sales for the three months ended June 30, 2024 decreased by $44.5 million, or 5.9%, as compared to the same period in 2023.</w:t>
      </w:r>
    </w:p>
    <w:p>
      <w:pPr>
        <w:spacing w:after="0" w:line="15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Proprietary Products – </w:t>
      </w:r>
      <w:r>
        <w:rPr>
          <w:rFonts w:ascii="Times New Roman" w:cs="Times New Roman" w:eastAsia="Times New Roman" w:hAnsi="Times New Roman"/>
          <w:sz w:val="14"/>
          <w:szCs w:val="14"/>
          <w:color w:val="auto"/>
        </w:rPr>
        <w:t>Proprietary Products net sales decreased by $58.3 million, or 9.4%, for the three months ended June 30, 2024, as compared to the same period in 2023, including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unfavorable foreign currency translation impact of $5.4 million. Excluding foreign currency translation effects and removal of the 2023 sales impact related to one of our plants that was disposed of in the second quarter of 2023 of $1.1 million, net sales for the three months ended June 30, 2024 decreased by $51.8 million, or 8.4%, as compared to the same period in 2023, due to a decline in sales of certain high-value product offerings due to customer inventory management, primarily Westar® components, Daikyo Crystal Zenith® and FluroTec® products. These reductions were partially offset by an increase in sales of self-injection device platforms and Envision® products, as well as increased sales prices.</w:t>
      </w:r>
    </w:p>
    <w:p>
      <w:pPr>
        <w:spacing w:after="0" w:line="161" w:lineRule="exact"/>
        <w:rPr>
          <w:sz w:val="20"/>
          <w:szCs w:val="20"/>
          <w:color w:val="auto"/>
        </w:rPr>
      </w:pPr>
    </w:p>
    <w:p>
      <w:pPr>
        <w:jc w:val="both"/>
        <w:ind w:right="26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Contract-Manufactured Products – </w:t>
      </w:r>
      <w:r>
        <w:rPr>
          <w:rFonts w:ascii="Times New Roman" w:cs="Times New Roman" w:eastAsia="Times New Roman" w:hAnsi="Times New Roman"/>
          <w:sz w:val="14"/>
          <w:szCs w:val="14"/>
          <w:color w:val="auto"/>
        </w:rPr>
        <w:t>Contract-Manufactured Products net sales increased by $6.6 million, or 4.9%, for the three months ended June 30, 2024, as compared to the same period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2023, including an unfavorable foreign currency translation impact of $0.7 million. Excluding foreign currency translation effects, net sales for the three months ended June 30, 2024 increased by $7.3 million, or 5.4%, as compared to the same period in 2023, primarily due to an increase in sales of components associated with injection-related devices and sales price increases.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net sales, consolidated and by reportable segment, for the six months ended June 30, 2024 and 2023:</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91"/>
        </w:trPr>
        <w:tc>
          <w:tcPr>
            <w:tcW w:w="4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69"/>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4"/>
                <w:szCs w:val="14"/>
                <w:color w:val="auto"/>
              </w:rPr>
              <w:t>Percentage Change</w:t>
            </w:r>
          </w:p>
        </w:tc>
        <w:tc>
          <w:tcPr>
            <w:tcW w:w="1060" w:type="dxa"/>
            <w:vAlign w:val="bottom"/>
            <w:tcBorders>
              <w:bottom w:val="single" w:sz="8" w:color="auto"/>
            </w:tcBorders>
          </w:tcPr>
          <w:p>
            <w:pPr>
              <w:spacing w:after="0"/>
              <w:rPr>
                <w:sz w:val="16"/>
                <w:szCs w:val="16"/>
                <w:color w:val="auto"/>
              </w:rPr>
            </w:pPr>
          </w:p>
        </w:tc>
      </w:tr>
      <w:tr>
        <w:trPr>
          <w:trHeight w:val="171"/>
        </w:trPr>
        <w:tc>
          <w:tcPr>
            <w:tcW w:w="4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in millions)</w:t>
            </w:r>
          </w:p>
        </w:tc>
        <w:tc>
          <w:tcPr>
            <w:tcW w:w="340" w:type="dxa"/>
            <w:vAlign w:val="bottom"/>
          </w:tcPr>
          <w:p>
            <w:pPr>
              <w:spacing w:after="0"/>
              <w:rPr>
                <w:sz w:val="14"/>
                <w:szCs w:val="14"/>
                <w:color w:val="auto"/>
              </w:rPr>
            </w:pPr>
          </w:p>
        </w:tc>
        <w:tc>
          <w:tcPr>
            <w:tcW w:w="110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4"/>
                <w:szCs w:val="14"/>
                <w:color w:val="auto"/>
              </w:rPr>
            </w:pPr>
          </w:p>
        </w:tc>
        <w:tc>
          <w:tcPr>
            <w:tcW w:w="220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As-Reported</w:t>
            </w:r>
          </w:p>
        </w:tc>
        <w:tc>
          <w:tcPr>
            <w:tcW w:w="10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Organic</w:t>
            </w:r>
          </w:p>
        </w:tc>
      </w:tr>
      <w:tr>
        <w:trPr>
          <w:trHeight w:val="171"/>
        </w:trPr>
        <w:tc>
          <w:tcPr>
            <w:tcW w:w="49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Proprietary Products</w:t>
            </w: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1,119.2</w:t>
            </w:r>
          </w:p>
        </w:tc>
        <w:tc>
          <w:tcPr>
            <w:tcW w:w="1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1,201.1</w:t>
            </w:r>
          </w:p>
        </w:tc>
        <w:tc>
          <w:tcPr>
            <w:tcW w:w="12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80"/>
        </w:trPr>
        <w:tc>
          <w:tcPr>
            <w:tcW w:w="4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278.3</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12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3.4 %</w:t>
            </w:r>
          </w:p>
        </w:tc>
      </w:tr>
      <w:tr>
        <w:trPr>
          <w:trHeight w:val="196"/>
        </w:trPr>
        <w:tc>
          <w:tcPr>
            <w:tcW w:w="49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Consolidated net sales</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1,397.5</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1,470.4</w:t>
            </w:r>
          </w:p>
        </w:tc>
        <w:tc>
          <w:tcPr>
            <w:tcW w:w="1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Consolidated net sales decreased by $72.9 million, or 5.0%, for the six months ended June 30, 2024, as compared to the same period in 2023, including an unfavorable foreign currency translation impact of $2.7 million. Excluding foreign currency translation effects and removal of the 2023 sales impact related to one of our plants that was disposed of in the second quarter of 2023 of $4.3 million, consolidated net sales for the six months ended June 30, 2024 decreased by $65.9 million, or 4.5%, as compared to the same period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Proprietary Products </w:t>
      </w:r>
      <w:r>
        <w:rPr>
          <w:rFonts w:ascii="Times New Roman" w:cs="Times New Roman" w:eastAsia="Times New Roman" w:hAnsi="Times New Roman"/>
          <w:sz w:val="14"/>
          <w:szCs w:val="14"/>
          <w:color w:val="auto"/>
        </w:rPr>
        <w:t>– Proprietary Products net sales decreased by $81.9 million, or 6.8%, for the six months ended June 30, 2024, as compared to the same period in 2023, including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unfavorable foreign currency translation impact of $2.6 million. Excluding foreign currency translation effects and removal of the 2023 sales impact related to one of our plants that was disposed of in the second quarter of 2023 of $4.3 million, net sales for the six months ended June 30, 2024 decreased by $75.0 million, or 6.3%, as compared to the same period in 2023, due to a decline in sales of certain high-value product offerings due to customer inventory management, primarily Westar® components, FluroTec® products and Daikyo Crystal Zenith®. These reductions were partially offset by an increase in sales of NovaPure® products and self-injection device platforms, as well as increased sales prices.</w:t>
      </w:r>
    </w:p>
    <w:p>
      <w:pPr>
        <w:spacing w:after="0" w:line="161"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Contract-Manufactured Products </w:t>
      </w:r>
      <w:r>
        <w:rPr>
          <w:rFonts w:ascii="Times New Roman" w:cs="Times New Roman" w:eastAsia="Times New Roman" w:hAnsi="Times New Roman"/>
          <w:sz w:val="14"/>
          <w:szCs w:val="14"/>
          <w:color w:val="auto"/>
        </w:rPr>
        <w:t>– Contract-Manufactured Products net sales increased by $9.0 million, or 3.3%, for the six months ended June 30, 2024, as compared to the same period in 2023,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including an unfavorable foreign currency translation impact of $0.1 million. Excluding foreign currency translation effects, net sales for the six months ended June 30, 2024 increased by $9.1 million, or 3.4%, as compared to the same period in 2023, primarily due to an increase in sales of components associated with injection-related devices and sales price increases.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61"/>
        </w:trPr>
        <w:tc>
          <w:tcPr>
            <w:tcW w:w="65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following table presents gross profit and related gross profit margins, consolidated and by reportable segment:</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0"/>
        </w:trPr>
        <w:tc>
          <w:tcPr>
            <w:tcW w:w="4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6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auto"/>
              </w:rPr>
              <w:t>Three Months Ended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auto"/>
              </w:rPr>
              <w:t>Six Months Ended</w:t>
            </w:r>
          </w:p>
        </w:tc>
        <w:tc>
          <w:tcPr>
            <w:tcW w:w="920" w:type="dxa"/>
            <w:vAlign w:val="bottom"/>
          </w:tcPr>
          <w:p>
            <w:pPr>
              <w:spacing w:after="0"/>
              <w:rPr>
                <w:sz w:val="13"/>
                <w:szCs w:val="13"/>
                <w:color w:val="auto"/>
              </w:rPr>
            </w:pPr>
          </w:p>
        </w:tc>
      </w:tr>
      <w:tr>
        <w:trPr>
          <w:trHeight w:val="184"/>
        </w:trPr>
        <w:tc>
          <w:tcPr>
            <w:tcW w:w="48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349"/>
              <w:spacing w:after="0"/>
              <w:rPr>
                <w:sz w:val="20"/>
                <w:szCs w:val="20"/>
                <w:color w:val="auto"/>
              </w:rPr>
            </w:pPr>
            <w:r>
              <w:rPr>
                <w:rFonts w:ascii="Times New Roman" w:cs="Times New Roman" w:eastAsia="Times New Roman" w:hAnsi="Times New Roman"/>
                <w:sz w:val="14"/>
                <w:szCs w:val="14"/>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69"/>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6"/>
                <w:szCs w:val="16"/>
                <w:color w:val="auto"/>
              </w:rPr>
            </w:pPr>
          </w:p>
        </w:tc>
      </w:tr>
      <w:tr>
        <w:trPr>
          <w:trHeight w:val="178"/>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0"/>
        </w:trPr>
        <w:tc>
          <w:tcPr>
            <w:tcW w:w="4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Gross profit</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207.0</w:t>
            </w:r>
          </w:p>
        </w:tc>
        <w:tc>
          <w:tcPr>
            <w:tcW w:w="100" w:type="dxa"/>
            <w:vAlign w:val="bottom"/>
          </w:tcPr>
          <w:p>
            <w:pPr>
              <w:spacing w:after="0"/>
              <w:rPr>
                <w:sz w:val="15"/>
                <w:szCs w:val="15"/>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271.4</w:t>
            </w:r>
          </w:p>
        </w:tc>
        <w:tc>
          <w:tcPr>
            <w:tcW w:w="10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414.1</w:t>
            </w:r>
          </w:p>
        </w:tc>
        <w:tc>
          <w:tcPr>
            <w:tcW w:w="100" w:type="dxa"/>
            <w:vAlign w:val="bottom"/>
          </w:tcPr>
          <w:p>
            <w:pPr>
              <w:spacing w:after="0"/>
              <w:rPr>
                <w:sz w:val="15"/>
                <w:szCs w:val="15"/>
                <w:color w:val="auto"/>
              </w:rPr>
            </w:pPr>
          </w:p>
        </w:tc>
        <w:tc>
          <w:tcPr>
            <w:tcW w:w="5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519.2</w:t>
            </w:r>
          </w:p>
        </w:tc>
      </w:tr>
      <w:tr>
        <w:trPr>
          <w:trHeight w:val="180"/>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profit margin</w:t>
            </w: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37.0 %</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43.9 %</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37.0 %</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43.2 %</w:t>
            </w:r>
          </w:p>
        </w:tc>
      </w:tr>
      <w:tr>
        <w:trPr>
          <w:trHeight w:val="180"/>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profit</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44.4</w:t>
            </w:r>
          </w:p>
        </w:tc>
      </w:tr>
      <w:tr>
        <w:trPr>
          <w:trHeight w:val="180"/>
        </w:trPr>
        <w:tc>
          <w:tcPr>
            <w:tcW w:w="4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Gross profit margin</w:t>
            </w: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16.2 %</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16.6 %</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16.5 %</w:t>
            </w:r>
          </w:p>
        </w:tc>
      </w:tr>
      <w:tr>
        <w:trPr>
          <w:trHeight w:val="18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Unallocated items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(0.9)</w:t>
            </w:r>
          </w:p>
        </w:tc>
      </w:tr>
      <w:tr>
        <w:trPr>
          <w:trHeight w:val="171"/>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gross profit</w:t>
            </w: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230.0</w:t>
            </w:r>
          </w:p>
        </w:tc>
        <w:tc>
          <w:tcPr>
            <w:tcW w:w="10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291.4</w:t>
            </w:r>
          </w:p>
        </w:tc>
        <w:tc>
          <w:tcPr>
            <w:tcW w:w="100" w:type="dxa"/>
            <w:vAlign w:val="bottom"/>
            <w:tcBorders>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460.2</w:t>
            </w:r>
          </w:p>
        </w:tc>
        <w:tc>
          <w:tcPr>
            <w:tcW w:w="100" w:type="dxa"/>
            <w:vAlign w:val="bottom"/>
            <w:tcBorders>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562.7</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gross profit margin</w:t>
            </w:r>
          </w:p>
        </w:tc>
        <w:tc>
          <w:tcPr>
            <w:tcW w:w="3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32.8 %</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38.7 %</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32.9 %</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Consolidated gross profit decreased by $61.4 million, or 21.1%, for the three months ended June 30, 2024, as compared to the same period in 2023, including an unfavorable foreign currency translation impact of $2.2 million. Consolidated gross profit margin decreased by 5.9 margin points for the three months ended June 30, 2024, as compared to the same period in 2023.</w:t>
      </w:r>
    </w:p>
    <w:p>
      <w:pPr>
        <w:spacing w:after="0" w:line="145"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4"/>
          <w:szCs w:val="14"/>
          <w:color w:val="auto"/>
        </w:rPr>
        <w:t>Consolidated gross profit decreased by $102.5 million, or 18.2% for the six months ended June 30, 2024, as compared to the same period in 2023, including an unfavorable foreign currency translation impact of $0.9 million. Consolidated gross profit margin decreased by 5.4 margin points for the six months ended June 30, 2024, as compared to the same period in 2023.</w:t>
      </w:r>
    </w:p>
    <w:p>
      <w:pPr>
        <w:spacing w:after="0" w:line="14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Proprietary Products - </w:t>
      </w:r>
      <w:r>
        <w:rPr>
          <w:rFonts w:ascii="Times New Roman" w:cs="Times New Roman" w:eastAsia="Times New Roman" w:hAnsi="Times New Roman"/>
          <w:sz w:val="14"/>
          <w:szCs w:val="14"/>
          <w:color w:val="auto"/>
        </w:rPr>
        <w:t>Proprietary Products gross profit decreased by $64.4 million, or 23.7%, for the three months ended June 30, 2024, as compared to the same period in 2023, including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unfavorable foreign currency translation impact of $2.1 million. Proprietary Products gross profit margin decreased by 6.9 margin points for the three months ended June 30, 2024, as compared to the same period in 2023, primarily due to lower plant absorption from reduced customer demand and an unfavorable mix of products sold. These headwinds were partially offset by increased sales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Proprietary Products gross profit decreased by $105.1 million, or 20.2%, for the six months ended June 30, 2024, as compared to the same period in 2023, including an unfavorable foreign currency translation impact of $0.9 million. Proprietary Products gross profit margin decreased by 6.2 margin points for the six months ended June 30, 2024, as compared to the same period in 2023, primarily due to lower plant absorption from reduced customer demand and an unfavorable mix of products sold. These headwinds were partially offset by increased sales prices.</w:t>
      </w:r>
    </w:p>
    <w:p>
      <w:pPr>
        <w:spacing w:after="0" w:line="155"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Contract-Manufactured Products - </w:t>
      </w:r>
      <w:r>
        <w:rPr>
          <w:rFonts w:ascii="Times New Roman" w:cs="Times New Roman" w:eastAsia="Times New Roman" w:hAnsi="Times New Roman"/>
          <w:sz w:val="14"/>
          <w:szCs w:val="14"/>
          <w:color w:val="auto"/>
        </w:rPr>
        <w:t>Contract-Manufactured Products gross profit increased by $2.1 million, or 10.0%, for the three months ended June 30, 2024, as compared to the same period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2023, including an unfavorable foreign currency translation impact of $0.1 million. Contract-Manufactured Products gross profit margin increased by 0.8 margin points for the three months ended June 30, 2024, as compared to the same period in 2023, primarily due to increased sales prices.</w:t>
      </w:r>
    </w:p>
    <w:p>
      <w:pPr>
        <w:spacing w:after="0" w:line="157"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Contract-Manufactured Products gross profit increased by $1.7 million, or 3.8%, for the six months ended June 30, 2024, as compared to the same period in 2023. Contract-Manufactured Products gross profit margin increased by 0.1 margin points for the six months ended June 30, 2024, as compared to the same period in 2023, primarily due to increased sales prices.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Research and Development (“R&amp;D”) Costs</w:t>
            </w: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61"/>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consolidated R&amp;D costs: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0"/>
        </w:trPr>
        <w:tc>
          <w:tcPr>
            <w:tcW w:w="5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00" w:type="dxa"/>
            <w:vAlign w:val="bottom"/>
            <w:gridSpan w:val="3"/>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Three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80" w:type="dxa"/>
            <w:vAlign w:val="bottom"/>
            <w:gridSpan w:val="3"/>
          </w:tcPr>
          <w:p>
            <w:pPr>
              <w:jc w:val="center"/>
              <w:ind w:left="489"/>
              <w:spacing w:after="0" w:line="159" w:lineRule="exact"/>
              <w:rPr>
                <w:sz w:val="20"/>
                <w:szCs w:val="20"/>
                <w:color w:val="auto"/>
              </w:rPr>
            </w:pPr>
            <w:r>
              <w:rPr>
                <w:rFonts w:ascii="Times New Roman" w:cs="Times New Roman" w:eastAsia="Times New Roman" w:hAnsi="Times New Roman"/>
                <w:sz w:val="14"/>
                <w:szCs w:val="14"/>
                <w:color w:val="auto"/>
                <w:w w:val="99"/>
              </w:rPr>
              <w:t>Six Months Ended</w:t>
            </w:r>
          </w:p>
        </w:tc>
        <w:tc>
          <w:tcPr>
            <w:tcW w:w="880" w:type="dxa"/>
            <w:vAlign w:val="bottom"/>
          </w:tcPr>
          <w:p>
            <w:pPr>
              <w:spacing w:after="0"/>
              <w:rPr>
                <w:sz w:val="13"/>
                <w:szCs w:val="13"/>
                <w:color w:val="auto"/>
              </w:rPr>
            </w:pPr>
          </w:p>
        </w:tc>
      </w:tr>
      <w:tr>
        <w:trPr>
          <w:trHeight w:val="184"/>
        </w:trPr>
        <w:tc>
          <w:tcPr>
            <w:tcW w:w="50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w w:val="98"/>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489"/>
              <w:spacing w:after="0"/>
              <w:rPr>
                <w:sz w:val="20"/>
                <w:szCs w:val="20"/>
                <w:color w:val="auto"/>
              </w:rPr>
            </w:pPr>
            <w:r>
              <w:rPr>
                <w:rFonts w:ascii="Times New Roman" w:cs="Times New Roman" w:eastAsia="Times New Roman" w:hAnsi="Times New Roman"/>
                <w:sz w:val="14"/>
                <w:szCs w:val="14"/>
                <w:color w:val="auto"/>
              </w:rPr>
              <w:t>June 30,</w:t>
            </w:r>
          </w:p>
        </w:tc>
        <w:tc>
          <w:tcPr>
            <w:tcW w:w="880" w:type="dxa"/>
            <w:vAlign w:val="bottom"/>
            <w:tcBorders>
              <w:bottom w:val="single" w:sz="8" w:color="auto"/>
            </w:tcBorders>
          </w:tcPr>
          <w:p>
            <w:pPr>
              <w:spacing w:after="0"/>
              <w:rPr>
                <w:sz w:val="16"/>
                <w:szCs w:val="16"/>
                <w:color w:val="auto"/>
              </w:rPr>
            </w:pPr>
          </w:p>
        </w:tc>
      </w:tr>
      <w:tr>
        <w:trPr>
          <w:trHeight w:val="178"/>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2023</w:t>
            </w:r>
          </w:p>
        </w:tc>
      </w:tr>
      <w:tr>
        <w:trPr>
          <w:trHeight w:val="196"/>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R&amp;D costs</w:t>
            </w: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20" w:type="dxa"/>
            <w:vAlign w:val="bottom"/>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Consolidated R&amp;D costs increased by $1.0 million, or 6.1%, and $1.5 million, or 4.5% for the three and six months ended June 30, 2024, respectively, as compared to the same period in 2023, due to additional research performed to identify new product opportunities. Efforts remain focused on the continued investment in elastomeric packaging components, formulation development, drug containment systems, self-injection systems and drug administration consumables.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All of the R&amp;D costs incurred the </w:t>
      </w:r>
      <w:r>
        <w:rPr>
          <w:rFonts w:ascii="Times New Roman" w:cs="Times New Roman" w:eastAsia="Times New Roman" w:hAnsi="Times New Roman"/>
          <w:sz w:val="14"/>
          <w:szCs w:val="14"/>
          <w:color w:val="252525"/>
        </w:rPr>
        <w:t>three and six months ended</w:t>
      </w:r>
      <w:r>
        <w:rPr>
          <w:rFonts w:ascii="Times New Roman" w:cs="Times New Roman" w:eastAsia="Times New Roman" w:hAnsi="Times New Roman"/>
          <w:sz w:val="14"/>
          <w:szCs w:val="14"/>
          <w:color w:val="auto"/>
        </w:rPr>
        <w:t xml:space="preserve"> June 30, 2024 and 2023 related to Proprietary Products.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(“SG&amp;A”) Costs</w:t>
            </w: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61"/>
        </w:trPr>
        <w:tc>
          <w:tcPr>
            <w:tcW w:w="76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following table presents SG&amp;A costs, consolidated and by reportable segment and corporate and unallocated items: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0"/>
        </w:trPr>
        <w:tc>
          <w:tcPr>
            <w:tcW w:w="4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80" w:type="dxa"/>
            <w:vAlign w:val="bottom"/>
            <w:gridSpan w:val="3"/>
          </w:tcPr>
          <w:p>
            <w:pPr>
              <w:jc w:val="right"/>
              <w:ind w:right="449"/>
              <w:spacing w:after="0" w:line="159" w:lineRule="exact"/>
              <w:rPr>
                <w:sz w:val="20"/>
                <w:szCs w:val="20"/>
                <w:color w:val="auto"/>
              </w:rPr>
            </w:pPr>
            <w:r>
              <w:rPr>
                <w:rFonts w:ascii="Times New Roman" w:cs="Times New Roman" w:eastAsia="Times New Roman" w:hAnsi="Times New Roman"/>
                <w:sz w:val="14"/>
                <w:szCs w:val="14"/>
                <w:color w:val="auto"/>
              </w:rPr>
              <w:t>Three Months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auto"/>
              </w:rPr>
              <w:t>Six Months Ended</w:t>
            </w:r>
          </w:p>
        </w:tc>
        <w:tc>
          <w:tcPr>
            <w:tcW w:w="920" w:type="dxa"/>
            <w:vAlign w:val="bottom"/>
          </w:tcPr>
          <w:p>
            <w:pPr>
              <w:spacing w:after="0"/>
              <w:rPr>
                <w:sz w:val="13"/>
                <w:szCs w:val="13"/>
                <w:color w:val="auto"/>
              </w:rPr>
            </w:pPr>
          </w:p>
        </w:tc>
      </w:tr>
      <w:tr>
        <w:trPr>
          <w:trHeight w:val="184"/>
        </w:trPr>
        <w:tc>
          <w:tcPr>
            <w:tcW w:w="48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809"/>
              <w:spacing w:after="0"/>
              <w:rPr>
                <w:sz w:val="20"/>
                <w:szCs w:val="20"/>
                <w:color w:val="auto"/>
              </w:rPr>
            </w:pPr>
            <w:r>
              <w:rPr>
                <w:rFonts w:ascii="Times New Roman" w:cs="Times New Roman" w:eastAsia="Times New Roman" w:hAnsi="Times New Roman"/>
                <w:sz w:val="14"/>
                <w:szCs w:val="14"/>
                <w:color w:val="auto"/>
              </w:rPr>
              <w:t>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89"/>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6"/>
                <w:szCs w:val="16"/>
                <w:color w:val="auto"/>
              </w:rPr>
            </w:pPr>
          </w:p>
        </w:tc>
      </w:tr>
      <w:tr>
        <w:trPr>
          <w:trHeight w:val="178"/>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2023</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58.9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116.8</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115.4</w:t>
            </w:r>
          </w:p>
        </w:tc>
      </w:tr>
      <w:tr>
        <w:trPr>
          <w:trHeight w:val="180"/>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1020" w:type="dxa"/>
            <w:vAlign w:val="bottom"/>
          </w:tcPr>
          <w:p>
            <w:pPr>
              <w:spacing w:after="0"/>
              <w:rPr>
                <w:sz w:val="15"/>
                <w:szCs w:val="15"/>
                <w:color w:val="auto"/>
              </w:rPr>
            </w:pP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12.1</w:t>
            </w:r>
          </w:p>
        </w:tc>
      </w:tr>
      <w:tr>
        <w:trPr>
          <w:trHeight w:val="18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unallocated items</w:t>
            </w:r>
          </w:p>
        </w:tc>
        <w:tc>
          <w:tcPr>
            <w:tcW w:w="10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46.9</w:t>
            </w:r>
          </w:p>
        </w:tc>
      </w:tr>
      <w:tr>
        <w:trPr>
          <w:trHeight w:val="171"/>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SG&amp;A costs</w:t>
            </w:r>
          </w:p>
        </w:tc>
        <w:tc>
          <w:tcPr>
            <w:tcW w:w="102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88.4</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169.7</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174.4</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8"/>
        </w:trPr>
        <w:tc>
          <w:tcPr>
            <w:tcW w:w="4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i w:val="1"/>
                <w:iCs w:val="1"/>
                <w:color w:val="auto"/>
              </w:rPr>
              <w:t>SG&amp;A as a % of net sales</w:t>
            </w:r>
          </w:p>
        </w:tc>
        <w:tc>
          <w:tcPr>
            <w:tcW w:w="10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11.8 %</w:t>
            </w: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11.7 %</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12.1 %</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11.9 %</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Consolidated SG&amp;A costs decreased by $5.4 million, or 6.1%, for the three months ended June 30, 2024, as compared to the same period in 2023, due primarily to a decrease in expense related to stock-based compensation, lower annual incentive compensation and a favorable foreign currency translation impact of $0.4 million, offset by increased compensation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Consolidated SG&amp;A costs decreased by $4.7 million, or 2.7%, for the six months ended June 30, 2024, as compared to the same period in 2023, due primarily to a decrease in expense related to stock-based compensation and a favorable foreign currency translation impact of $0.3 million, offset by increased compensation costs and increased costs related to professional services.</w:t>
      </w:r>
    </w:p>
    <w:p>
      <w:pPr>
        <w:spacing w:after="0" w:line="143"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Proprietary Products - </w:t>
      </w:r>
      <w:r>
        <w:rPr>
          <w:rFonts w:ascii="Times New Roman" w:cs="Times New Roman" w:eastAsia="Times New Roman" w:hAnsi="Times New Roman"/>
          <w:sz w:val="14"/>
          <w:szCs w:val="14"/>
          <w:color w:val="auto"/>
        </w:rPr>
        <w:t>Proprietary Products SG&amp;A costs decreased by $2.8 million, or 4.8%, for the three months ended June 30, 2024, as compared to the same period in 2023. Proprietary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Products SG&amp;A costs decreased primarily due to lower annual incentive compensation and a favorable foreign currency translation impact of $0.4 million, offset by increased compensation costs.</w:t>
      </w:r>
    </w:p>
    <w:p>
      <w:pPr>
        <w:spacing w:after="0" w:line="143"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Proprietary Products SG&amp;A costs increased by $1.4 million, or 1.2%, for the six months ended June 30, 2024, as compared to the same period in 2023. Proprietary Products SG&amp;A costs increased primarily due to increased compensation costs and an increase in costs related to professional services, offset by a favorable foreign currency translation impact of $0.3 million.</w:t>
      </w:r>
    </w:p>
    <w:p>
      <w:pPr>
        <w:spacing w:after="0" w:line="143"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Contract-Manufactured Products - </w:t>
      </w:r>
      <w:r>
        <w:rPr>
          <w:rFonts w:ascii="Times New Roman" w:cs="Times New Roman" w:eastAsia="Times New Roman" w:hAnsi="Times New Roman"/>
          <w:sz w:val="14"/>
          <w:szCs w:val="14"/>
          <w:color w:val="auto"/>
        </w:rPr>
        <w:t>Contract-Manufactured Products SG&amp;A costs increased by $0.1 million, or 1.6% for the three months ended June 30, 2024, as compared to the same period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2023, and increased by $0.3 million, or 2.5% for the six months ended June 30, 2024, as compared to the same period in 2023.</w:t>
      </w:r>
    </w:p>
    <w:p>
      <w:pPr>
        <w:spacing w:after="0" w:line="141"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Corporate and unallocated items - </w:t>
      </w:r>
      <w:r>
        <w:rPr>
          <w:rFonts w:ascii="Times New Roman" w:cs="Times New Roman" w:eastAsia="Times New Roman" w:hAnsi="Times New Roman"/>
          <w:sz w:val="14"/>
          <w:szCs w:val="14"/>
          <w:color w:val="auto"/>
        </w:rPr>
        <w:t>Corporate SG&amp;A costs decreased by $2.7 million, or 11.5%, for the three months ended June 30, 2024, as compared to the same period in 2023, primarily due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 decrease in expense related to stock-based compensation and lower annual incentive compensation, offset by increased compensation costs.</w:t>
      </w:r>
    </w:p>
    <w:p>
      <w:pPr>
        <w:spacing w:after="0" w:line="143"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Corporate SG&amp;A costs decreased by $6.4 million, or 13.6%, for the six months ended June 30, 2024, as compared to the same period in 2023, primarily due to a decrease in expense related to stock-based compensation, offset by increased compensation costs.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Expense (Income)</w:t>
            </w: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61"/>
        </w:trPr>
        <w:tc>
          <w:tcPr>
            <w:tcW w:w="78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following table presents other expense and income items, consolidated and by reportable segment, corporate and unallocated items: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0"/>
        </w:trPr>
        <w:tc>
          <w:tcPr>
            <w:tcW w:w="5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20" w:type="dxa"/>
            <w:vAlign w:val="bottom"/>
            <w:gridSpan w:val="3"/>
          </w:tcPr>
          <w:p>
            <w:pPr>
              <w:jc w:val="right"/>
              <w:ind w:right="509"/>
              <w:spacing w:after="0" w:line="159" w:lineRule="exact"/>
              <w:rPr>
                <w:sz w:val="20"/>
                <w:szCs w:val="20"/>
                <w:color w:val="auto"/>
              </w:rPr>
            </w:pPr>
            <w:r>
              <w:rPr>
                <w:rFonts w:ascii="Times New Roman" w:cs="Times New Roman" w:eastAsia="Times New Roman" w:hAnsi="Times New Roman"/>
                <w:sz w:val="14"/>
                <w:szCs w:val="14"/>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auto"/>
              </w:rPr>
              <w:t>Six Months Ended</w:t>
            </w:r>
          </w:p>
        </w:tc>
        <w:tc>
          <w:tcPr>
            <w:tcW w:w="880" w:type="dxa"/>
            <w:vAlign w:val="bottom"/>
          </w:tcPr>
          <w:p>
            <w:pPr>
              <w:spacing w:after="0"/>
              <w:rPr>
                <w:sz w:val="13"/>
                <w:szCs w:val="13"/>
                <w:color w:val="auto"/>
              </w:rPr>
            </w:pPr>
          </w:p>
        </w:tc>
      </w:tr>
      <w:tr>
        <w:trPr>
          <w:trHeight w:val="191"/>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 (Income)</w:t>
            </w:r>
          </w:p>
        </w:tc>
        <w:tc>
          <w:tcPr>
            <w:tcW w:w="9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869"/>
              <w:spacing w:after="0"/>
              <w:rPr>
                <w:sz w:val="20"/>
                <w:szCs w:val="20"/>
                <w:color w:val="auto"/>
              </w:rPr>
            </w:pPr>
            <w:r>
              <w:rPr>
                <w:rFonts w:ascii="Times New Roman" w:cs="Times New Roman" w:eastAsia="Times New Roman" w:hAnsi="Times New Roman"/>
                <w:sz w:val="14"/>
                <w:szCs w:val="14"/>
                <w:color w:val="auto"/>
              </w:rPr>
              <w:t>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249"/>
              <w:spacing w:after="0"/>
              <w:rPr>
                <w:sz w:val="20"/>
                <w:szCs w:val="20"/>
                <w:color w:val="auto"/>
              </w:rPr>
            </w:pPr>
            <w:r>
              <w:rPr>
                <w:rFonts w:ascii="Times New Roman" w:cs="Times New Roman" w:eastAsia="Times New Roman" w:hAnsi="Times New Roman"/>
                <w:sz w:val="14"/>
                <w:szCs w:val="14"/>
                <w:color w:val="auto"/>
              </w:rPr>
              <w:t>June 30,</w:t>
            </w:r>
          </w:p>
        </w:tc>
        <w:tc>
          <w:tcPr>
            <w:tcW w:w="880" w:type="dxa"/>
            <w:vAlign w:val="bottom"/>
            <w:tcBorders>
              <w:bottom w:val="single" w:sz="8" w:color="auto"/>
            </w:tcBorders>
          </w:tcPr>
          <w:p>
            <w:pPr>
              <w:spacing w:after="0"/>
              <w:rPr>
                <w:sz w:val="16"/>
                <w:szCs w:val="16"/>
                <w:color w:val="auto"/>
              </w:rPr>
            </w:pPr>
          </w:p>
        </w:tc>
      </w:tr>
      <w:tr>
        <w:trPr>
          <w:trHeight w:val="171"/>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2023</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c>
          <w:tcPr>
            <w:tcW w:w="98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center"/>
              <w:ind w:left="229"/>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center"/>
              <w:ind w:left="89"/>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center"/>
              <w:ind w:left="169"/>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80"/>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980" w:type="dxa"/>
            <w:vAlign w:val="bottom"/>
          </w:tcPr>
          <w:p>
            <w:pPr>
              <w:spacing w:after="0"/>
              <w:rPr>
                <w:sz w:val="15"/>
                <w:szCs w:val="15"/>
                <w:color w:val="auto"/>
              </w:rPr>
            </w:pPr>
          </w:p>
        </w:tc>
        <w:tc>
          <w:tcPr>
            <w:tcW w:w="600" w:type="dxa"/>
            <w:vAlign w:val="bottom"/>
          </w:tcPr>
          <w:p>
            <w:pPr>
              <w:jc w:val="center"/>
              <w:ind w:left="209"/>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w w:val="96"/>
              </w:rPr>
              <w:t>(0.6)</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unallocated</w:t>
            </w:r>
          </w:p>
        </w:tc>
        <w:tc>
          <w:tcPr>
            <w:tcW w:w="9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center"/>
              <w:ind w:left="229"/>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center"/>
              <w:ind w:left="89"/>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center"/>
              <w:ind w:left="169"/>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71"/>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other expense (income)</w:t>
            </w:r>
          </w:p>
        </w:tc>
        <w:tc>
          <w:tcPr>
            <w:tcW w:w="98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center"/>
              <w:ind w:left="229"/>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center"/>
              <w:ind w:left="89"/>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center"/>
              <w:ind w:left="169"/>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20"/>
        </w:trPr>
        <w:tc>
          <w:tcPr>
            <w:tcW w:w="5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Other expense and income items consist of a loss on disposal of plant, asset impairments, foreign exchange transaction gains and losses, contingent consideration and miscellaneous income and charges.</w:t>
      </w:r>
    </w:p>
    <w:p>
      <w:pPr>
        <w:spacing w:after="0" w:line="145"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Consolidated other expense (income) changed by $0.7 million for the three months ended June 30, 2024, as compared to the same period in 2023, and changed by $10.5 million for the six months ended June 30, 2024, as compared to the same period in 2023, due to the factors described below.</w:t>
      </w:r>
    </w:p>
    <w:p>
      <w:pPr>
        <w:spacing w:after="0" w:line="143"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Proprietary Products - </w:t>
      </w:r>
      <w:r>
        <w:rPr>
          <w:rFonts w:ascii="Times New Roman" w:cs="Times New Roman" w:eastAsia="Times New Roman" w:hAnsi="Times New Roman"/>
          <w:sz w:val="14"/>
          <w:szCs w:val="14"/>
          <w:color w:val="auto"/>
        </w:rPr>
        <w:t>Proprietary Products other expense (income) changed by $0.6 million for the three months ended June 30, 2024, as compared to the same period in 2023, primarily due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increased losses on foreign exchange transactions being recorded in the three months ended June 30, 2024, as compared to the same period in 2023. This was offset by an increase in asset impairments recorded in the three months ended June 30, 2023, as compared to the same period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Proprietary Products other expense (income) changed by $0.4 million for the six months ended June 30, 2024, as compared to the same period in 2023, primarily due to additional asset impairments being recorded in the six months ended June 30, 2023, as compared to the same period in 2024. This was offset by increased losses on foreign exchange transactions and increased contingent consideration expense being recorded in the six months ended June 30, 2024, as compared to the same period in 2023.</w:t>
      </w:r>
    </w:p>
    <w:p>
      <w:pPr>
        <w:spacing w:after="0" w:line="155"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Contract-Manufactured Products - </w:t>
      </w:r>
      <w:r>
        <w:rPr>
          <w:rFonts w:ascii="Times New Roman" w:cs="Times New Roman" w:eastAsia="Times New Roman" w:hAnsi="Times New Roman"/>
          <w:sz w:val="14"/>
          <w:szCs w:val="14"/>
          <w:color w:val="auto"/>
        </w:rPr>
        <w:t>Contract-Manufactured Products other expense (income) changed by $0.3 million for the three months ended June 30, 2024, as compared to the same period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2023 and changed by $0.6 million for the six months ended June 30, 2024, as compared to the same period in 2023.</w:t>
      </w:r>
    </w:p>
    <w:p>
      <w:pPr>
        <w:spacing w:after="0" w:line="14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Corporate and unallocated items - </w:t>
      </w:r>
      <w:r>
        <w:rPr>
          <w:rFonts w:ascii="Times New Roman" w:cs="Times New Roman" w:eastAsia="Times New Roman" w:hAnsi="Times New Roman"/>
          <w:sz w:val="14"/>
          <w:szCs w:val="14"/>
          <w:color w:val="auto"/>
        </w:rPr>
        <w:t>Corporate and unallocated items changed by $1.0 million for the three months ended June 30, 2024, as compared to the same period in 2023, primarily due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recording expense of $2.2 million as a result of the sale of one of the Company’s manufacturing facilities within the Proprietary Products segment, offset by the Company recording a benefit of $0.8 million for revised estimates associated with its restructuring plans in the three months ended June 30, 2023 that did not repeat in 2024.</w:t>
      </w:r>
    </w:p>
    <w:p>
      <w:pPr>
        <w:spacing w:after="0" w:line="157"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Corporate and unallocated items changed by $9.5 million for the six months ended June 30, 2024, as compared to the same period in 2023, primarily due to the Company recording expense of $11.6 million as a result of the sale of one of the Company’s manufacturing facilities within the Proprietary Products segment, offset by the Company recording a benefit of $0.8 million for revised estimates associated with its restructuring plans in the six months ended June 30, 2023 that did not repeat in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75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following table presents adjusted operating profit, consolidated and by reportable segment, corporate and unallocated items: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60" w:type="dxa"/>
            <w:vAlign w:val="bottom"/>
            <w:gridSpan w:val="3"/>
          </w:tcPr>
          <w:p>
            <w:pPr>
              <w:jc w:val="right"/>
              <w:ind w:right="429"/>
              <w:spacing w:after="0" w:line="159" w:lineRule="exact"/>
              <w:rPr>
                <w:sz w:val="20"/>
                <w:szCs w:val="20"/>
                <w:color w:val="auto"/>
              </w:rPr>
            </w:pPr>
            <w:r>
              <w:rPr>
                <w:rFonts w:ascii="Times New Roman" w:cs="Times New Roman" w:eastAsia="Times New Roman" w:hAnsi="Times New Roman"/>
                <w:sz w:val="14"/>
                <w:szCs w:val="14"/>
                <w:color w:val="auto"/>
              </w:rPr>
              <w:t>Three Months Ended</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gridSpan w:val="3"/>
          </w:tcPr>
          <w:p>
            <w:pPr>
              <w:ind w:left="80"/>
              <w:spacing w:after="0" w:line="159" w:lineRule="exact"/>
              <w:rPr>
                <w:sz w:val="20"/>
                <w:szCs w:val="20"/>
                <w:color w:val="auto"/>
              </w:rPr>
            </w:pPr>
            <w:r>
              <w:rPr>
                <w:rFonts w:ascii="Times New Roman" w:cs="Times New Roman" w:eastAsia="Times New Roman" w:hAnsi="Times New Roman"/>
                <w:sz w:val="14"/>
                <w:szCs w:val="14"/>
                <w:color w:val="auto"/>
              </w:rPr>
              <w:t>Six Months Ended</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8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789"/>
              <w:spacing w:after="0"/>
              <w:rPr>
                <w:sz w:val="20"/>
                <w:szCs w:val="20"/>
                <w:color w:val="auto"/>
              </w:rPr>
            </w:pPr>
            <w:r>
              <w:rPr>
                <w:rFonts w:ascii="Times New Roman" w:cs="Times New Roman" w:eastAsia="Times New Roman" w:hAnsi="Times New Roman"/>
                <w:sz w:val="14"/>
                <w:szCs w:val="14"/>
                <w:color w:val="auto"/>
              </w:rPr>
              <w:t>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269"/>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2023</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7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Proprietary Products</w:t>
            </w: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131.0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194.2</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257.3</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364.9</w:t>
            </w:r>
          </w:p>
        </w:tc>
        <w:tc>
          <w:tcPr>
            <w:tcW w:w="0" w:type="dxa"/>
            <w:vAlign w:val="bottom"/>
          </w:tcPr>
          <w:p>
            <w:pPr>
              <w:spacing w:after="0"/>
              <w:rPr>
                <w:sz w:val="1"/>
                <w:szCs w:val="1"/>
                <w:color w:val="auto"/>
              </w:rPr>
            </w:pPr>
          </w:p>
        </w:tc>
      </w:tr>
      <w:tr>
        <w:trPr>
          <w:trHeight w:val="180"/>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Contract-Manufactured Products</w:t>
            </w:r>
          </w:p>
        </w:tc>
        <w:tc>
          <w:tcPr>
            <w:tcW w:w="1000" w:type="dxa"/>
            <w:vAlign w:val="bottom"/>
          </w:tcPr>
          <w:p>
            <w:pPr>
              <w:spacing w:after="0"/>
              <w:rPr>
                <w:sz w:val="15"/>
                <w:szCs w:val="15"/>
                <w:color w:val="auto"/>
              </w:rPr>
            </w:pPr>
          </w:p>
        </w:tc>
        <w:tc>
          <w:tcPr>
            <w:tcW w:w="6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32.3</w:t>
            </w:r>
          </w:p>
        </w:tc>
        <w:tc>
          <w:tcPr>
            <w:tcW w:w="0" w:type="dxa"/>
            <w:vAlign w:val="bottom"/>
          </w:tcPr>
          <w:p>
            <w:pPr>
              <w:spacing w:after="0"/>
              <w:rPr>
                <w:sz w:val="1"/>
                <w:szCs w:val="1"/>
                <w:color w:val="auto"/>
              </w:rPr>
            </w:pPr>
          </w:p>
        </w:tc>
      </w:tr>
      <w:tr>
        <w:trPr>
          <w:trHeight w:val="18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unallocated items</w:t>
            </w:r>
          </w:p>
        </w:tc>
        <w:tc>
          <w:tcPr>
            <w:tcW w:w="10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(59.4)</w:t>
            </w:r>
          </w:p>
        </w:tc>
        <w:tc>
          <w:tcPr>
            <w:tcW w:w="0" w:type="dxa"/>
            <w:vAlign w:val="bottom"/>
          </w:tcPr>
          <w:p>
            <w:pPr>
              <w:spacing w:after="0"/>
              <w:rPr>
                <w:sz w:val="1"/>
                <w:szCs w:val="1"/>
                <w:color w:val="auto"/>
              </w:rPr>
            </w:pPr>
          </w:p>
        </w:tc>
      </w:tr>
      <w:tr>
        <w:trPr>
          <w:trHeight w:val="171"/>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operating profit</w:t>
            </w:r>
          </w:p>
        </w:tc>
        <w:tc>
          <w:tcPr>
            <w:tcW w:w="1000" w:type="dxa"/>
            <w:vAlign w:val="bottom"/>
            <w:tcBorders>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126.2</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182.5</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249.0</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337.8</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operating profit margin</w:t>
            </w:r>
          </w:p>
        </w:tc>
        <w:tc>
          <w:tcPr>
            <w:tcW w:w="10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18.0 %</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24.2 %</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17.8 %</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Unallocated items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20" w:type="dxa"/>
            <w:vAlign w:val="bottom"/>
            <w:tcBorders>
              <w:bottom w:val="single" w:sz="8" w:color="CCEEFF"/>
            </w:tcBorders>
            <w:vMerge w:val="continue"/>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09"/>
              <w:spacing w:after="0" w:line="143" w:lineRule="exact"/>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89"/>
              <w:spacing w:after="0" w:line="143"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89"/>
              <w:spacing w:after="0" w:line="143" w:lineRule="exact"/>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09"/>
              <w:spacing w:after="0" w:line="143" w:lineRule="exact"/>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consolidated operating profit</w:t>
            </w: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126.4</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185.0</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249.4</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349.9</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2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Adjusted consolidated operating profit margin</w:t>
            </w:r>
          </w:p>
        </w:tc>
        <w:tc>
          <w:tcPr>
            <w:tcW w:w="10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18.0 %</w:t>
            </w:r>
          </w:p>
        </w:tc>
        <w:tc>
          <w:tcPr>
            <w:tcW w:w="10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24.5 %</w:t>
            </w:r>
          </w:p>
        </w:tc>
        <w:tc>
          <w:tcPr>
            <w:tcW w:w="10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17.8 %</w:t>
            </w:r>
          </w:p>
        </w:tc>
        <w:tc>
          <w:tcPr>
            <w:tcW w:w="1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23.8 %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Consolidated operating profit decreased by $56.3 million, or 30.8%, for the three months ended June 30, 2024, as compared to the same period in 2023, including an unfavorable foreign currency translation impact of $1.9 million for the three months ended June 30, 2024, as compared to the same period in 2023.</w:t>
      </w:r>
    </w:p>
    <w:p>
      <w:pPr>
        <w:spacing w:after="0" w:line="145"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Consolidated operating profit decreased by $88.8 million, or 26.3%, for the six months ended June 30, 2024, as compared to the same period in 2023, including an unfavorable foreign currency translation impact of $0.6 million for the six months ended June 30, 2024, as compared to the same period in 2023.</w:t>
      </w:r>
    </w:p>
    <w:p>
      <w:pPr>
        <w:spacing w:after="0" w:line="143"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Proprietary Products - </w:t>
      </w:r>
      <w:r>
        <w:rPr>
          <w:rFonts w:ascii="Times New Roman" w:cs="Times New Roman" w:eastAsia="Times New Roman" w:hAnsi="Times New Roman"/>
          <w:sz w:val="14"/>
          <w:szCs w:val="14"/>
          <w:color w:val="auto"/>
        </w:rPr>
        <w:t>Proprietary Products operating profit decreased by $63.2 million, or 32.5%, for the three months ended June 30, 2024, as compared to the same period in 2023, including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unfavorable foreign currency translation impact of $1.7 million, due to the factors described above, most notably lower gross profit driven by lower sales volume and an unfavorable mix of products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Proprietary Products operating profit decreased by $107.6 million, or 29.5%, for the six months ended June 30, 2024, as compared to the same period in 2023, including an unfavorable foreign currency translation impact of $0.6 million, due to the factors described above, most notably lower gross profit driven by lower sales volume and an unfavorable mix of products sold.</w:t>
      </w:r>
    </w:p>
    <w:p>
      <w:pPr>
        <w:spacing w:after="0" w:line="143"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Contract-Manufactured Products - </w:t>
      </w:r>
      <w:r>
        <w:rPr>
          <w:rFonts w:ascii="Times New Roman" w:cs="Times New Roman" w:eastAsia="Times New Roman" w:hAnsi="Times New Roman"/>
          <w:sz w:val="14"/>
          <w:szCs w:val="14"/>
          <w:color w:val="auto"/>
        </w:rPr>
        <w:t>Contract-Manufactured Products operating profit increased by $2.3 million, or 15.4%, for the three months ended June 30, 2024, as compared to the same period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2023, including an unfavorable foreign currency translation impact of $0.2 million, due to the factors described above, most notably the increased sales prices.</w:t>
      </w:r>
    </w:p>
    <w:p>
      <w:pPr>
        <w:spacing w:after="0" w:line="143"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Contract-Manufactured Products operating profit increased by $2.0 million, or 6.2%, for the six months ended June 30, 2024, as compared to the same period in 2023, due to the factors described above, most notably the increased sales prices.</w:t>
      </w:r>
    </w:p>
    <w:p>
      <w:pPr>
        <w:spacing w:after="0" w:line="143" w:lineRule="exact"/>
        <w:rPr>
          <w:sz w:val="20"/>
          <w:szCs w:val="20"/>
          <w:color w:val="auto"/>
        </w:rPr>
      </w:pPr>
    </w:p>
    <w:p>
      <w:pPr>
        <w:ind w:right="34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Corporate and unallocated - </w:t>
      </w:r>
      <w:r>
        <w:rPr>
          <w:rFonts w:ascii="Times New Roman" w:cs="Times New Roman" w:eastAsia="Times New Roman" w:hAnsi="Times New Roman"/>
          <w:sz w:val="14"/>
          <w:szCs w:val="14"/>
          <w:color w:val="auto"/>
        </w:rPr>
        <w:t>Excluding the unallocated items, Corporate costs decreased by $2.3 million, or 9.5%, for the three months ended June 30, 2024, as compared to the same period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2023, due to the factors described above, most notably the decrease in expense related to stock-based compensation.</w:t>
      </w:r>
    </w:p>
    <w:p>
      <w:pPr>
        <w:spacing w:after="0" w:line="143"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Excluding the unallocated items, Corporate costs decreased by $5.1 million, or 10.8%, for the six months ended June 30, 2024, as compared to the same period in 2023, due to the factors described above, most notably the decrease in expense related to stock-based compensation.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unallocated items, please refer to the Financial Performance Summary section above for details.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Expense, Net and Interest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interest expense, net, and interest income by significant component:</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880" w:type="dxa"/>
            <w:vAlign w:val="bottom"/>
          </w:tcPr>
          <w:p>
            <w:pPr>
              <w:spacing w:after="0"/>
              <w:rPr>
                <w:sz w:val="13"/>
                <w:szCs w:val="13"/>
                <w:color w:val="auto"/>
              </w:rPr>
            </w:pPr>
          </w:p>
        </w:tc>
      </w:tr>
      <w:tr>
        <w:trPr>
          <w:trHeight w:val="184"/>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349"/>
              <w:spacing w:after="0"/>
              <w:rPr>
                <w:sz w:val="20"/>
                <w:szCs w:val="20"/>
                <w:color w:val="auto"/>
              </w:rPr>
            </w:pPr>
            <w:r>
              <w:rPr>
                <w:rFonts w:ascii="Times New Roman" w:cs="Times New Roman" w:eastAsia="Times New Roman" w:hAnsi="Times New Roman"/>
                <w:sz w:val="14"/>
                <w:szCs w:val="14"/>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49"/>
              <w:spacing w:after="0"/>
              <w:rPr>
                <w:sz w:val="20"/>
                <w:szCs w:val="20"/>
                <w:color w:val="auto"/>
              </w:rPr>
            </w:pPr>
            <w:r>
              <w:rPr>
                <w:rFonts w:ascii="Times New Roman" w:cs="Times New Roman" w:eastAsia="Times New Roman" w:hAnsi="Times New Roman"/>
                <w:sz w:val="14"/>
                <w:szCs w:val="14"/>
                <w:color w:val="auto"/>
              </w:rPr>
              <w:t>June 30,</w:t>
            </w:r>
          </w:p>
        </w:tc>
        <w:tc>
          <w:tcPr>
            <w:tcW w:w="880" w:type="dxa"/>
            <w:vAlign w:val="bottom"/>
            <w:tcBorders>
              <w:bottom w:val="single" w:sz="8" w:color="auto"/>
            </w:tcBorders>
          </w:tcPr>
          <w:p>
            <w:pPr>
              <w:spacing w:after="0"/>
              <w:rPr>
                <w:sz w:val="16"/>
                <w:szCs w:val="16"/>
                <w:color w:val="auto"/>
              </w:rPr>
            </w:pPr>
          </w:p>
        </w:tc>
      </w:tr>
      <w:tr>
        <w:trPr>
          <w:trHeight w:val="178"/>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center"/>
              <w:ind w:left="849"/>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center"/>
              <w:ind w:left="609"/>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7.3</w:t>
            </w:r>
          </w:p>
        </w:tc>
      </w:tr>
      <w:tr>
        <w:trPr>
          <w:trHeight w:val="18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Capitalized interest</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left="829"/>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left="589"/>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left="509"/>
              <w:spacing w:after="0"/>
              <w:rPr>
                <w:sz w:val="20"/>
                <w:szCs w:val="20"/>
                <w:color w:val="auto"/>
              </w:rPr>
            </w:pPr>
            <w:r>
              <w:rPr>
                <w:rFonts w:ascii="Times New Roman" w:cs="Times New Roman" w:eastAsia="Times New Roman" w:hAnsi="Times New Roman"/>
                <w:sz w:val="14"/>
                <w:szCs w:val="14"/>
                <w:color w:val="auto"/>
                <w:w w:val="96"/>
              </w:rPr>
              <w:t>(2.4)</w:t>
            </w:r>
          </w:p>
        </w:tc>
      </w:tr>
      <w:tr>
        <w:trPr>
          <w:trHeight w:val="196"/>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center"/>
              <w:ind w:left="849"/>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center"/>
              <w:ind w:left="609"/>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4.9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58"/>
        </w:trPr>
        <w:tc>
          <w:tcPr>
            <w:tcW w:w="50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196"/>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center"/>
              <w:ind w:left="829"/>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w w:val="96"/>
              </w:rPr>
              <w:t>(9.8)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Interest expense, net, decreased by $1.2 million, for the three months ended June 30, 2024, as compared to the same period in 2023, and decreased by $1.8 million, for the six months ended June 30, 2024, as compared to the same period in 2023, due to an increase in capitalized interest.</w:t>
      </w:r>
    </w:p>
    <w:p>
      <w:pPr>
        <w:spacing w:after="0" w:line="145"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Interest income decreased by $1.0 million for the three months ended June 30, 2024, as compared to the same period in 2023, primarily due to the Company having a lower average cash balance in three months ended June 30, 2024, as compared to the same period in 2023. Interest income increased by $0.4 million for the six months ended June 30, 2024, as compared to the same period in 2023, due primarily from 2024 investments in liquid low-risk money market funds or bank deposits in the U.S., Europe, and South America yielding higher interest rates compared to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 Expense</w:t>
      </w:r>
    </w:p>
    <w:p>
      <w:pPr>
        <w:spacing w:after="0" w:line="25"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4"/>
          <w:szCs w:val="14"/>
          <w:color w:val="auto"/>
        </w:rPr>
        <w:t>The provision for income taxes was $21.9 million and $34.8 million for the three months ended June 30, 2024 and 2023, respectively, and the effective tax rate was 17.0% and 18.8%, respectively. The decrease in the effective tax rate is primarily due to a shift in the forecasted geographic earnings mix, offset by a decrease in the tax benefit related to stock-based compensation for the three months ended June 30, 2024 as compared to the same period in 2023.</w:t>
      </w:r>
    </w:p>
    <w:p>
      <w:pPr>
        <w:spacing w:after="0" w:line="16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provision for income taxes was $38.3 million and $58.4 million for the six months ended June 30, 2024 and 2023, respectively, and the effective tax rate was 15.0% and 17.0%, respectively. The decrease in the effective tax rate is primarily due to a shift in the forecasted geographic earnings mix, offset by a decrease in the tax benefit related to stock-based compensation for the for the six months ended June 30, 2024, as compared to the same period in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in Net Income of Affiliated Companies</w:t>
      </w:r>
    </w:p>
    <w:p>
      <w:pPr>
        <w:spacing w:after="0" w:line="20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Equity in net income of affiliated companies decreased by $0.5 million for the three months ended June 30, 2024, as compared to the same period in 2023, due to less favorable operating results at Daikyo.</w:t>
      </w:r>
    </w:p>
    <w:p>
      <w:pPr>
        <w:spacing w:after="0" w:line="145"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Equity in net income of affiliated companies decreased by $1.9 million for the six months ended June 30, 2024, as compared to the same period in 2023, due to less favorable operating results at Daikyo.</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CONDITION, LIQUIDITY AND CAPITAL RESOURCES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61"/>
        </w:trPr>
        <w:tc>
          <w:tcPr>
            <w:tcW w:w="8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1"/>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cash flow data for the six months ended June 30:</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2"/>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center"/>
              <w:ind w:left="729"/>
              <w:spacing w:after="0"/>
              <w:rPr>
                <w:sz w:val="20"/>
                <w:szCs w:val="20"/>
                <w:color w:val="auto"/>
              </w:rPr>
            </w:pPr>
            <w:r>
              <w:rPr>
                <w:rFonts w:ascii="Times New Roman" w:cs="Times New Roman" w:eastAsia="Times New Roman" w:hAnsi="Times New Roman"/>
                <w:sz w:val="14"/>
                <w:szCs w:val="14"/>
                <w:color w:val="auto"/>
              </w:rPr>
              <w:t>283.2</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center"/>
              <w:ind w:left="689"/>
              <w:spacing w:after="0"/>
              <w:rPr>
                <w:sz w:val="20"/>
                <w:szCs w:val="20"/>
                <w:color w:val="auto"/>
              </w:rPr>
            </w:pPr>
            <w:r>
              <w:rPr>
                <w:rFonts w:ascii="Times New Roman" w:cs="Times New Roman" w:eastAsia="Times New Roman" w:hAnsi="Times New Roman"/>
                <w:sz w:val="14"/>
                <w:szCs w:val="14"/>
                <w:color w:val="auto"/>
              </w:rPr>
              <w:t>307.3</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center"/>
              <w:ind w:left="689"/>
              <w:spacing w:after="0"/>
              <w:rPr>
                <w:sz w:val="20"/>
                <w:szCs w:val="20"/>
                <w:color w:val="auto"/>
              </w:rPr>
            </w:pPr>
            <w:r>
              <w:rPr>
                <w:rFonts w:ascii="Times New Roman" w:cs="Times New Roman" w:eastAsia="Times New Roman" w:hAnsi="Times New Roman"/>
                <w:sz w:val="14"/>
                <w:szCs w:val="14"/>
                <w:color w:val="auto"/>
                <w:w w:val="97"/>
              </w:rPr>
              <w:t>(191.8)</w:t>
            </w:r>
          </w:p>
        </w:tc>
        <w:tc>
          <w:tcPr>
            <w:tcW w:w="12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center"/>
              <w:ind w:left="669"/>
              <w:spacing w:after="0"/>
              <w:rPr>
                <w:sz w:val="20"/>
                <w:szCs w:val="20"/>
                <w:color w:val="auto"/>
              </w:rPr>
            </w:pPr>
            <w:r>
              <w:rPr>
                <w:rFonts w:ascii="Times New Roman" w:cs="Times New Roman" w:eastAsia="Times New Roman" w:hAnsi="Times New Roman"/>
                <w:sz w:val="14"/>
                <w:szCs w:val="14"/>
                <w:color w:val="auto"/>
              </w:rPr>
              <w:t>(164.2)</w:t>
            </w: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center"/>
              <w:ind w:left="689"/>
              <w:spacing w:after="0"/>
              <w:rPr>
                <w:sz w:val="20"/>
                <w:szCs w:val="20"/>
                <w:color w:val="auto"/>
              </w:rPr>
            </w:pPr>
            <w:r>
              <w:rPr>
                <w:rFonts w:ascii="Times New Roman" w:cs="Times New Roman" w:eastAsia="Times New Roman" w:hAnsi="Times New Roman"/>
                <w:sz w:val="14"/>
                <w:szCs w:val="14"/>
                <w:color w:val="auto"/>
                <w:w w:val="97"/>
              </w:rPr>
              <w:t>(489.3)</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rPr>
              <w:t>(247.8)</w:t>
            </w:r>
          </w:p>
        </w:tc>
      </w:tr>
    </w:tbl>
    <w:p>
      <w:pPr>
        <w:spacing w:after="0" w:line="249"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Net Cash Provided by Operating Activities – </w:t>
      </w:r>
      <w:r>
        <w:rPr>
          <w:rFonts w:ascii="Times New Roman" w:cs="Times New Roman" w:eastAsia="Times New Roman" w:hAnsi="Times New Roman"/>
          <w:sz w:val="14"/>
          <w:szCs w:val="14"/>
          <w:color w:val="auto"/>
        </w:rPr>
        <w:t>Net cash provided by operating activities decreased by $24.1 million for the six months ended June 30, 2024, as compared to the same period in 2023,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primarily due to a decline in operating results, offset by favorable working capital management.</w:t>
      </w:r>
    </w:p>
    <w:p>
      <w:pPr>
        <w:spacing w:after="0" w:line="141"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Net Cash Used in Investing Activities – </w:t>
      </w:r>
      <w:r>
        <w:rPr>
          <w:rFonts w:ascii="Times New Roman" w:cs="Times New Roman" w:eastAsia="Times New Roman" w:hAnsi="Times New Roman"/>
          <w:sz w:val="14"/>
          <w:szCs w:val="14"/>
          <w:color w:val="auto"/>
        </w:rPr>
        <w:t>Net cash used in investing activities increased by $27.6 million for the six months ended June 30, 2024, as compared to the same period in 2023, due to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increase in capital expenditures for additional manufacturing capacity to meet customer demand.</w:t>
      </w:r>
    </w:p>
    <w:p>
      <w:pPr>
        <w:spacing w:after="0" w:line="141"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Net Cash Used in Financing Activities – </w:t>
      </w:r>
      <w:r>
        <w:rPr>
          <w:rFonts w:ascii="Times New Roman" w:cs="Times New Roman" w:eastAsia="Times New Roman" w:hAnsi="Times New Roman"/>
          <w:sz w:val="14"/>
          <w:szCs w:val="14"/>
          <w:color w:val="auto"/>
        </w:rPr>
        <w:t>Net cash used in financing activities increased by $241.5 million for the six months ended June 30, 2024, as compared to the same period in 2023, primarily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due to an increase in purchases under our share repurchase program in 2024, as compared to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61"/>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The table below presents selected liquidity and capital measures: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0"/>
        </w:trPr>
        <w:tc>
          <w:tcPr>
            <w:tcW w:w="8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tcPr>
          <w:p>
            <w:pPr>
              <w:ind w:left="220"/>
              <w:spacing w:after="0" w:line="159" w:lineRule="exact"/>
              <w:rPr>
                <w:sz w:val="20"/>
                <w:szCs w:val="20"/>
                <w:color w:val="auto"/>
              </w:rPr>
            </w:pPr>
            <w:r>
              <w:rPr>
                <w:rFonts w:ascii="Times New Roman" w:cs="Times New Roman" w:eastAsia="Times New Roman" w:hAnsi="Times New Roman"/>
                <w:sz w:val="14"/>
                <w:szCs w:val="14"/>
                <w:color w:val="auto"/>
              </w:rPr>
              <w:t>June 30,</w:t>
            </w:r>
          </w:p>
        </w:tc>
        <w:tc>
          <w:tcPr>
            <w:tcW w:w="220" w:type="dxa"/>
            <w:vAlign w:val="bottom"/>
          </w:tcPr>
          <w:p>
            <w:pPr>
              <w:spacing w:after="0"/>
              <w:rPr>
                <w:sz w:val="13"/>
                <w:szCs w:val="13"/>
                <w:color w:val="auto"/>
              </w:rPr>
            </w:pPr>
          </w:p>
        </w:tc>
        <w:tc>
          <w:tcPr>
            <w:tcW w:w="1340" w:type="dxa"/>
            <w:vAlign w:val="bottom"/>
          </w:tcPr>
          <w:p>
            <w:pPr>
              <w:jc w:val="right"/>
              <w:ind w:right="309"/>
              <w:spacing w:after="0" w:line="159" w:lineRule="exact"/>
              <w:rPr>
                <w:sz w:val="20"/>
                <w:szCs w:val="20"/>
                <w:color w:val="auto"/>
              </w:rPr>
            </w:pPr>
            <w:r>
              <w:rPr>
                <w:rFonts w:ascii="Times New Roman" w:cs="Times New Roman" w:eastAsia="Times New Roman" w:hAnsi="Times New Roman"/>
                <w:sz w:val="14"/>
                <w:szCs w:val="14"/>
                <w:color w:val="auto"/>
              </w:rPr>
              <w:t>December 31,</w:t>
            </w:r>
          </w:p>
        </w:tc>
      </w:tr>
      <w:tr>
        <w:trPr>
          <w:trHeight w:val="191"/>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853.9</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479.4</w:t>
            </w:r>
          </w:p>
        </w:tc>
        <w:tc>
          <w:tcPr>
            <w:tcW w:w="12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512.0</w:t>
            </w: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Inventories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434.7</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211.7</w:t>
            </w:r>
          </w:p>
        </w:tc>
        <w:tc>
          <w:tcPr>
            <w:tcW w:w="12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242.4</w:t>
            </w: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2,576.8</w:t>
            </w:r>
          </w:p>
        </w:tc>
        <w:tc>
          <w:tcPr>
            <w:tcW w:w="12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2,881.0</w:t>
            </w: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Working capital</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1,264.6</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and cash equivalents include all instruments that have maturities of ninety days or less when purchased. Working capital is defined as current assets less current liabilities.</w:t>
      </w:r>
    </w:p>
    <w:p>
      <w:pPr>
        <w:spacing w:after="0" w:line="198"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Cash and cash equivalents – </w:t>
      </w:r>
      <w:r>
        <w:rPr>
          <w:rFonts w:ascii="Times New Roman" w:cs="Times New Roman" w:eastAsia="Times New Roman" w:hAnsi="Times New Roman"/>
          <w:sz w:val="14"/>
          <w:szCs w:val="14"/>
          <w:color w:val="auto"/>
        </w:rPr>
        <w:t>Our cash and cash equivalents balance at June 30, 2024 consisted of cash held in depository accounts with banks around the world and cash invested in high-quality,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short-term investments. The cash and cash equivalents balance at June 30, 2024 included $140.9 million of cash held by subsidiaries within the U.S., and $305.3 million of cash held by subsidiaries outside of the U.S. During the six months ended June 30, 2024, we purchased 1,239,015 shares of our common stock under the share repurchase program at a cost of $454.1 million, or an average price of $366.53 per share.</w:t>
      </w:r>
    </w:p>
    <w:p>
      <w:pPr>
        <w:spacing w:after="0" w:line="159"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Working capital – </w:t>
      </w:r>
      <w:r>
        <w:rPr>
          <w:rFonts w:ascii="Times New Roman" w:cs="Times New Roman" w:eastAsia="Times New Roman" w:hAnsi="Times New Roman"/>
          <w:sz w:val="14"/>
          <w:szCs w:val="14"/>
          <w:color w:val="auto"/>
        </w:rPr>
        <w:t>Working capital at June 30, 2024 decreased by $415.3 million, or 32.8%, as compared to December 31, 2023, which includes an unfavorable foreign currently translation impact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$23.1 million. Excluding the impact of currency exchange rates, cash and cash equivalents, accounts receivable and total current liabilities decreased by $398.3 million, $22.7 million and $27.7 million, respectively.</w:t>
      </w:r>
    </w:p>
    <w:p>
      <w:pPr>
        <w:spacing w:after="0" w:line="15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decrease in cash and cash equivalents was due to capital expenditures and share repurchases, offset by cash from operations during the six months ended June 30, 2024. The decrease in accounts receivable is primarily due to reduced net sales leading up to the June 30, 2024 balance sheet date as compared to the December 31, 2023 balance sheet date. The decrease in total current liabilities was primarily caused by a decline in accounts payable and the payout of the 2023 annual incentive plan accrual during the six months ended June 30,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Debt and credit facilities – </w:t>
      </w:r>
      <w:r>
        <w:rPr>
          <w:rFonts w:ascii="Times New Roman" w:cs="Times New Roman" w:eastAsia="Times New Roman" w:hAnsi="Times New Roman"/>
          <w:sz w:val="14"/>
          <w:szCs w:val="14"/>
          <w:color w:val="auto"/>
        </w:rPr>
        <w:t>The $1.0 million decrease in total debt at June 30, 2024, as compared to December 31, 2023, resulted from debt repayments under our Term Loan.</w:t>
      </w:r>
    </w:p>
    <w:p>
      <w:pPr>
        <w:spacing w:after="0" w:line="20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Our sources of liquidity include our Credit Facility. At June 30, 2024, we had no outstanding borrowings under the Credit Facility. At June 30, 2024, the borrowing capacity available under the Credit Facility, including outstanding letters of credit of $2.4 million, was $497.6 million. We do not expect any significant limitations on our ability to access this source of funds.</w:t>
      </w:r>
    </w:p>
    <w:p>
      <w:pPr>
        <w:spacing w:after="0" w:line="14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Pursuant to the financial covenants in our debt agreements, we are required to maintain established interest coverage ratios and not to exceed established leverage ratios. In addition, the agreements contain other customary covenants, none of which we consider restrictive to our operations. At June 30, 2024, we were in compliance with all of our debt covenants.</w:t>
      </w:r>
    </w:p>
    <w:p>
      <w:pPr>
        <w:spacing w:after="0" w:line="14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We believe that cash on hand and cash generated from operations, together with availability under our Credit Facility, will be adequate to address our foreseeable liquidity needs based on our current expectations of our business operations, capital expenditures and scheduled payments of debt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Commitments and Contractual Obligations</w:t>
      </w:r>
    </w:p>
    <w:p>
      <w:pPr>
        <w:spacing w:after="0" w:line="20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A summary of future material cash payments resulting from commitments and contractual obligations was provided in our 2023 Annual Report. During the three months ended June 30, 2024, there were no material changes outside of the ordinary course of business to our commitments and contractual obligations.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202"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At June 30, 2024, we had no off-balance sheet financing arrangements other than unconditional purchase obligations incurred in the ordinary course of business and outstanding letters of credit related to various insurance programs, as noted in our 2023 Annual Report.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changes to the Critical Accounting Policies and Estimates disclosed in Part II, Item 7 of our 2023 Annual Report.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 ACCOUNTING STANDARDS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There were no new accounting standards adopted during the three months ended June 30, 2024, see Note 2, </w:t>
      </w:r>
      <w:r>
        <w:rPr>
          <w:rFonts w:ascii="Times New Roman" w:cs="Times New Roman" w:eastAsia="Times New Roman" w:hAnsi="Times New Roman"/>
          <w:sz w:val="14"/>
          <w:szCs w:val="14"/>
          <w:i w:val="1"/>
          <w:iCs w:val="1"/>
          <w:u w:val="single" w:color="auto"/>
          <w:color w:val="0000FF"/>
        </w:rPr>
        <w:t>New Accounting Standards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disclosure and analysis in this Form 10-Q contains some forward-looking statements that are based on management’s beliefs and assumptions, current expectations, estimates and forecasts. We also provide forward-looking statements in other materials we release to the public, as well as oral forward-looking statements. Such statements provide our current expectations or forecasts of future events. They do not relate strictly to historical or current facts. We have attempted, wherever possible, to identify forward-looking statements by using words such as “plan,” “expect,” “believe,” “intend,” “will,” “estimate,” “continue” and other words of similar meaning in conjunction with, among other things, discussions of future operations and financial performance, as well as our strategy for growth, product development, market position and expenditures. All statements that address operating performance or events or developments that we expect or anticipate will occur in the future - including statements relating to sales and earnings per share growth, cash flows or uses, and statements expressing views about future operating results - are forward-looking statements.</w:t>
      </w:r>
    </w:p>
    <w:p>
      <w:pPr>
        <w:spacing w:after="0" w:line="167"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4"/>
          <w:szCs w:val="14"/>
          <w:color w:val="auto"/>
        </w:rPr>
        <w:t>Forward-looking statements are based on current expectations of future events. The forward-looking statements are, and will be, based on management’s then-current views and assumptions regarding future events and operating performance, and speak only as of their dates. Investors should realize that, if underlying assumptions prove inaccurate or unknown risks or uncertainties materialize, actual results could vary materially from our expectations and projections. Investors are therefore cautioned not to place undue reliance on any forward-looking statements.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are some important factors that could cause our actual results to differ from our expectations in any forward-looking statements:</w:t>
      </w:r>
    </w:p>
    <w:p>
      <w:pPr>
        <w:spacing w:after="0" w:line="136" w:lineRule="exact"/>
        <w:rPr>
          <w:sz w:val="20"/>
          <w:szCs w:val="20"/>
          <w:color w:val="auto"/>
        </w:rPr>
      </w:pPr>
    </w:p>
    <w:p>
      <w:pPr>
        <w:ind w:left="760" w:hanging="246"/>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demand and our ability to meet that demand;</w:t>
      </w:r>
    </w:p>
    <w:p>
      <w:pPr>
        <w:spacing w:after="0" w:line="136" w:lineRule="exact"/>
        <w:rPr>
          <w:rFonts w:ascii="Times New Roman" w:cs="Times New Roman" w:eastAsia="Times New Roman" w:hAnsi="Times New Roman"/>
          <w:sz w:val="14"/>
          <w:szCs w:val="14"/>
          <w:color w:val="auto"/>
        </w:rPr>
      </w:pPr>
    </w:p>
    <w:p>
      <w:pPr>
        <w:ind w:left="760" w:right="40" w:hanging="246"/>
        <w:spacing w:after="0" w:line="287" w:lineRule="auto"/>
        <w:tabs>
          <w:tab w:leader="none" w:pos="75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from other providers in our businesses, including customers’ in-house operations, and from lower-cost producers in emerging markets, which can impact unit volume, price and profitability;</w:t>
      </w:r>
    </w:p>
    <w:p>
      <w:pPr>
        <w:spacing w:after="0" w:line="8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customers’ changing inventory requirements and manufacturing plans that alter existing orders or ordering patterns for the products we supply to them;</w:t>
      </w:r>
    </w:p>
    <w:p>
      <w:pPr>
        <w:spacing w:after="0" w:line="136" w:lineRule="exact"/>
        <w:rPr>
          <w:rFonts w:ascii="Times New Roman" w:cs="Times New Roman" w:eastAsia="Times New Roman" w:hAnsi="Times New Roman"/>
          <w:sz w:val="14"/>
          <w:szCs w:val="14"/>
          <w:color w:val="auto"/>
        </w:rPr>
      </w:pPr>
    </w:p>
    <w:p>
      <w:pPr>
        <w:ind w:left="760" w:right="280" w:hanging="246"/>
        <w:spacing w:after="0" w:line="287" w:lineRule="auto"/>
        <w:tabs>
          <w:tab w:leader="none" w:pos="75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interruptions or weaknesses in our supply chain, including from reasons beyond our control such as extreme weather, longer-term climate changes, natural disasters, pandemic, war, accidental damage,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760" w:right="260"/>
        <w:spacing w:after="0" w:line="287" w:lineRule="auto"/>
        <w:rPr>
          <w:sz w:val="20"/>
          <w:szCs w:val="20"/>
          <w:color w:val="auto"/>
        </w:rPr>
      </w:pPr>
      <w:r>
        <w:rPr>
          <w:rFonts w:ascii="Times New Roman" w:cs="Times New Roman" w:eastAsia="Times New Roman" w:hAnsi="Times New Roman"/>
          <w:sz w:val="14"/>
          <w:szCs w:val="14"/>
          <w:color w:val="auto"/>
        </w:rPr>
        <w:t>unauthorized access to our or our customers’ information and systems, which could cause delivery delays or restrict the availability of raw materials, key purchased components and finished products;</w:t>
      </w:r>
    </w:p>
    <w:p>
      <w:pPr>
        <w:spacing w:after="0" w:line="82" w:lineRule="exact"/>
        <w:rPr>
          <w:sz w:val="20"/>
          <w:szCs w:val="20"/>
          <w:color w:val="auto"/>
        </w:rPr>
      </w:pPr>
    </w:p>
    <w:p>
      <w:pPr>
        <w:ind w:left="760" w:hanging="246"/>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regulatory approval and commercial success of customer products that incorporate our products and systems;</w:t>
      </w:r>
    </w:p>
    <w:p>
      <w:pPr>
        <w:spacing w:after="0" w:line="136" w:lineRule="exact"/>
        <w:rPr>
          <w:rFonts w:ascii="Times New Roman" w:cs="Times New Roman" w:eastAsia="Times New Roman" w:hAnsi="Times New Roman"/>
          <w:sz w:val="14"/>
          <w:szCs w:val="14"/>
          <w:color w:val="auto"/>
        </w:rPr>
      </w:pPr>
    </w:p>
    <w:p>
      <w:pPr>
        <w:ind w:left="760" w:hanging="246"/>
        <w:spacing w:after="0" w:line="270" w:lineRule="auto"/>
        <w:tabs>
          <w:tab w:leader="none" w:pos="7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customers agree to incorporate our products and delivery systems with their new and existing drug products, the ultimate timing and successful commercialization of those products and systems, which involves substantial evaluations of the functional, operational, clinical and economic viability of our products, and the rate, timing and success of regulatory approval for the drug products that incorporate our components and systems;</w:t>
      </w:r>
    </w:p>
    <w:p>
      <w:pPr>
        <w:spacing w:after="0" w:line="93" w:lineRule="exact"/>
        <w:rPr>
          <w:rFonts w:ascii="Times New Roman" w:cs="Times New Roman" w:eastAsia="Times New Roman" w:hAnsi="Times New Roman"/>
          <w:sz w:val="14"/>
          <w:szCs w:val="14"/>
          <w:color w:val="auto"/>
        </w:rPr>
      </w:pPr>
    </w:p>
    <w:p>
      <w:pPr>
        <w:ind w:left="760" w:right="340" w:hanging="246"/>
        <w:spacing w:after="0" w:line="287" w:lineRule="auto"/>
        <w:tabs>
          <w:tab w:leader="none" w:pos="7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timely and adequate availability of filling capacity, which is essential to conducting definitive stability trials and the timing of first commercialization of customers’ products in Crystal Zenith prefilled syringes;</w:t>
      </w:r>
    </w:p>
    <w:p>
      <w:pPr>
        <w:spacing w:after="0" w:line="8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profitability, or mix, of the products sold in any reporting period, including lower-than-expected sales growth of our high-value proprietary product offerings;</w:t>
      </w:r>
    </w:p>
    <w:p>
      <w:pPr>
        <w:spacing w:after="0" w:line="13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or improving production efficiencies and overhead absorption;</w:t>
      </w:r>
    </w:p>
    <w:p>
      <w:pPr>
        <w:spacing w:after="0" w:line="13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dependence on third-party suppliers and partners, some of which are single-source suppliers of critical materials and products, including our Japanese partner and affiliate, Daikyo;</w:t>
      </w:r>
    </w:p>
    <w:p>
      <w:pPr>
        <w:spacing w:after="0" w:line="13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key personnel or highly-skilled employees;</w:t>
      </w:r>
    </w:p>
    <w:p>
      <w:pPr>
        <w:spacing w:after="0" w:line="136" w:lineRule="exact"/>
        <w:rPr>
          <w:rFonts w:ascii="Times New Roman" w:cs="Times New Roman" w:eastAsia="Times New Roman" w:hAnsi="Times New Roman"/>
          <w:sz w:val="14"/>
          <w:szCs w:val="14"/>
          <w:color w:val="auto"/>
        </w:rPr>
      </w:pPr>
    </w:p>
    <w:p>
      <w:pPr>
        <w:ind w:left="760" w:right="320" w:hanging="246"/>
        <w:spacing w:after="0" w:line="287" w:lineRule="auto"/>
        <w:tabs>
          <w:tab w:leader="none" w:pos="7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and cost of skilled employees required to meet increased production, managerial, research and other needs, including professional employees and persons employed under collective bargaining agreements;</w:t>
      </w:r>
    </w:p>
    <w:p>
      <w:pPr>
        <w:spacing w:after="0" w:line="8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successful and timely implementation of price increases necessary to offset rising production costs, including raw material prices, particularly petroleum-based raw materials;</w:t>
      </w:r>
    </w:p>
    <w:p>
      <w:pPr>
        <w:spacing w:after="0" w:line="13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progress of development, regulatory approval and marketing of new products;</w:t>
      </w:r>
    </w:p>
    <w:p>
      <w:pPr>
        <w:spacing w:after="0" w:line="13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licenses in any jurisdiction in which we do business;</w:t>
      </w:r>
    </w:p>
    <w:p>
      <w:pPr>
        <w:spacing w:after="0" w:line="13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relative strength of USD in relation to other currencies, particularly the Euro, SGD, the Danish Krone, Yen, Colombian Peso, Brazilian Real, and the South Korean Won; and</w:t>
      </w:r>
    </w:p>
    <w:p>
      <w:pPr>
        <w:spacing w:after="0" w:line="13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adverse effects of global healthcare legislation on customer demand, product pricing and profitability.</w:t>
      </w:r>
    </w:p>
    <w:p>
      <w:pPr>
        <w:spacing w:after="0" w:line="200"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4"/>
          <w:szCs w:val="14"/>
          <w:color w:val="auto"/>
        </w:rPr>
        <w:t>This list sets forth many, but not all, of the factors that could affect our ability to achieve results described in any forward-looking statements. Investors should understand that it is not possible to predict or identify all of the factors and should not consider this list to be a complete statement of all potential risks and uncertainties. For further discussion of these and other factors, see the risk factors disclosed in Part I, Item 1A of our 2023 Annual Report as well as Part II, section 1A of this quarterly report.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as required by law or regulation, we undertake no obligation to publicly update any forward-looking statements, whether as a result of new information, future events or otherwise.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material changes in our exposure to market risk or the information provided in Part II, Item 7A of our 2023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CONTROLS AND PROCEDURES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Disclosure controls are controls and procedures designed to reasonably ensure that information required to be disclosed in our reports filed under the Exchange Act, such as this quarterly report, is recorded, processed, summarized and reported within the time periods specified in the SEC’s rules and forms. Disclosure controls include, without limitation, controls and procedures designed to ensure that information required to be disclosed in our reports filed under the Securities Exchange Act of 1934, as amended, is accumulated and communicated to our management, including our Chief Executive Officer (“CEO”) and Chief Financial Officer (“CFO”), or persons performing similar functions, as appropriate, to allow timely decisions regarding required disclosure.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An evaluation was performed under the supervision and with the participation of our management, including our CEO and CFO, of the effectiveness of our disclosure controls and procedures (as defined in Rule 13a-15(e) under the Securities Exchange Act of 1934), as of the end of the period covered by this quarterly report on Form 10-Q. Based on this evaluation, our CEO and CFO have concluded that, as of June 30, 2024, our disclosure controls and procedures are effective.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Controls</w:t>
      </w:r>
    </w:p>
    <w:p>
      <w:pPr>
        <w:spacing w:after="0" w:line="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4"/>
          <w:szCs w:val="14"/>
          <w:color w:val="auto"/>
        </w:rPr>
        <w:t>During the quarter ended June 30, 2024, there have been no changes to our internal control over financial reporting that have materially affected, or are reasonably likely to materially affect, our internal control over financial reporting.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no material changes to the risk factors disclosed in Part I, Item 1A of our 2023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127" w:right="5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information with respect to purchases of our common stock made during the three months ended June 30, 2024 by us or any of our “affiliated purchasers” as defined 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Rule 10b-18(a)(3) under the Exchange Act: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Total number of shares purchased as</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Approximate dollar value of shares</w:t>
            </w:r>
          </w:p>
        </w:tc>
      </w:tr>
      <w:tr>
        <w:trPr>
          <w:trHeight w:val="144"/>
        </w:trPr>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part of publicly announced plans or</w:t>
            </w:r>
          </w:p>
        </w:tc>
        <w:tc>
          <w:tcPr>
            <w:tcW w:w="22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that may yet be purchased under the</w:t>
            </w:r>
          </w:p>
        </w:tc>
      </w:tr>
      <w:tr>
        <w:trPr>
          <w:trHeight w:val="184"/>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22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 number of shares purchased (1)</w:t>
            </w:r>
          </w:p>
        </w:tc>
        <w:tc>
          <w:tcPr>
            <w:tcW w:w="140" w:type="dxa"/>
            <w:vAlign w:val="bottom"/>
          </w:tcPr>
          <w:p>
            <w:pPr>
              <w:spacing w:after="0"/>
              <w:rPr>
                <w:sz w:val="16"/>
                <w:szCs w:val="16"/>
                <w:color w:val="auto"/>
              </w:rPr>
            </w:pPr>
          </w:p>
        </w:tc>
        <w:tc>
          <w:tcPr>
            <w:tcW w:w="2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Average price paid per share (1)</w:t>
            </w:r>
          </w:p>
        </w:tc>
        <w:tc>
          <w:tcPr>
            <w:tcW w:w="2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programs (1)</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plans or programs (1)</w:t>
            </w:r>
          </w:p>
        </w:tc>
      </w:tr>
      <w:tr>
        <w:trPr>
          <w:trHeight w:val="171"/>
        </w:trPr>
        <w:tc>
          <w:tcPr>
            <w:tcW w:w="2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April 1 - 30, 2024</w:t>
            </w:r>
          </w:p>
        </w:tc>
        <w:tc>
          <w:tcPr>
            <w:tcW w:w="80" w:type="dxa"/>
            <w:vAlign w:val="bottom"/>
            <w:tcBorders>
              <w:top w:val="single" w:sz="8" w:color="CCEEFF"/>
            </w:tcBorders>
            <w:shd w:val="clear" w:color="auto" w:fill="CCEEFF"/>
          </w:tcPr>
          <w:p>
            <w:pPr>
              <w:spacing w:after="0"/>
              <w:rPr>
                <w:sz w:val="14"/>
                <w:szCs w:val="14"/>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244,913</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384.04</w:t>
            </w:r>
          </w:p>
        </w:tc>
        <w:tc>
          <w:tcPr>
            <w:tcW w:w="80" w:type="dxa"/>
            <w:vAlign w:val="bottom"/>
            <w:tcBorders>
              <w:top w:val="single" w:sz="8" w:color="CCEEFF"/>
            </w:tcBorders>
            <w:shd w:val="clear" w:color="auto" w:fill="CCEEFF"/>
          </w:tcPr>
          <w:p>
            <w:pPr>
              <w:spacing w:after="0"/>
              <w:rPr>
                <w:sz w:val="14"/>
                <w:szCs w:val="14"/>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244,913</w:t>
            </w:r>
          </w:p>
        </w:tc>
        <w:tc>
          <w:tcPr>
            <w:tcW w:w="80" w:type="dxa"/>
            <w:vAlign w:val="bottom"/>
            <w:tcBorders>
              <w:top w:val="single" w:sz="8" w:color="CCEEFF"/>
            </w:tcBorders>
            <w:shd w:val="clear" w:color="auto" w:fill="CCEEFF"/>
          </w:tcPr>
          <w:p>
            <w:pPr>
              <w:spacing w:after="0"/>
              <w:rPr>
                <w:sz w:val="14"/>
                <w:szCs w:val="14"/>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200,600,000</w:t>
            </w:r>
          </w:p>
        </w:tc>
      </w:tr>
      <w:tr>
        <w:trPr>
          <w:trHeight w:val="18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May 1 - 31, 2024</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217,672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357.64</w:t>
            </w:r>
          </w:p>
        </w:tc>
        <w:tc>
          <w:tcPr>
            <w:tcW w:w="8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217,672</w:t>
            </w:r>
          </w:p>
        </w:tc>
        <w:tc>
          <w:tcPr>
            <w:tcW w:w="8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122,800,000</w:t>
            </w:r>
          </w:p>
        </w:tc>
      </w:tr>
      <w:tr>
        <w:trPr>
          <w:trHeight w:val="180"/>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1 - 30, 2024</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46,751</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326.54</w:t>
            </w:r>
          </w:p>
        </w:tc>
        <w:tc>
          <w:tcPr>
            <w:tcW w:w="80" w:type="dxa"/>
            <w:vAlign w:val="bottom"/>
            <w:shd w:val="clear" w:color="auto" w:fill="CCEEFF"/>
          </w:tcPr>
          <w:p>
            <w:pPr>
              <w:spacing w:after="0"/>
              <w:rPr>
                <w:sz w:val="15"/>
                <w:szCs w:val="15"/>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46,751</w:t>
            </w:r>
          </w:p>
        </w:tc>
        <w:tc>
          <w:tcPr>
            <w:tcW w:w="80" w:type="dxa"/>
            <w:vAlign w:val="bottom"/>
            <w:shd w:val="clear" w:color="auto" w:fill="CCEEFF"/>
          </w:tcPr>
          <w:p>
            <w:pPr>
              <w:spacing w:after="0"/>
              <w:rPr>
                <w:sz w:val="15"/>
                <w:szCs w:val="15"/>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107,500,000</w:t>
            </w:r>
          </w:p>
        </w:tc>
      </w:tr>
      <w:tr>
        <w:trPr>
          <w:trHeight w:val="171"/>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509,336</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367.48</w:t>
            </w:r>
          </w:p>
        </w:tc>
        <w:tc>
          <w:tcPr>
            <w:tcW w:w="80" w:type="dxa"/>
            <w:vAlign w:val="bottom"/>
          </w:tcPr>
          <w:p>
            <w:pPr>
              <w:spacing w:after="0"/>
              <w:rPr>
                <w:sz w:val="14"/>
                <w:szCs w:val="14"/>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509,336</w:t>
            </w:r>
          </w:p>
        </w:tc>
        <w:tc>
          <w:tcPr>
            <w:tcW w:w="80" w:type="dxa"/>
            <w:vAlign w:val="bottom"/>
          </w:tcPr>
          <w:p>
            <w:pPr>
              <w:spacing w:after="0"/>
              <w:rPr>
                <w:sz w:val="14"/>
                <w:szCs w:val="14"/>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107,500,000</w:t>
            </w:r>
          </w:p>
        </w:tc>
      </w:tr>
      <w:tr>
        <w:trPr>
          <w:trHeight w:val="20"/>
        </w:trPr>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left="520" w:right="80" w:hanging="260"/>
        <w:spacing w:after="0" w:line="270" w:lineRule="auto"/>
        <w:tabs>
          <w:tab w:leader="none" w:pos="515"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2023, the Board of Directors approved a share repurchase program under which we may repurchase up to $1.0 billion in shares of common stock. The share repurchase program does not have an expiration date under which we may repurchase common stock on the open market or in privately-negotiated transactions. The number of shares to be repurchased and the timing of such transactions will depend on a variety of factors, including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Exhibit Number</w:t>
            </w:r>
          </w:p>
        </w:tc>
        <w:tc>
          <w:tcPr>
            <w:tcW w:w="80" w:type="dxa"/>
            <w:vAlign w:val="bottom"/>
          </w:tcPr>
          <w:p>
            <w:pPr>
              <w:spacing w:after="0"/>
              <w:rPr>
                <w:sz w:val="13"/>
                <w:szCs w:val="13"/>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944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3"/>
                <w:szCs w:val="13"/>
                <w:color w:val="auto"/>
              </w:rPr>
            </w:pPr>
          </w:p>
        </w:tc>
        <w:tc>
          <w:tcPr>
            <w:tcW w:w="62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Our Amended and Restated Articles of Incorporation, effective April 24, 2024, attached hereto as Exhibit 3.1.</w:t>
            </w:r>
          </w:p>
        </w:tc>
        <w:tc>
          <w:tcPr>
            <w:tcW w:w="39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3"/>
                <w:szCs w:val="13"/>
                <w:color w:val="auto"/>
              </w:rPr>
            </w:pPr>
          </w:p>
        </w:tc>
        <w:tc>
          <w:tcPr>
            <w:tcW w:w="10140" w:type="dxa"/>
            <w:vAlign w:val="bottom"/>
            <w:gridSpan w:val="15"/>
          </w:tcPr>
          <w:p>
            <w:pPr>
              <w:spacing w:after="0"/>
              <w:rPr>
                <w:rFonts w:ascii="Times New Roman" w:cs="Times New Roman" w:eastAsia="Times New Roman" w:hAnsi="Times New Roman"/>
                <w:sz w:val="14"/>
                <w:szCs w:val="14"/>
                <w:color w:val="0000FF"/>
              </w:rPr>
            </w:pPr>
            <w:hyperlink r:id="rId53">
              <w:r>
                <w:rPr>
                  <w:rFonts w:ascii="Times New Roman" w:cs="Times New Roman" w:eastAsia="Times New Roman" w:hAnsi="Times New Roman"/>
                  <w:sz w:val="14"/>
                  <w:szCs w:val="14"/>
                  <w:color w:val="0000FF"/>
                </w:rPr>
                <w:t>Our Amended and Restated Bylaws, effective October 23, 2023 (incorporated by reference to Exhibit 3.2 to the Company's Form 10-Q report for the quarter ended September 30,</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53">
              <w:r>
                <w:rPr>
                  <w:rFonts w:ascii="Times New Roman" w:cs="Times New Roman" w:eastAsia="Times New Roman" w:hAnsi="Times New Roman"/>
                  <w:sz w:val="13"/>
                  <w:szCs w:val="13"/>
                  <w:color w:val="0000FF"/>
                </w:rPr>
                <w:t>2023, filed October 26, 2023).</w:t>
              </w:r>
            </w:hyperlink>
          </w:p>
        </w:tc>
        <w:tc>
          <w:tcPr>
            <w:tcW w:w="8360" w:type="dxa"/>
            <w:vAlign w:val="bottom"/>
            <w:tcBorders>
              <w:top w:val="single" w:sz="8" w:color="0000FF"/>
            </w:tcBorders>
            <w:gridSpan w:val="11"/>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4"/>
                <w:szCs w:val="14"/>
                <w:color w:val="auto"/>
              </w:rPr>
            </w:pPr>
          </w:p>
        </w:tc>
        <w:tc>
          <w:tcPr>
            <w:tcW w:w="10140" w:type="dxa"/>
            <w:vAlign w:val="bottom"/>
            <w:gridSpan w:val="15"/>
          </w:tcPr>
          <w:p>
            <w:pPr>
              <w:spacing w:after="0"/>
              <w:rPr>
                <w:rFonts w:ascii="Times New Roman" w:cs="Times New Roman" w:eastAsia="Times New Roman" w:hAnsi="Times New Roman"/>
                <w:sz w:val="14"/>
                <w:szCs w:val="14"/>
                <w:color w:val="0000FF"/>
              </w:rPr>
            </w:pPr>
            <w:hyperlink r:id="rId54">
              <w:r>
                <w:rPr>
                  <w:rFonts w:ascii="Times New Roman" w:cs="Times New Roman" w:eastAsia="Times New Roman" w:hAnsi="Times New Roman"/>
                  <w:sz w:val="14"/>
                  <w:szCs w:val="14"/>
                  <w:color w:val="0000FF"/>
                </w:rPr>
                <w:t>Form of stock certificate for common stock (incorporated by reference to Exhibit 4 to the Company's 1998 Form 10-K, filed May 6, 1999).</w:t>
              </w:r>
            </w:hyperlink>
          </w:p>
        </w:tc>
        <w:tc>
          <w:tcPr>
            <w:tcW w:w="0" w:type="dxa"/>
            <w:vAlign w:val="bottom"/>
          </w:tcPr>
          <w:p>
            <w:pPr>
              <w:spacing w:after="0"/>
              <w:rPr>
                <w:sz w:val="1"/>
                <w:szCs w:val="1"/>
                <w:color w:val="auto"/>
              </w:rPr>
            </w:pPr>
          </w:p>
        </w:tc>
      </w:tr>
      <w:tr>
        <w:trPr>
          <w:trHeight w:val="160"/>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3"/>
                <w:szCs w:val="13"/>
                <w:color w:val="auto"/>
              </w:rPr>
            </w:pPr>
          </w:p>
        </w:tc>
        <w:tc>
          <w:tcPr>
            <w:tcW w:w="75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Articles 5, 7, 8 and 9 of our Amended and Restated Articles of Incorporation, effective April 24, 2024, attached hereto as Exhibit 3.1.</w:t>
            </w:r>
          </w:p>
        </w:tc>
        <w:tc>
          <w:tcPr>
            <w:tcW w:w="300" w:type="dxa"/>
            <w:vAlign w:val="bottom"/>
            <w:tcBorders>
              <w:top w:val="single" w:sz="8" w:color="0000FF"/>
            </w:tcBorders>
          </w:tcPr>
          <w:p>
            <w:pPr>
              <w:spacing w:after="0"/>
              <w:rPr>
                <w:sz w:val="13"/>
                <w:szCs w:val="13"/>
                <w:color w:val="auto"/>
              </w:rPr>
            </w:pPr>
          </w:p>
        </w:tc>
        <w:tc>
          <w:tcPr>
            <w:tcW w:w="22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3"/>
                <w:szCs w:val="13"/>
                <w:color w:val="auto"/>
              </w:rPr>
            </w:pPr>
          </w:p>
        </w:tc>
        <w:tc>
          <w:tcPr>
            <w:tcW w:w="10140" w:type="dxa"/>
            <w:vAlign w:val="bottom"/>
            <w:gridSpan w:val="15"/>
          </w:tcPr>
          <w:p>
            <w:pPr>
              <w:spacing w:after="0"/>
              <w:rPr>
                <w:rFonts w:ascii="Times New Roman" w:cs="Times New Roman" w:eastAsia="Times New Roman" w:hAnsi="Times New Roman"/>
                <w:sz w:val="14"/>
                <w:szCs w:val="14"/>
                <w:color w:val="0000FF"/>
              </w:rPr>
            </w:pPr>
            <w:hyperlink r:id="rId53">
              <w:r>
                <w:rPr>
                  <w:rFonts w:ascii="Times New Roman" w:cs="Times New Roman" w:eastAsia="Times New Roman" w:hAnsi="Times New Roman"/>
                  <w:sz w:val="14"/>
                  <w:szCs w:val="14"/>
                  <w:color w:val="0000FF"/>
                </w:rPr>
                <w:t>Articles I and IV of our Bylaws, as amended through October 23, 2023 (incorporated by reference to Exhibit 3.2 to the Company's Form 10-Q report for the quarter ended</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40" w:type="dxa"/>
            <w:vAlign w:val="bottom"/>
            <w:tcBorders>
              <w:top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53">
              <w:r>
                <w:rPr>
                  <w:rFonts w:ascii="Times New Roman" w:cs="Times New Roman" w:eastAsia="Times New Roman" w:hAnsi="Times New Roman"/>
                  <w:sz w:val="13"/>
                  <w:szCs w:val="13"/>
                  <w:color w:val="0000FF"/>
                </w:rPr>
                <w:t>September 30, 2023, filed October 26, 2023).</w:t>
              </w:r>
            </w:hyperlink>
          </w:p>
        </w:tc>
        <w:tc>
          <w:tcPr>
            <w:tcW w:w="4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4.4 </w:t>
            </w:r>
            <w:r>
              <w:rPr>
                <w:rFonts w:ascii="Times New Roman" w:cs="Times New Roman" w:eastAsia="Times New Roman" w:hAnsi="Times New Roman"/>
                <w:sz w:val="18"/>
                <w:szCs w:val="18"/>
                <w:color w:val="auto"/>
                <w:vertAlign w:val="superscript"/>
              </w:rPr>
              <w:t>(1)</w:t>
            </w:r>
          </w:p>
        </w:tc>
        <w:tc>
          <w:tcPr>
            <w:tcW w:w="80" w:type="dxa"/>
            <w:vAlign w:val="bottom"/>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1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Instruments defining the rights of holders of long-term debt securities of West and its subsidiaries have been omitted.</w:t>
            </w:r>
          </w:p>
        </w:tc>
        <w:tc>
          <w:tcPr>
            <w:tcW w:w="0" w:type="dxa"/>
            <w:vAlign w:val="bottom"/>
          </w:tcPr>
          <w:p>
            <w:pPr>
              <w:spacing w:after="0"/>
              <w:rPr>
                <w:sz w:val="1"/>
                <w:szCs w:val="1"/>
                <w:color w:val="auto"/>
              </w:rPr>
            </w:pPr>
          </w:p>
        </w:tc>
      </w:tr>
      <w:tr>
        <w:trPr>
          <w:trHeight w:val="153"/>
        </w:trPr>
        <w:tc>
          <w:tcPr>
            <w:tcW w:w="9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3"/>
                <w:szCs w:val="13"/>
                <w:color w:val="auto"/>
              </w:rPr>
            </w:pPr>
          </w:p>
        </w:tc>
        <w:tc>
          <w:tcPr>
            <w:tcW w:w="10140" w:type="dxa"/>
            <w:vAlign w:val="bottom"/>
            <w:gridSpan w:val="15"/>
          </w:tcPr>
          <w:p>
            <w:pPr>
              <w:spacing w:after="0" w:line="153" w:lineRule="exact"/>
              <w:rPr>
                <w:rFonts w:ascii="Times New Roman" w:cs="Times New Roman" w:eastAsia="Times New Roman" w:hAnsi="Times New Roman"/>
                <w:sz w:val="14"/>
                <w:szCs w:val="14"/>
                <w:color w:val="0000FF"/>
              </w:rPr>
            </w:pPr>
            <w:hyperlink r:id="rId55">
              <w:r>
                <w:rPr>
                  <w:rFonts w:ascii="Times New Roman" w:cs="Times New Roman" w:eastAsia="Times New Roman" w:hAnsi="Times New Roman"/>
                  <w:sz w:val="14"/>
                  <w:szCs w:val="14"/>
                  <w:color w:val="0000FF"/>
                </w:rPr>
                <w:t>Third Amendment and Incremental Facility Amendment, dated as of July 2, 2024, among the Company, as borrower's representative, each of the lenders party thereto and Bank of</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55">
              <w:r>
                <w:rPr>
                  <w:rFonts w:ascii="Times New Roman" w:cs="Times New Roman" w:eastAsia="Times New Roman" w:hAnsi="Times New Roman"/>
                  <w:sz w:val="13"/>
                  <w:szCs w:val="13"/>
                  <w:color w:val="0000FF"/>
                </w:rPr>
                <w:t>America, N.A., as the administrative agent (incorporated by reference from our Form 8-k, filed July 8, 2024).</w:t>
              </w:r>
            </w:hyperlink>
          </w:p>
        </w:tc>
        <w:tc>
          <w:tcPr>
            <w:tcW w:w="3920" w:type="dxa"/>
            <w:vAlign w:val="bottom"/>
            <w:tcBorders>
              <w:top w:val="single" w:sz="8" w:color="0000FF"/>
            </w:tcBorders>
            <w:gridSpan w:val="8"/>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4"/>
                <w:szCs w:val="14"/>
                <w:color w:val="auto"/>
              </w:rPr>
            </w:pPr>
          </w:p>
        </w:tc>
        <w:tc>
          <w:tcPr>
            <w:tcW w:w="59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Certification by the Chief Executive Officer Pursuant to Section 302 of the Sarbanes-Oxley Act of 2002.</w:t>
            </w:r>
          </w:p>
        </w:tc>
        <w:tc>
          <w:tcPr>
            <w:tcW w:w="422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13"/>
                <w:szCs w:val="13"/>
                <w:color w:val="auto"/>
              </w:rPr>
            </w:pPr>
          </w:p>
        </w:tc>
        <w:tc>
          <w:tcPr>
            <w:tcW w:w="101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Certification by the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80" w:type="dxa"/>
            <w:vAlign w:val="bottom"/>
            <w:gridSpan w:val="4"/>
            <w:shd w:val="clear" w:color="auto" w:fill="0000FF"/>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80" w:type="dxa"/>
            <w:vAlign w:val="bottom"/>
          </w:tcPr>
          <w:p>
            <w:pPr>
              <w:spacing w:after="0"/>
              <w:rPr>
                <w:sz w:val="13"/>
                <w:szCs w:val="13"/>
                <w:color w:val="auto"/>
              </w:rPr>
            </w:pPr>
          </w:p>
        </w:tc>
        <w:tc>
          <w:tcPr>
            <w:tcW w:w="86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Certification by the Chief Executive Officer Pursuant to 18 U.S.C. Section 1350, as Adopted Pursuant to Section 906 of the Sarbanes-Oxley Act of 2002.</w:t>
            </w:r>
          </w:p>
        </w:tc>
        <w:tc>
          <w:tcPr>
            <w:tcW w:w="14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Pr>
          <w:p>
            <w:pPr>
              <w:spacing w:after="0"/>
              <w:rPr>
                <w:sz w:val="13"/>
                <w:szCs w:val="13"/>
                <w:color w:val="auto"/>
              </w:rPr>
            </w:pPr>
          </w:p>
        </w:tc>
        <w:tc>
          <w:tcPr>
            <w:tcW w:w="86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Certification by the Chief Financial Officer Pursuant to 18 U.S.C. Section 1350, as Adopted Pursuant to Section 906 of the Sarbanes-Oxley Act of 2002.</w:t>
            </w:r>
          </w:p>
        </w:tc>
        <w:tc>
          <w:tcPr>
            <w:tcW w:w="15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80" w:type="dxa"/>
            <w:vAlign w:val="bottom"/>
          </w:tcPr>
          <w:p>
            <w:pPr>
              <w:spacing w:after="0"/>
              <w:rPr>
                <w:sz w:val="16"/>
                <w:szCs w:val="16"/>
                <w:color w:val="auto"/>
              </w:rPr>
            </w:pPr>
          </w:p>
        </w:tc>
        <w:tc>
          <w:tcPr>
            <w:tcW w:w="101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80" w:type="dxa"/>
            <w:vAlign w:val="bottom"/>
          </w:tcPr>
          <w:p>
            <w:pPr>
              <w:spacing w:after="0"/>
              <w:rPr>
                <w:sz w:val="15"/>
                <w:szCs w:val="15"/>
                <w:color w:val="auto"/>
              </w:rPr>
            </w:pPr>
          </w:p>
        </w:tc>
        <w:tc>
          <w:tcPr>
            <w:tcW w:w="101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80" w:type="dxa"/>
            <w:vAlign w:val="bottom"/>
          </w:tcPr>
          <w:p>
            <w:pPr>
              <w:spacing w:after="0"/>
              <w:rPr>
                <w:sz w:val="15"/>
                <w:szCs w:val="15"/>
                <w:color w:val="auto"/>
              </w:rPr>
            </w:pPr>
          </w:p>
        </w:tc>
        <w:tc>
          <w:tcPr>
            <w:tcW w:w="101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80" w:type="dxa"/>
            <w:vAlign w:val="bottom"/>
          </w:tcPr>
          <w:p>
            <w:pPr>
              <w:spacing w:after="0"/>
              <w:rPr>
                <w:sz w:val="15"/>
                <w:szCs w:val="15"/>
                <w:color w:val="auto"/>
              </w:rPr>
            </w:pPr>
          </w:p>
        </w:tc>
        <w:tc>
          <w:tcPr>
            <w:tcW w:w="101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80" w:type="dxa"/>
            <w:vAlign w:val="bottom"/>
          </w:tcPr>
          <w:p>
            <w:pPr>
              <w:spacing w:after="0"/>
              <w:rPr>
                <w:sz w:val="15"/>
                <w:szCs w:val="15"/>
                <w:color w:val="auto"/>
              </w:rPr>
            </w:pPr>
          </w:p>
        </w:tc>
        <w:tc>
          <w:tcPr>
            <w:tcW w:w="101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0" w:type="dxa"/>
            <w:vAlign w:val="bottom"/>
          </w:tcPr>
          <w:p>
            <w:pPr>
              <w:spacing w:after="0"/>
              <w:rPr>
                <w:sz w:val="1"/>
                <w:szCs w:val="1"/>
                <w:color w:val="auto"/>
              </w:rPr>
            </w:pPr>
          </w:p>
        </w:tc>
      </w:tr>
      <w:tr>
        <w:trPr>
          <w:trHeight w:val="184"/>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80" w:type="dxa"/>
            <w:vAlign w:val="bottom"/>
          </w:tcPr>
          <w:p>
            <w:pPr>
              <w:spacing w:after="0"/>
              <w:rPr>
                <w:sz w:val="16"/>
                <w:szCs w:val="16"/>
                <w:color w:val="auto"/>
              </w:rPr>
            </w:pPr>
          </w:p>
        </w:tc>
        <w:tc>
          <w:tcPr>
            <w:tcW w:w="101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0" w:type="dxa"/>
            <w:vAlign w:val="bottom"/>
          </w:tcPr>
          <w:p>
            <w:pPr>
              <w:spacing w:after="0"/>
              <w:rPr>
                <w:sz w:val="1"/>
                <w:szCs w:val="1"/>
                <w:color w:val="auto"/>
              </w:rPr>
            </w:pPr>
          </w:p>
        </w:tc>
      </w:tr>
    </w:tbl>
    <w:p>
      <w:pPr>
        <w:ind w:left="1080" w:hanging="1061"/>
        <w:spacing w:after="0"/>
        <w:tabs>
          <w:tab w:leader="none" w:pos="108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Inline XBRL for the cover page of this Quarterly Report on Form 10-Q, included in the Exhibit 101 Inline XBRL Document Set.</w:t>
      </w:r>
    </w:p>
    <w:p>
      <w:pPr>
        <w:spacing w:after="0" w:line="280" w:lineRule="exact"/>
        <w:rPr>
          <w:rFonts w:ascii="Times New Roman" w:cs="Times New Roman" w:eastAsia="Times New Roman" w:hAnsi="Times New Roman"/>
          <w:sz w:val="14"/>
          <w:szCs w:val="14"/>
          <w:color w:val="auto"/>
        </w:rPr>
      </w:pPr>
    </w:p>
    <w:p>
      <w:pPr>
        <w:ind w:right="2420" w:firstLine="5"/>
        <w:spacing w:after="0" w:line="560" w:lineRule="auto"/>
        <w:tabs>
          <w:tab w:leader="none" w:pos="142"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 agree to furnish to the SEC, upon request, a copy of each instrument with respect to issuances of long-term debt of the Company and its subsidiaries. * Furnished,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-676275</wp:posOffset>
            </wp:positionV>
            <wp:extent cx="716153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7" w:right="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u w:val="single" w:color="auto"/>
          <w:color w:val="auto"/>
        </w:rPr>
        <w:t>SIGNATURE</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West Pharmaceutical Services, Inc. has duly caused this report to be signed on its behalf by the undersigned thereunto duly authorized.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WEST PHARMACEUTICAL SERVICES,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By: /s/ Bernard J. Birkett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Bernard J. Birkett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Senior Vice President, Chief Financial Officer</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July 25,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900"/>
          </w:cols>
          <w:pgMar w:left="300" w:top="127" w:right="699" w:bottom="1440"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CERTIFICATION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Eric M. Green, certify that:</w:t>
      </w:r>
    </w:p>
    <w:p>
      <w:pPr>
        <w:spacing w:after="0" w:line="136"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West Pharmaceutical Services, Inc.;</w:t>
      </w:r>
    </w:p>
    <w:p>
      <w:pPr>
        <w:spacing w:after="0" w:line="136"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jc w:val="both"/>
        <w:ind w:left="1020" w:right="360" w:hanging="251"/>
        <w:spacing w:after="0" w:line="270" w:lineRule="auto"/>
        <w:tabs>
          <w:tab w:leader="none" w:pos="1012"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4"/>
          <w:szCs w:val="14"/>
          <w:color w:val="auto"/>
        </w:rPr>
      </w:pPr>
    </w:p>
    <w:p>
      <w:pPr>
        <w:jc w:val="both"/>
        <w:ind w:left="1020" w:right="560" w:hanging="251"/>
        <w:spacing w:after="0" w:line="270" w:lineRule="auto"/>
        <w:tabs>
          <w:tab w:leader="none" w:pos="102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4"/>
          <w:szCs w:val="14"/>
          <w:color w:val="auto"/>
        </w:rPr>
      </w:pPr>
    </w:p>
    <w:p>
      <w:pPr>
        <w:ind w:left="1020" w:right="180" w:hanging="251"/>
        <w:spacing w:after="0" w:line="287" w:lineRule="auto"/>
        <w:tabs>
          <w:tab w:leader="none" w:pos="1012"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1020" w:right="200" w:hanging="251"/>
        <w:spacing w:after="0" w:line="287" w:lineRule="auto"/>
        <w:tabs>
          <w:tab w:leader="none" w:pos="102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1020" w:right="520" w:hanging="251"/>
        <w:spacing w:after="0" w:line="287" w:lineRule="auto"/>
        <w:tabs>
          <w:tab w:leader="none" w:pos="1012"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Eric M. Green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Eric M. Green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President and Chief Executive Officer, Chair of the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July 25, 2024</w:t>
      </w:r>
    </w:p>
    <w:p>
      <w:pPr>
        <w:sectPr>
          <w:pgSz w:w="11900" w:h="16838" w:orient="portrait"/>
          <w:cols w:equalWidth="0" w:num="1">
            <w:col w:w="11280"/>
          </w:cols>
          <w:pgMar w:left="300" w:top="1141" w:right="31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CERTIFICATION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Bernard J. Birkett, certify that:</w:t>
      </w:r>
    </w:p>
    <w:p>
      <w:pPr>
        <w:spacing w:after="0" w:line="136"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West Pharmaceutical Services, Inc.;</w:t>
      </w:r>
    </w:p>
    <w:p>
      <w:pPr>
        <w:spacing w:after="0" w:line="136"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jc w:val="both"/>
        <w:ind w:left="1020" w:right="360" w:hanging="251"/>
        <w:spacing w:after="0" w:line="270" w:lineRule="auto"/>
        <w:tabs>
          <w:tab w:leader="none" w:pos="1012"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4"/>
          <w:szCs w:val="14"/>
          <w:color w:val="auto"/>
        </w:rPr>
      </w:pPr>
    </w:p>
    <w:p>
      <w:pPr>
        <w:jc w:val="both"/>
        <w:ind w:left="1020" w:right="560" w:hanging="251"/>
        <w:spacing w:after="0" w:line="270" w:lineRule="auto"/>
        <w:tabs>
          <w:tab w:leader="none" w:pos="102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4"/>
          <w:szCs w:val="14"/>
          <w:color w:val="auto"/>
        </w:rPr>
      </w:pPr>
    </w:p>
    <w:p>
      <w:pPr>
        <w:ind w:left="1020" w:right="180" w:hanging="251"/>
        <w:spacing w:after="0" w:line="287" w:lineRule="auto"/>
        <w:tabs>
          <w:tab w:leader="none" w:pos="1012"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1020" w:right="200" w:hanging="251"/>
        <w:spacing w:after="0" w:line="287" w:lineRule="auto"/>
        <w:tabs>
          <w:tab w:leader="none" w:pos="102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1020" w:right="520" w:hanging="251"/>
        <w:spacing w:after="0" w:line="287" w:lineRule="auto"/>
        <w:tabs>
          <w:tab w:leader="none" w:pos="1012"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Bernard J. Birkett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Bernard J. Birkett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Senior Vice President, Chief Financial Officer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July 25, 2024</w:t>
      </w:r>
    </w:p>
    <w:p>
      <w:pPr>
        <w:sectPr>
          <w:pgSz w:w="11900" w:h="16838" w:orient="portrait"/>
          <w:cols w:equalWidth="0" w:num="1">
            <w:col w:w="11280"/>
          </w:cols>
          <w:pgMar w:left="300" w:top="1141" w:right="31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376"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of West Pharmaceutical Services, Inc. (the “Company”) for the period ended June 30, 2024, as filed with the Securities and Exchange Commission on the date hereof (the “Report”), I, Eric M. Green, President and Chief Executive Officer, Chair of the Board of Directors of the Company, certify, pursuant to 18 U.S.C. Section 1350, as adopted pursuant to Section 906 of the Sarbanes-Oxley Act of 2002, that:</w:t>
      </w:r>
    </w:p>
    <w:p>
      <w:pPr>
        <w:spacing w:after="0" w:line="157" w:lineRule="exact"/>
        <w:rPr>
          <w:sz w:val="20"/>
          <w:szCs w:val="20"/>
          <w:color w:val="auto"/>
        </w:rPr>
      </w:pPr>
    </w:p>
    <w:p>
      <w:pPr>
        <w:ind w:left="200" w:hanging="195"/>
        <w:spacing w:after="0"/>
        <w:tabs>
          <w:tab w:leader="none" w:pos="2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Eric M. Green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Eric M. Green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President and Chief Executive Officer, Chair of the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July 25, 2024</w:t>
      </w:r>
    </w:p>
    <w:p>
      <w:pPr>
        <w:sectPr>
          <w:pgSz w:w="11900" w:h="16838" w:orient="portrait"/>
          <w:cols w:equalWidth="0" w:num="1">
            <w:col w:w="11280"/>
          </w:cols>
          <w:pgMar w:left="300" w:top="1141" w:right="31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37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of West Pharmaceutical Services, Inc. (the “Company”) for the period ended June 30, 2024, as filed with the Securities and Exchange Commission on the date hereof (the “Report”), I, Bernard J. Birkett, Senior Vice President, Chief Financial Officer of the Company, certify, pursuant to 18 U.S.C. Section 1350, as adopted pursuant to Section 906 of the Sarbanes-Oxley Act of 2002, that:</w:t>
      </w:r>
    </w:p>
    <w:p>
      <w:pPr>
        <w:spacing w:after="0" w:line="157" w:lineRule="exact"/>
        <w:rPr>
          <w:sz w:val="20"/>
          <w:szCs w:val="20"/>
          <w:color w:val="auto"/>
        </w:rPr>
      </w:pPr>
    </w:p>
    <w:p>
      <w:pPr>
        <w:ind w:left="200" w:hanging="195"/>
        <w:spacing w:after="0"/>
        <w:tabs>
          <w:tab w:leader="none" w:pos="2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Bernard J. Birkett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Bernard J. Birkett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Senior Vice President, Chief Financial Officer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July 25, 2024</w:t>
      </w:r>
    </w:p>
    <w:sectPr>
      <w:pgSz w:w="11900" w:h="16838" w:orient="portrait"/>
      <w:cols w:equalWidth="0" w:num="1">
        <w:col w:w="11280"/>
      </w:cols>
      <w:pgMar w:left="300" w:top="114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lvl w:ilvl="1">
      <w:lvlJc w:val="left"/>
      <w:lvlText w:val="%2"/>
      <w:numFmt w:val="decimal"/>
      <w:start w:val="104"/>
    </w:lvl>
  </w:abstractNum>
  <w:abstractNum w:abstractNumId="9">
    <w:nsid w:val="66EF438D"/>
    <w:multiLevelType w:val="hybridMultilevel"/>
    <w:lvl w:ilvl="0">
      <w:lvlJc w:val="left"/>
      <w:lvlText w:val="(%1)"/>
      <w:numFmt w:val="decimal"/>
      <w:start w:val="1"/>
    </w:lvl>
    <w:lvl w:ilvl="1">
      <w:lvlJc w:val="left"/>
      <w:lvlText w:val="%2"/>
      <w:numFmt w:val="decimal"/>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16" Type="http://schemas.openxmlformats.org/officeDocument/2006/relationships/hyperlink" Target="https://www.sec.gov/ix?doc=/Archives/edgar/data/0000105770/000010577024000015/wst-20231231.htm" TargetMode="External"/><Relationship Id="rId53" Type="http://schemas.openxmlformats.org/officeDocument/2006/relationships/hyperlink" Target="https://www.sec.gov/Archives/edgar/data/105770/000010577023000068/amendedrestatedbylawsoct20.htm" TargetMode="External"/><Relationship Id="rId54" Type="http://schemas.openxmlformats.org/officeDocument/2006/relationships/hyperlink" Target="https://www.sec.gov/Archives/edgar/data/105770/0000105770-99-000016-index.html" TargetMode="External"/><Relationship Id="rId55" Type="http://schemas.openxmlformats.org/officeDocument/2006/relationships/hyperlink" Target="https://www.sec.gov/ix?doc=/Archives/edgar/data/105770/000010577024000055/wst-202407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2024-07-25T15:55:46Z</dcterms:created>
  <dcterms:modified xsi:type="dcterms:W3CDTF">2024-07-25T15:55:46Z</dcterms:modified>
</cp:coreProperties>
</file>