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Times New Roman" w:cs="Times New Roman" w:eastAsia="Times New Roman" w:hAnsi="Times New Roman"/>
          <w:sz w:val="4"/>
          <w:szCs w:val="4"/>
          <w:b w:val="1"/>
          <w:bCs w:val="1"/>
          <w:color w:val="auto"/>
        </w:rPr>
        <w:t>TRANSITION REPORT PURSUANT TO SECTION 13 OR 15(d) OF THE SECURITIES EXCHANGE ACT OF 1934</w:t>
      </w:r>
    </w:p>
    <w:p>
      <w:pPr>
        <w:spacing w:after="0" w:line="280" w:lineRule="exact"/>
        <w:rPr>
          <w:sz w:val="24"/>
          <w:szCs w:val="24"/>
          <w:color w:val="auto"/>
        </w:rPr>
      </w:pPr>
    </w:p>
    <w:p>
      <w:pPr>
        <w:ind w:left="41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WEST PHARMACEUTICAL SERVICES, INC.</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5"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23-1210010</w:t>
            </w:r>
          </w:p>
        </w:tc>
      </w:tr>
      <w:tr>
        <w:trPr>
          <w:trHeight w:val="234"/>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87"/>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530 Herman O. West Drive, Exton, PA</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19341-0645</w:t>
            </w:r>
          </w:p>
        </w:tc>
      </w:tr>
      <w:tr>
        <w:trPr>
          <w:trHeight w:val="234"/>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20"/>
          </w:cols>
          <w:pgMar w:left="320" w:top="1283"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260" w:space="720"/>
            <w:col w:w="1520" w:space="720"/>
            <w:col w:w="3900"/>
          </w:cols>
          <w:pgMar w:left="320" w:top="1283" w:right="459" w:bottom="1440" w:gutter="0" w:footer="0" w:header="0"/>
          <w:type w:val="continuous"/>
        </w:sectPr>
      </w:pPr>
    </w:p>
    <w:p>
      <w:pPr>
        <w:spacing w:after="0" w:line="7" w:lineRule="exact"/>
        <w:rPr>
          <w:sz w:val="24"/>
          <w:szCs w:val="24"/>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9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8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94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77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15, 2022, there were 74,075,617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3"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880" w:type="dxa"/>
            <w:vAlign w:val="bottom"/>
            <w:gridSpan w:val="18"/>
            <w:vMerge w:val="restart"/>
          </w:tcPr>
          <w:p>
            <w:pPr>
              <w:spacing w:after="0"/>
              <w:rPr>
                <w:sz w:val="18"/>
                <w:szCs w:val="18"/>
                <w:color w:val="auto"/>
              </w:rPr>
            </w:pPr>
          </w:p>
        </w:tc>
        <w:tc>
          <w:tcPr>
            <w:tcW w:w="72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5"/>
            <w:vMerge w:val="continue"/>
          </w:tcPr>
          <w:p>
            <w:pPr>
              <w:spacing w:after="0"/>
              <w:rPr>
                <w:sz w:val="18"/>
                <w:szCs w:val="18"/>
                <w:color w:val="auto"/>
              </w:rPr>
            </w:pPr>
          </w:p>
        </w:tc>
        <w:tc>
          <w:tcPr>
            <w:tcW w:w="6880" w:type="dxa"/>
            <w:vAlign w:val="bottom"/>
            <w:gridSpan w:val="18"/>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5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STATEMENTS (UNAUDITED)</w:t>
            </w:r>
          </w:p>
        </w:tc>
        <w:tc>
          <w:tcPr>
            <w:tcW w:w="386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3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Income for the Three Months ended March 31, 2022</w:t>
            </w:r>
          </w:p>
        </w:tc>
        <w:tc>
          <w:tcPr>
            <w:tcW w:w="580" w:type="dxa"/>
            <w:vAlign w:val="bottom"/>
            <w:gridSpan w:val="3"/>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0000FF"/>
              </w:rPr>
              <w:t>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4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and 2021</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380" w:type="dxa"/>
            <w:vAlign w:val="bottom"/>
            <w:gridSpan w:val="20"/>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for the Three Months ended</w:t>
            </w:r>
          </w:p>
        </w:tc>
        <w:tc>
          <w:tcPr>
            <w:tcW w:w="480" w:type="dxa"/>
            <w:vAlign w:val="bottom"/>
            <w:gridSpan w:val="2"/>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March 31, 2022 and 2021</w:t>
            </w:r>
          </w:p>
        </w:tc>
        <w:tc>
          <w:tcPr>
            <w:tcW w:w="60" w:type="dxa"/>
            <w:vAlign w:val="bottom"/>
            <w:tcBorders>
              <w:top w:val="single" w:sz="8" w:color="0000FF"/>
              <w:bottom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gridSpan w:val="2"/>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Balance Sheets at March 31, 2022 and December 31, 2021</w:t>
            </w:r>
          </w:p>
        </w:tc>
        <w:tc>
          <w:tcPr>
            <w:tcW w:w="102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3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 for the Three Months ended March 31,</w:t>
            </w:r>
          </w:p>
        </w:tc>
        <w:tc>
          <w:tcPr>
            <w:tcW w:w="48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2022 and 2021</w:t>
            </w:r>
          </w:p>
        </w:tc>
        <w:tc>
          <w:tcPr>
            <w:tcW w:w="5620" w:type="dxa"/>
            <w:vAlign w:val="bottom"/>
            <w:tcBorders>
              <w:top w:val="single" w:sz="8" w:color="0000FF"/>
            </w:tcBorders>
            <w:gridSpan w:val="11"/>
          </w:tcPr>
          <w:p>
            <w:pPr>
              <w:spacing w:after="0"/>
              <w:rPr>
                <w:sz w:val="14"/>
                <w:szCs w:val="14"/>
                <w:color w:val="auto"/>
              </w:rPr>
            </w:pPr>
          </w:p>
        </w:tc>
        <w:tc>
          <w:tcPr>
            <w:tcW w:w="440" w:type="dxa"/>
            <w:vAlign w:val="bottom"/>
            <w:gridSpan w:val="3"/>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3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5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0000FF"/>
              </w:rPr>
              <w:t>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3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w:t>
            </w:r>
          </w:p>
        </w:tc>
        <w:tc>
          <w:tcPr>
            <w:tcW w:w="48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RESULTS OF OPERATIONS</w:t>
            </w:r>
          </w:p>
        </w:tc>
        <w:tc>
          <w:tcPr>
            <w:tcW w:w="4200" w:type="dxa"/>
            <w:vAlign w:val="bottom"/>
            <w:tcBorders>
              <w:top w:val="single" w:sz="8" w:color="0000FF"/>
            </w:tcBorders>
            <w:gridSpan w:val="6"/>
          </w:tcPr>
          <w:p>
            <w:pPr>
              <w:spacing w:after="0"/>
              <w:rPr>
                <w:sz w:val="14"/>
                <w:szCs w:val="14"/>
                <w:color w:val="auto"/>
              </w:rPr>
            </w:pPr>
          </w:p>
        </w:tc>
        <w:tc>
          <w:tcPr>
            <w:tcW w:w="460" w:type="dxa"/>
            <w:vAlign w:val="bottom"/>
            <w:gridSpan w:val="4"/>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3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0000FF"/>
                <w:w w:val="99"/>
              </w:rPr>
              <w:t>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940" w:type="dxa"/>
            <w:vAlign w:val="bottom"/>
            <w:gridSpan w:val="5"/>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180" w:type="dxa"/>
            <w:vAlign w:val="bottom"/>
            <w:gridSpan w:val="19"/>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3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0000FF"/>
                <w:w w:val="99"/>
              </w:rPr>
              <w:t>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660" w:type="dxa"/>
            <w:vAlign w:val="bottom"/>
            <w:tcBorders>
              <w:top w:val="single" w:sz="8" w:color="0000FF"/>
            </w:tcBorders>
            <w:gridSpan w:val="2"/>
          </w:tcPr>
          <w:p>
            <w:pPr>
              <w:spacing w:after="0"/>
              <w:rPr>
                <w:sz w:val="18"/>
                <w:szCs w:val="18"/>
                <w:color w:val="auto"/>
              </w:rPr>
            </w:pPr>
          </w:p>
        </w:tc>
        <w:tc>
          <w:tcPr>
            <w:tcW w:w="5400" w:type="dxa"/>
            <w:vAlign w:val="bottom"/>
            <w:gridSpan w:val="12"/>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1000" w:type="dxa"/>
            <w:vAlign w:val="bottom"/>
            <w:gridSpan w:val="6"/>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3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0000FF"/>
                <w:w w:val="99"/>
              </w:rPr>
              <w:t>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37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F-1</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4" w:right="8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right="50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INCOME (UNAUDITED) </w:t>
      </w:r>
      <w:r>
        <w:rPr>
          <w:rFonts w:ascii="Times New Roman" w:cs="Times New Roman" w:eastAsia="Times New Roman" w:hAnsi="Times New Roman"/>
          <w:sz w:val="18"/>
          <w:szCs w:val="18"/>
          <w:color w:val="auto"/>
        </w:rPr>
        <w:t>West Pharmaceutical Services, Inc. and Subsidiaries (in millions, except per share data)</w:t>
      </w:r>
    </w:p>
    <w:p>
      <w:pPr>
        <w:spacing w:after="0" w:line="231"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32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4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(Note 15)</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187.8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affiliated companies</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173.8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4"/>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tcPr>
          <w:p>
            <w:pPr>
              <w:jc w:val="right"/>
              <w:ind w:right="7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w:t>
            </w:r>
          </w:p>
        </w:tc>
      </w:tr>
      <w:tr>
        <w:trPr>
          <w:trHeight w:val="21"/>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9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 adjustments, net of tax of $0.3 and $0.2</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on derivatives, net of tax of $(0.8) and $(0.7)</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Pharmaceutical Services, Inc.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31,</w:t>
            </w:r>
          </w:p>
        </w:tc>
        <w:tc>
          <w:tcPr>
            <w:tcW w:w="200" w:type="dxa"/>
            <w:vAlign w:val="bottom"/>
          </w:tcPr>
          <w:p>
            <w:pPr>
              <w:spacing w:after="0"/>
              <w:rPr>
                <w:sz w:val="17"/>
                <w:szCs w:val="17"/>
                <w:color w:val="auto"/>
              </w:rPr>
            </w:pPr>
          </w:p>
        </w:tc>
        <w:tc>
          <w:tcPr>
            <w:tcW w:w="13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762.6</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1,742.0</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1,157.5</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1,057.5</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affiliated companies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3,313.8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Notes payable and other current debt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salaries, wages and benefits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978.4</w:t>
            </w:r>
          </w:p>
        </w:tc>
        <w:tc>
          <w:tcPr>
            <w:tcW w:w="0" w:type="dxa"/>
            <w:vAlign w:val="bottom"/>
          </w:tcPr>
          <w:p>
            <w:pPr>
              <w:spacing w:after="0"/>
              <w:rPr>
                <w:sz w:val="1"/>
                <w:szCs w:val="1"/>
                <w:color w:val="auto"/>
              </w:rPr>
            </w:pPr>
          </w:p>
        </w:tc>
      </w:tr>
      <w:tr>
        <w:trPr>
          <w:trHeight w:val="132"/>
        </w:trPr>
        <w:tc>
          <w:tcPr>
            <w:tcW w:w="7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17)</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7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3.0 million shares authorized; 0 shares issued and outstanding</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220"/>
              <w:spacing w:after="0" w:line="162" w:lineRule="exact"/>
              <w:rPr>
                <w:sz w:val="20"/>
                <w:szCs w:val="20"/>
                <w:color w:val="auto"/>
              </w:rPr>
            </w:pPr>
            <w:r>
              <w:rPr>
                <w:rFonts w:ascii="Times New Roman" w:cs="Times New Roman" w:eastAsia="Times New Roman" w:hAnsi="Times New Roman"/>
                <w:sz w:val="17"/>
                <w:szCs w:val="17"/>
                <w:color w:val="auto"/>
              </w:rPr>
              <w:t>Common stock, par value $0.25 per share; 200.0 million shares authorized; shares issued: 75.3 million in 2022</w:t>
            </w:r>
          </w:p>
        </w:tc>
        <w:tc>
          <w:tcPr>
            <w:tcW w:w="2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26"/>
        </w:trPr>
        <w:tc>
          <w:tcPr>
            <w:tcW w:w="7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and 2021; shares outstanding: 74.1 million and 74.2 million</w:t>
            </w:r>
          </w:p>
        </w:tc>
        <w:tc>
          <w:tcPr>
            <w:tcW w:w="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2,456.7</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(1.2 million and 1.1 million shares)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2,335.4</w:t>
            </w:r>
          </w:p>
        </w:tc>
        <w:tc>
          <w:tcPr>
            <w:tcW w:w="0" w:type="dxa"/>
            <w:vAlign w:val="bottom"/>
          </w:tcPr>
          <w:p>
            <w:pPr>
              <w:spacing w:after="0"/>
              <w:rPr>
                <w:sz w:val="1"/>
                <w:szCs w:val="1"/>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5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(UNAUDITED) </w:t>
      </w:r>
      <w:r>
        <w:rPr>
          <w:rFonts w:ascii="Times New Roman" w:cs="Times New Roman" w:eastAsia="Times New Roman" w:hAnsi="Times New Roman"/>
          <w:sz w:val="18"/>
          <w:szCs w:val="18"/>
          <w:color w:val="auto"/>
        </w:rPr>
        <w:t>West Pharmaceutical Services, Inc. and Subsidiaries (in millions)</w:t>
      </w:r>
    </w:p>
    <w:p>
      <w:pPr>
        <w:spacing w:after="0" w:line="20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9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payments in excess of acquisition-date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non-cash items,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88"/>
        </w:trPr>
        <w:tc>
          <w:tcPr>
            <w:tcW w:w="7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88"/>
        </w:trPr>
        <w:tc>
          <w:tcPr>
            <w:tcW w:w="79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payments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stock-based compensation awards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repurchased for employee tax withholdings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162"/>
        </w:trPr>
        <w:tc>
          <w:tcPr>
            <w:tcW w:w="7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end of period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52" w:lineRule="exact"/>
        <w:rPr>
          <w:sz w:val="20"/>
          <w:szCs w:val="20"/>
          <w:color w:val="auto"/>
        </w:rPr>
      </w:pPr>
    </w:p>
    <w:p>
      <w:pPr>
        <w:ind w:right="60"/>
        <w:spacing w:after="0" w:line="25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 The condensed consolidated financial statements included in this report are unaudited and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months ended March 31, 2022, should be read in conjunction with the consolidated financial statements and notes thereto of West Pharmaceutical Services, Inc. and its majority-owned subsidiaries (which may be referred to as </w:t>
      </w:r>
      <w:hyperlink r:id="rId16">
        <w:r>
          <w:rPr>
            <w:rFonts w:ascii="Times New Roman" w:cs="Times New Roman" w:eastAsia="Times New Roman" w:hAnsi="Times New Roman"/>
            <w:sz w:val="18"/>
            <w:szCs w:val="18"/>
            <w:color w:val="auto"/>
          </w:rPr>
          <w:t>“West,” the “Company,” “we,” “us” or “our”) appearing in our Annual Report on Form 10-K for the year ended December 31, 2021 (the “</w:t>
        </w:r>
        <w:r>
          <w:rPr>
            <w:rFonts w:ascii="Times New Roman" w:cs="Times New Roman" w:eastAsia="Times New Roman" w:hAnsi="Times New Roman"/>
            <w:sz w:val="18"/>
            <w:szCs w:val="18"/>
            <w:u w:val="single" w:color="auto"/>
            <w:color w:val="0000FF"/>
          </w:rPr>
          <w:t>2021 Annual</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FF"/>
          </w:rPr>
          <w:t>Report</w:t>
        </w:r>
        <w:r>
          <w:rPr>
            <w:rFonts w:ascii="Times New Roman" w:cs="Times New Roman" w:eastAsia="Times New Roman" w:hAnsi="Times New Roman"/>
            <w:sz w:val="18"/>
            <w:szCs w:val="18"/>
            <w:color w:val="000000"/>
          </w:rPr>
          <w:t>”). The results of operations for any interim period are not necessarily indicative of results for the full year.</w:t>
        </w:r>
      </w:hyperlink>
    </w:p>
    <w:p>
      <w:pPr>
        <w:spacing w:after="0" w:line="216"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West has been actively monitoring the coronavirus (“COVID-19”) situation and its impact globally. Our production facilities continue to operate as they had prior to the COVID-19 pandemic, other than for enhanced safety measures intended to prevent the spread of the virus. The remote working arrangements and travel restrictions imposed by various governments had limited impact on our ability to maintain operations, as our manufacturing operations have generally been exempted from stay-at-home orders.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Standards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guidance that seeks to improve the transparency of financial disclosures for government assistance received by business entities. The amendment requires disclosures for transactions with a government accounted for by applying a grant or contribution accounting model by analogy, including (1) the types of transactions, (2) the accounting for those transactions, and (3) the effect of those transactions on an entity’s financial statements. This guidance is effective for fiscal years beginning after December 15, 2021. We adopted this guidance as of January 1, 2022, on a prospective basis. The adoption did not have a material impact on our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Issued Not Yet Adopted</w:t>
      </w:r>
    </w:p>
    <w:p>
      <w:pPr>
        <w:spacing w:after="0" w:line="243"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have identified the contracts impacted by reference rate reform, and have executed certain amendments to replace the use of LIBOR. The Company does not expect such adoption to cause a material impact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market group:</w:t>
      </w:r>
    </w:p>
    <w:p>
      <w:pPr>
        <w:spacing w:after="0" w:line="50"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product category:</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rPr>
                <w:sz w:val="17"/>
                <w:szCs w:val="17"/>
                <w:color w:val="auto"/>
              </w:rPr>
            </w:pPr>
          </w:p>
        </w:tc>
        <w:tc>
          <w:tcPr>
            <w:tcW w:w="326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9"/>
        </w:trPr>
        <w:tc>
          <w:tcPr>
            <w:tcW w:w="798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March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High-Value Product Components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High-Value Product Delivery Devices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Packaging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geographic location:</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980" w:type="dxa"/>
            <w:vAlign w:val="bottom"/>
          </w:tcPr>
          <w:p>
            <w:pPr>
              <w:spacing w:after="0"/>
              <w:rPr>
                <w:sz w:val="17"/>
                <w:szCs w:val="17"/>
                <w:color w:val="auto"/>
              </w:rPr>
            </w:pPr>
          </w:p>
        </w:tc>
        <w:tc>
          <w:tcPr>
            <w:tcW w:w="326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9"/>
        </w:trPr>
        <w:tc>
          <w:tcPr>
            <w:tcW w:w="798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March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 assets and liabilities, excluding contract assets included in accounts receivable, net:</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March 31, 2022</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March 31, 2022</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income - decrease (increase)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2022, $9.7 million of revenue was recognized that was included in deferred income at the beginning of the year.</w:t>
      </w:r>
    </w:p>
    <w:p>
      <w:pPr>
        <w:spacing w:after="0" w:line="26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 within a specific therapeutic area. As of March 31, 2022, there was $3.7 million of unearned income related to this payment, of which $0.9 million was included in other current liabilities and $2.8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shares used in the calculation of basic net income per share to those used for diluted net income per share:</w:t>
      </w:r>
    </w:p>
    <w:p>
      <w:pPr>
        <w:spacing w:after="0" w:line="38"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9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equity awards, based on the treasury stock method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there were 0.0 million and 0.1 million shares, respectively, from stock-based compensation plans not included in the computation of diluted net income per share because their impact was antidilutive.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December 2021, our Board of Directors approved a share repurchase program for calendar-year 2022 authorizing the repurchase of up to 650,000 shares of our common stock from time to time on the open market as permitted under Exchange Act Rule 10b-18 or in privately-negotiated transactions. The number of shares to be repurchased and the timing of such transactions will depend on a variety of factors, including market conditions. This share repurchase program is expected to be completed by December 31, 2022.</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purchased 390,000 shares of our common stock under the program at a cost of $147.1 million, or an average price of $377.23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Inventories are valued at the lower of cost (on a first-in, first-out basis) and net realizable value. Inventory balances were as follows:</w:t>
            </w:r>
          </w:p>
        </w:tc>
        <w:tc>
          <w:tcPr>
            <w:tcW w:w="1660" w:type="dxa"/>
            <w:vAlign w:val="bottom"/>
          </w:tcPr>
          <w:p>
            <w:pPr>
              <w:spacing w:after="0"/>
              <w:rPr>
                <w:sz w:val="24"/>
                <w:szCs w:val="24"/>
                <w:color w:val="auto"/>
              </w:rPr>
            </w:pPr>
          </w:p>
        </w:tc>
      </w:tr>
      <w:tr>
        <w:trPr>
          <w:trHeight w:val="203"/>
        </w:trPr>
        <w:tc>
          <w:tcPr>
            <w:tcW w:w="6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Pr>
          <w:p>
            <w:pPr>
              <w:spacing w:after="0"/>
              <w:rPr>
                <w:sz w:val="17"/>
                <w:szCs w:val="17"/>
                <w:color w:val="auto"/>
              </w:rPr>
            </w:pPr>
          </w:p>
        </w:tc>
        <w:tc>
          <w:tcPr>
            <w:tcW w:w="166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23"/>
        </w:trPr>
        <w:tc>
          <w:tcPr>
            <w:tcW w:w="66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1"/>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5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December 31, 2021, the weighted average remaining lease term for operating leases was 10.4 years and 10.7 years,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December 31, 2021, the weighted average discount rate was 3.52% and 3.58%,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60" w:type="dxa"/>
            <w:vAlign w:val="bottom"/>
          </w:tcPr>
          <w:p>
            <w:pPr>
              <w:spacing w:after="0"/>
              <w:rPr>
                <w:sz w:val="21"/>
                <w:szCs w:val="2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period as of)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8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lease interest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Affiliated Companies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March 31, 2022 and December 31, 2021, the aggregate carrying amount of our investment in affiliated companies that are accounted for under the equity method was $198.0 million and $201.2 million, respectively, and the aggregate carrying amount of our investment in affiliated companies that are not accounted for under the equity method was $10.1 million and $6.5 million at March 31, 2022 and December 31, 2021,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purchases from, and royalty payments made to, affiliates totaled $58.5 million for the three months ended March 31, 2022, as compared to $38.0 million for the same period in 2021. As of March 31, 2022 and December 31, 2021, the payable balance due to affiliates was $45.1 million and $25.5 million, respectively. The majority of these transactions related to a distributorship agreement with Daikyo that allows us to purchase and re-sell Daikyo products.</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Sales to affiliates were $4.0 million for the three months ended March 31, 2022, as compared to $2.9 million for the same period in 2021. As of March 31, 2022 and December 31, 2021, the receivable balance due from affiliates was $3.3 million and $2.3 million, respectively.</w:t>
      </w:r>
    </w:p>
    <w:p>
      <w:pPr>
        <w:spacing w:after="0" w:line="18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refer to Note 7, </w:t>
      </w:r>
      <w:r>
        <w:rPr>
          <w:rFonts w:ascii="Times New Roman" w:cs="Times New Roman" w:eastAsia="Times New Roman" w:hAnsi="Times New Roman"/>
          <w:sz w:val="18"/>
          <w:szCs w:val="18"/>
          <w:i w:val="1"/>
          <w:iCs w:val="1"/>
          <w:color w:val="auto"/>
        </w:rPr>
        <w:t>Affiliated Companies</w:t>
      </w:r>
      <w:r>
        <w:rPr>
          <w:rFonts w:ascii="Times New Roman" w:cs="Times New Roman" w:eastAsia="Times New Roman" w:hAnsi="Times New Roman"/>
          <w:sz w:val="18"/>
          <w:szCs w:val="18"/>
          <w:color w:val="auto"/>
        </w:rPr>
        <w:t xml:space="preserve">, to the consolidated financial statements in our </w:t>
      </w:r>
      <w:hyperlink r:id="rId16">
        <w:r>
          <w:rPr>
            <w:rFonts w:ascii="Times New Roman" w:cs="Times New Roman" w:eastAsia="Times New Roman" w:hAnsi="Times New Roman"/>
            <w:sz w:val="18"/>
            <w:szCs w:val="18"/>
            <w:u w:val="single" w:color="auto"/>
            <w:color w:val="0000FF"/>
          </w:rPr>
          <w:t>2021 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5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The following table summarizes our long-term debt obligations, net of unamortized debt issuance costs and current maturities. The interest rates shown in parentheses are as of March 31, 2022.</w:t>
      </w: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15"/>
                <w:szCs w:val="15"/>
                <w:color w:val="auto"/>
              </w:rPr>
            </w:pPr>
          </w:p>
        </w:tc>
        <w:tc>
          <w:tcPr>
            <w:tcW w:w="136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December 31, 2024 (1.63%)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notes, due July 5, 2022 (3.67%)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notes, due July 5, 2024 (3.82%)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C notes, due July 5, 2027 (4.02%)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7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March 2022, we amended and extended the existing credit facility (entered into in March 2019), which was scheduled to expire in March 2024, from $300.0 million to a $500.0 million senior unsecured revolving credit facility by entering into a Second Amendment and Joinder and Assumption Agreement (the "Amended Credit Agreement"), filed on Form 8-K dated March 31, 2022. The Amended Credit Agreement, which expires March 2027, contains a senior unsecured, multi-currency revolving credit facility of $500.0 million, with sublimits of up to $50.0 million for swing line loans for Domestic Borrowers in U.S. dollars and a $40.0 million swing line loan for West Pharmaceuticals Services Holding GmbH and up to $50.0 million for the issuance of standby letters of credit. The credit facility may be increased from time-to-time by the greater of (a) $929.0 million or (b) EBITDA for the preceding twelve month period in the aggregate through an increase in the revolving credit facility, subject to the satisfaction of certain conditions. Borrowings under the credit facility bear interest, at the Company’s option, at either: (a) the Term Secured Overnight Financing Rate (“SOFR”) plus 0.10% plus an applicable margin; or (b) a base rate defined as the highest of: (i) the Bank of America “prime rate”; (ii) the Federal Funds effective rate plus</w:t>
      </w:r>
    </w:p>
    <w:p>
      <w:pPr>
        <w:spacing w:after="0" w:line="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0.50%; and (iii) Term SOFR plus 1.00%. The applicable margin is based on the ratio of the Company’s Net Consolidated Debt to its modified EBITDA, ranging from 0 to 37.5 basis points for base rate loans and 87.5 to 137.5 basis points for Term SOFR loans. The Amended Credit Agreement contains financial covenants providing that the Company shall not permit the ratio of the Company’s Net Consolidated Debt to its Modified EBITDA to be greater than 3.5 to 1; provided that, no more than three times during the term of the Amended Credit Agreement, upon the occurrence of a Qualified Acquisition for each of the four fiscal quarters of the Company immediately following such Qualified Acquisition, the ratio set forth above shall be increased to 4.0 to</w:t>
      </w:r>
    </w:p>
    <w:p>
      <w:pPr>
        <w:spacing w:after="0" w:line="2" w:lineRule="exact"/>
        <w:rPr>
          <w:sz w:val="20"/>
          <w:szCs w:val="20"/>
          <w:color w:val="auto"/>
        </w:rPr>
      </w:pPr>
    </w:p>
    <w:p>
      <w:pPr>
        <w:ind w:right="220" w:firstLine="8"/>
        <w:spacing w:after="0" w:line="260"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Credit Agreement also contains customary limitations on liens securing indebtedness of the Company and its subsidiaries, fundamental changes (mergers, consolidations, liquidations and dissolutions), asset sales, distributions and acquisitions.</w:t>
      </w:r>
    </w:p>
    <w:p>
      <w:pPr>
        <w:spacing w:after="0" w:line="2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March 31, 2022, the borrowing capacity available under our $500.0 million multi-currency revolving credit facility, including outstanding letters of credit of $2.4 million, was $497.6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At March 31, 2022, we had $84.9 million in borrowings under the Term Loan, of which $2.2 million was classified as current and $82.7 million was classified as long-term.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auto"/>
        </w:rPr>
        <w:t>, for a discussion of the foreign currency hedge associated with the Term Loan.</w:t>
      </w:r>
    </w:p>
    <w:p>
      <w:pPr>
        <w:spacing w:after="0" w:line="201"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consolidated financial statements in our </w:t>
      </w:r>
      <w:hyperlink r:id="rId16">
        <w:r>
          <w:rPr>
            <w:rFonts w:ascii="Times New Roman" w:cs="Times New Roman" w:eastAsia="Times New Roman" w:hAnsi="Times New Roman"/>
            <w:sz w:val="18"/>
            <w:szCs w:val="18"/>
            <w:u w:val="single" w:color="auto"/>
            <w:color w:val="0000FF"/>
          </w:rPr>
          <w:t>2021 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additional details regarding our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 Financial Instruments</w:t>
      </w:r>
    </w:p>
    <w:p>
      <w:pPr>
        <w:spacing w:after="0" w:line="25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entered into forward exchange contracts, designated as fair value hedges, to manage our exposure to fluctuating foreign exchange rates on cross-currency intercompany loans. As of both March 31, 2022 and December 31, 2021, the total amount of these forward exchange contracts was Singapore Dollar (“SGD”) 601.5 million and $13.4 million.</w:t>
      </w:r>
    </w:p>
    <w:p>
      <w:pPr>
        <w:spacing w:after="0" w:line="20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March 31, 2022, we had outstanding foreign currency contracts to purchase and sell certain pairs of currencies, as follows:</w:t>
      </w:r>
    </w:p>
    <w:tbl>
      <w:tblPr>
        <w:tblLayout w:type="fixed"/>
        <w:tblInd w:w="0" w:type="dxa"/>
        <w:tblCellMar>
          <w:top w:w="0" w:type="dxa"/>
          <w:left w:w="0" w:type="dxa"/>
          <w:bottom w:w="0" w:type="dxa"/>
          <w:right w:w="0" w:type="dxa"/>
        </w:tblCellMar>
      </w:tblP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Sell</w:t>
            </w:r>
          </w:p>
        </w:tc>
        <w:tc>
          <w:tcPr>
            <w:tcW w:w="1800" w:type="dxa"/>
            <w:vAlign w:val="bottom"/>
            <w:tcBorders>
              <w:bottom w:val="single" w:sz="8" w:color="auto"/>
            </w:tcBorders>
          </w:tcPr>
          <w:p>
            <w:pPr>
              <w:spacing w:after="0"/>
              <w:rPr>
                <w:sz w:val="20"/>
                <w:szCs w:val="20"/>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5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Purchase</w:t>
            </w:r>
          </w:p>
        </w:tc>
        <w:tc>
          <w:tcPr>
            <w:tcW w:w="298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USD</w:t>
            </w:r>
          </w:p>
        </w:tc>
        <w:tc>
          <w:tcPr>
            <w:tcW w:w="1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EUR</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120" w:type="dxa"/>
            <w:vAlign w:val="bottom"/>
          </w:tcPr>
          <w:p>
            <w:pPr>
              <w:spacing w:after="0"/>
              <w:rPr>
                <w:sz w:val="19"/>
                <w:szCs w:val="19"/>
                <w:color w:val="auto"/>
              </w:rPr>
            </w:pPr>
          </w:p>
        </w:tc>
        <w:tc>
          <w:tcPr>
            <w:tcW w:w="2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9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3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2019, we entered into a cross-currency swap for $90 million, which we designated as a hedge of our net investment in Daikyo. As of March 31, 2022, the notional amount of the cross-currency swap was ¥9.3 billion ($84.9 million) and the swap termination date is December 31, 2024. Under the cross-currency swap, we receive floating interest rate payments based on USD compounded SOFR plus a margin, in return for paying floating interest rate payments based on Japanese Yen (“Yen”) Tokyo Overnight Average Rate ("TONAR") plus a margin.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November 2017 through March 2022, we purchased several series of call options for a total of 640,267 barrels of crude oil to mitigate our exposure to such oil-based surcharges and protect operating cash flows with regards to a portion of our forecasted elastomer purchases.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2022, we had outstanding contracts to purchase 154,320 barrels of crude oil from March 2022 to June 2023, at a weighted-average strike price of $76.06 per barrel.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Derivative Instruments on Financial Position and Results of Operations</w:t>
      </w:r>
    </w:p>
    <w:p>
      <w:pPr>
        <w:spacing w:after="0" w:line="25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10, </w:t>
      </w:r>
      <w:r>
        <w:rPr>
          <w:rFonts w:ascii="Times New Roman" w:cs="Times New Roman" w:eastAsia="Times New Roman" w:hAnsi="Times New Roman"/>
          <w:sz w:val="18"/>
          <w:szCs w:val="18"/>
          <w:i w:val="1"/>
          <w:iCs w:val="1"/>
          <w:u w:val="single" w:color="auto"/>
          <w:color w:val="0000FF"/>
        </w:rPr>
        <w:t>Fair Value Measurements</w:t>
      </w:r>
      <w:r>
        <w:rPr>
          <w:rFonts w:ascii="Times New Roman" w:cs="Times New Roman" w:eastAsia="Times New Roman" w:hAnsi="Times New Roman"/>
          <w:sz w:val="18"/>
          <w:szCs w:val="18"/>
          <w:color w:val="auto"/>
        </w:rPr>
        <w:t>, for the balance sheet location and fair values of our derivative instruments as of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hedges on the condensed consolidated statements of income:</w:t>
      </w:r>
    </w:p>
    <w:p>
      <w:pPr>
        <w:spacing w:after="0" w:line="38"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Amount of Gain (Loss)</w:t>
      </w:r>
    </w:p>
    <w:p>
      <w:pPr>
        <w:jc w:val="center"/>
        <w:ind w:left="2780"/>
        <w:spacing w:after="0"/>
        <w:rPr>
          <w:sz w:val="20"/>
          <w:szCs w:val="20"/>
          <w:color w:val="auto"/>
        </w:rPr>
      </w:pPr>
      <w:r>
        <w:rPr>
          <w:rFonts w:ascii="Times New Roman" w:cs="Times New Roman" w:eastAsia="Times New Roman" w:hAnsi="Times New Roman"/>
          <w:sz w:val="18"/>
          <w:szCs w:val="18"/>
          <w:color w:val="auto"/>
        </w:rPr>
        <w:t>Recognized in Income for the</w:t>
      </w: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ind w:left="240"/>
              <w:spacing w:after="0" w:line="196" w:lineRule="exact"/>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43"/>
        </w:trPr>
        <w:tc>
          <w:tcPr>
            <w:tcW w:w="5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 (intercompany loan)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9.9</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excluded from effectiveness testing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7"/>
              </w:rPr>
              <w:t>0.6</w:t>
            </w:r>
          </w:p>
        </w:tc>
        <w:tc>
          <w:tcPr>
            <w:tcW w:w="1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recognize in earnings the initial value of forward point components on a straight-line basis over the life of the fair value hedge. The amounts recognized in earnings, pre-tax, for forward point components for the three months ended March 31, 2022 and 2021 were $0.8 million and $0.6 million, respectively.</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effects of derivative instruments designated as fair value, cash flow, and net investment hedges on other comprehensive income (“OCI”) and earnings, net of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Amount of (Loss) Gain</w:t>
            </w:r>
          </w:p>
        </w:tc>
        <w:tc>
          <w:tcPr>
            <w:tcW w:w="120" w:type="dxa"/>
            <w:vAlign w:val="bottom"/>
          </w:tcPr>
          <w:p>
            <w:pPr>
              <w:spacing w:after="0"/>
              <w:rPr>
                <w:sz w:val="17"/>
                <w:szCs w:val="17"/>
                <w:color w:val="auto"/>
              </w:rPr>
            </w:pPr>
          </w:p>
        </w:tc>
        <w:tc>
          <w:tcPr>
            <w:tcW w:w="20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Recognized in OCI for the</w:t>
            </w:r>
          </w:p>
        </w:tc>
        <w:tc>
          <w:tcPr>
            <w:tcW w:w="120" w:type="dxa"/>
            <w:vAlign w:val="bottom"/>
          </w:tcPr>
          <w:p>
            <w:pPr>
              <w:spacing w:after="0"/>
              <w:rPr>
                <w:sz w:val="20"/>
                <w:szCs w:val="20"/>
                <w:color w:val="auto"/>
              </w:rPr>
            </w:pPr>
          </w:p>
        </w:tc>
        <w:tc>
          <w:tcPr>
            <w:tcW w:w="20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OCI into Income for the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7"/>
                <w:szCs w:val="17"/>
                <w:color w:val="auto"/>
              </w:rPr>
            </w:pPr>
          </w:p>
        </w:tc>
        <w:tc>
          <w:tcPr>
            <w:tcW w:w="2080" w:type="dxa"/>
            <w:vAlign w:val="bottom"/>
            <w:gridSpan w:val="3"/>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Location of (Gain) Loss Reclassified</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March 31,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Accumulated OCI into Income</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4"/>
          </w:tcPr>
          <w:p>
            <w:pPr>
              <w:jc w:val="center"/>
              <w:ind w:right="250"/>
              <w:spacing w:after="0" w:line="182" w:lineRule="exact"/>
              <w:rPr>
                <w:sz w:val="20"/>
                <w:szCs w:val="20"/>
                <w:color w:val="auto"/>
              </w:rPr>
            </w:pPr>
            <w:r>
              <w:rPr>
                <w:rFonts w:ascii="Times New Roman" w:cs="Times New Roman" w:eastAsia="Times New Roman" w:hAnsi="Times New Roman"/>
                <w:sz w:val="18"/>
                <w:szCs w:val="18"/>
                <w:color w:val="auto"/>
                <w:w w:val="99"/>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not designated as hedges on the condensed consolidated statements of income:</w:t>
      </w:r>
    </w:p>
    <w:p>
      <w:pPr>
        <w:spacing w:after="0" w:line="38"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color w:val="auto"/>
        </w:rPr>
        <w:t>Amount of Gain (Loss)</w:t>
      </w:r>
    </w:p>
    <w:p>
      <w:pPr>
        <w:jc w:val="center"/>
        <w:ind w:left="1380"/>
        <w:spacing w:after="0"/>
        <w:rPr>
          <w:sz w:val="20"/>
          <w:szCs w:val="20"/>
          <w:color w:val="auto"/>
        </w:rPr>
      </w:pPr>
      <w:r>
        <w:rPr>
          <w:rFonts w:ascii="Times New Roman" w:cs="Times New Roman" w:eastAsia="Times New Roman" w:hAnsi="Times New Roman"/>
          <w:sz w:val="18"/>
          <w:szCs w:val="18"/>
          <w:color w:val="auto"/>
        </w:rPr>
        <w:t>Recognized in Income for the</w:t>
      </w: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ind w:left="240"/>
              <w:spacing w:after="0" w:line="196" w:lineRule="exact"/>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43"/>
        </w:trPr>
        <w:tc>
          <w:tcPr>
            <w:tcW w:w="5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and 2021, there was no material ineffectiveness related to our hedges.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0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80" w:right="180" w:hanging="324"/>
        <w:spacing w:after="0" w:line="312" w:lineRule="auto"/>
        <w:tabs>
          <w:tab w:leader="none" w:pos="9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Balance at</w:t>
            </w:r>
          </w:p>
        </w:tc>
        <w:tc>
          <w:tcPr>
            <w:tcW w:w="112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Basis of Fair Value Measurements</w:t>
            </w:r>
          </w:p>
        </w:tc>
        <w:tc>
          <w:tcPr>
            <w:tcW w:w="1140" w:type="dxa"/>
            <w:vAlign w:val="bottom"/>
            <w:tcBorders>
              <w:bottom w:val="single" w:sz="8" w:color="auto"/>
            </w:tcBorders>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w w:val="99"/>
              </w:rPr>
              <w:t>March 31,</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2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Balance at</w:t>
            </w: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Basis of Fair Value Measurements</w:t>
            </w:r>
          </w:p>
        </w:tc>
        <w:tc>
          <w:tcPr>
            <w:tcW w:w="114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color w:val="auto"/>
                <w:w w:val="98"/>
              </w:rPr>
              <w:t>December 31,</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2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Times New Roman" w:cs="Times New Roman" w:eastAsia="Times New Roman" w:hAnsi="Times New Roman"/>
          <w:sz w:val="18"/>
          <w:szCs w:val="18"/>
          <w:i w:val="1"/>
          <w:iCs w:val="1"/>
          <w:u w:val="single" w:color="auto"/>
          <w:color w:val="0000FF"/>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Instruments</w:t>
      </w:r>
      <w:r>
        <w:rPr>
          <w:rFonts w:ascii="Times New Roman" w:cs="Times New Roman" w:eastAsia="Times New Roman" w:hAnsi="Times New Roman"/>
          <w:sz w:val="18"/>
          <w:szCs w:val="18"/>
          <w:color w:val="000000"/>
        </w:rPr>
        <w:t>, for further discussion of our derivatives. The fair value of our commodity call options, included within other current and other noncurrent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assets, is valued using a market approach. The fair value of the contingent consideration liability, within current and long-term liabilities, related to the SmartDose</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000000"/>
        </w:rPr>
        <w:t xml:space="preserve"> technology platform (the “SmartDose</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000000"/>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(income) expense in our condensed consolidated statements of income. The fair value of deferred compensation liabilities is based on quoted prices of the underlying employees’ investment selections and is included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believe that the carrying amounts of our cash and cash equivalents and accounts receivable approximate their fair values due to their near-term maturities.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 of long-term debt is based on quoted market prices for debt issuances with similar terms and maturities and is classified as Level 2 within the fair value hierarchy. At March 31, 2022, the estimated fair value of long-term debt was $210.4 million compared to a carrying amount of $208.3 million. At December 31, 2021, the estimated fair value of long-term debt was $217.9 million and the carrying amount was $208.8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three months</w:t>
      </w:r>
    </w:p>
    <w:p>
      <w:pPr>
        <w:sectPr>
          <w:pgSz w:w="11900" w:h="16838" w:orient="portrait"/>
          <w:cols w:equalWidth="0" w:num="1">
            <w:col w:w="11240"/>
          </w:cols>
          <w:pgMar w:left="320" w:top="124"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2022:</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2021</w:t>
      </w:r>
    </w:p>
    <w:p>
      <w:pPr>
        <w:spacing w:after="0" w:line="27" w:lineRule="exact"/>
        <w:rPr>
          <w:sz w:val="20"/>
          <w:szCs w:val="20"/>
          <w:color w:val="auto"/>
        </w:rPr>
      </w:pPr>
    </w:p>
    <w:p>
      <w:pPr>
        <w:ind w:left="100" w:right="320"/>
        <w:spacing w:after="0" w:line="234" w:lineRule="auto"/>
        <w:rPr>
          <w:sz w:val="20"/>
          <w:szCs w:val="20"/>
          <w:color w:val="auto"/>
        </w:rPr>
      </w:pPr>
      <w:r>
        <w:rPr>
          <w:rFonts w:ascii="Times New Roman" w:cs="Times New Roman" w:eastAsia="Times New Roman" w:hAnsi="Times New Roman"/>
          <w:sz w:val="18"/>
          <w:szCs w:val="18"/>
          <w:color w:val="auto"/>
        </w:rPr>
        <w:t>Other comprehensive (loss) income before reclassifications</w:t>
      </w:r>
    </w:p>
    <w:p>
      <w:pPr>
        <w:spacing w:after="0" w:line="10" w:lineRule="exact"/>
        <w:rPr>
          <w:sz w:val="20"/>
          <w:szCs w:val="20"/>
          <w:color w:val="auto"/>
        </w:rPr>
      </w:pPr>
    </w:p>
    <w:p>
      <w:pPr>
        <w:ind w:left="100"/>
        <w:spacing w:after="0" w:line="236" w:lineRule="auto"/>
        <w:rPr>
          <w:sz w:val="20"/>
          <w:szCs w:val="20"/>
          <w:color w:val="auto"/>
        </w:rPr>
      </w:pPr>
      <w:r>
        <w:rPr>
          <w:rFonts w:ascii="Times New Roman" w:cs="Times New Roman" w:eastAsia="Times New Roman" w:hAnsi="Times New Roman"/>
          <w:sz w:val="17"/>
          <w:szCs w:val="17"/>
          <w:color w:val="auto"/>
        </w:rPr>
        <w:t>Amounts reclassified out from accumulated other comprehensive (loss)</w:t>
      </w:r>
    </w:p>
    <w:p>
      <w:pPr>
        <w:ind w:left="100"/>
        <w:spacing w:after="0"/>
        <w:rPr>
          <w:sz w:val="20"/>
          <w:szCs w:val="20"/>
          <w:color w:val="auto"/>
        </w:rPr>
      </w:pPr>
      <w:r>
        <w:rPr>
          <w:rFonts w:ascii="Times New Roman" w:cs="Times New Roman" w:eastAsia="Times New Roman" w:hAnsi="Times New Roman"/>
          <w:sz w:val="18"/>
          <w:szCs w:val="18"/>
          <w:color w:val="auto"/>
        </w:rPr>
        <w:t>income</w:t>
      </w:r>
    </w:p>
    <w:p>
      <w:pPr>
        <w:spacing w:after="0" w:line="7" w:lineRule="exact"/>
        <w:rPr>
          <w:sz w:val="20"/>
          <w:szCs w:val="20"/>
          <w:color w:val="auto"/>
        </w:rPr>
      </w:pPr>
    </w:p>
    <w:p>
      <w:pPr>
        <w:ind w:left="100" w:right="20"/>
        <w:spacing w:after="0" w:line="234" w:lineRule="auto"/>
        <w:rPr>
          <w:sz w:val="20"/>
          <w:szCs w:val="20"/>
          <w:color w:val="auto"/>
        </w:rPr>
      </w:pPr>
      <w:r>
        <w:rPr>
          <w:rFonts w:ascii="Times New Roman" w:cs="Times New Roman" w:eastAsia="Times New Roman" w:hAnsi="Times New Roman"/>
          <w:sz w:val="18"/>
          <w:szCs w:val="18"/>
          <w:color w:val="auto"/>
        </w:rPr>
        <w:t>Other comprehensive (loss) income, net of tax</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March 31, 2022</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(Losses) gains on</w:t>
            </w: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Change in equity</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Defined benefit</w:t>
            </w:r>
          </w:p>
        </w:tc>
        <w:tc>
          <w:tcPr>
            <w:tcW w:w="18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594"/>
        </w:trPr>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-831215</wp:posOffset>
            </wp:positionV>
            <wp:extent cx="713232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24" w:right="33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three months</w:t>
      </w:r>
    </w:p>
    <w:p>
      <w:pPr>
        <w:sectPr>
          <w:pgSz w:w="11900" w:h="16838" w:orient="portrait"/>
          <w:cols w:equalWidth="0" w:num="1">
            <w:col w:w="11240"/>
          </w:cols>
          <w:pgMar w:left="320" w:top="124"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2021:</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2020</w:t>
      </w:r>
    </w:p>
    <w:p>
      <w:pPr>
        <w:spacing w:after="0" w:line="27" w:lineRule="exact"/>
        <w:rPr>
          <w:sz w:val="20"/>
          <w:szCs w:val="20"/>
          <w:color w:val="auto"/>
        </w:rPr>
      </w:pPr>
    </w:p>
    <w:p>
      <w:pPr>
        <w:ind w:left="100" w:right="320"/>
        <w:spacing w:after="0" w:line="234" w:lineRule="auto"/>
        <w:rPr>
          <w:sz w:val="20"/>
          <w:szCs w:val="20"/>
          <w:color w:val="auto"/>
        </w:rPr>
      </w:pPr>
      <w:r>
        <w:rPr>
          <w:rFonts w:ascii="Times New Roman" w:cs="Times New Roman" w:eastAsia="Times New Roman" w:hAnsi="Times New Roman"/>
          <w:sz w:val="18"/>
          <w:szCs w:val="18"/>
          <w:color w:val="auto"/>
        </w:rPr>
        <w:t>Other comprehensive (loss) income before reclassifications</w:t>
      </w:r>
    </w:p>
    <w:p>
      <w:pPr>
        <w:spacing w:after="0" w:line="10" w:lineRule="exact"/>
        <w:rPr>
          <w:sz w:val="20"/>
          <w:szCs w:val="20"/>
          <w:color w:val="auto"/>
        </w:rPr>
      </w:pPr>
    </w:p>
    <w:p>
      <w:pPr>
        <w:ind w:left="100"/>
        <w:spacing w:after="0" w:line="226" w:lineRule="auto"/>
        <w:rPr>
          <w:sz w:val="20"/>
          <w:szCs w:val="20"/>
          <w:color w:val="auto"/>
        </w:rPr>
      </w:pPr>
      <w:r>
        <w:rPr>
          <w:rFonts w:ascii="Times New Roman" w:cs="Times New Roman" w:eastAsia="Times New Roman" w:hAnsi="Times New Roman"/>
          <w:sz w:val="18"/>
          <w:szCs w:val="18"/>
          <w:color w:val="auto"/>
        </w:rPr>
        <w:t>Amounts reclassified out from accumulated other comprehensive (loss) income</w:t>
      </w:r>
    </w:p>
    <w:p>
      <w:pPr>
        <w:spacing w:after="0" w:line="9" w:lineRule="exact"/>
        <w:rPr>
          <w:sz w:val="20"/>
          <w:szCs w:val="20"/>
          <w:color w:val="auto"/>
        </w:rPr>
      </w:pPr>
    </w:p>
    <w:p>
      <w:pPr>
        <w:ind w:left="100" w:right="20"/>
        <w:spacing w:after="0" w:line="237" w:lineRule="auto"/>
        <w:rPr>
          <w:sz w:val="20"/>
          <w:szCs w:val="20"/>
          <w:color w:val="auto"/>
        </w:rPr>
      </w:pPr>
      <w:r>
        <w:rPr>
          <w:rFonts w:ascii="Times New Roman" w:cs="Times New Roman" w:eastAsia="Times New Roman" w:hAnsi="Times New Roman"/>
          <w:sz w:val="18"/>
          <w:szCs w:val="18"/>
          <w:color w:val="auto"/>
        </w:rPr>
        <w:t>Other comprehensive (loss) income, net of tax</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March 31, 2021</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(Losses) gains on</w:t>
            </w: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Change in equity</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Defined benefit</w:t>
            </w:r>
          </w:p>
        </w:tc>
        <w:tc>
          <w:tcPr>
            <w:tcW w:w="18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398"/>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594"/>
        </w:trPr>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98"/>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-831215</wp:posOffset>
            </wp:positionV>
            <wp:extent cx="713232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reclassifications out of accumulated other comprehensive loss is presented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8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50"/>
        </w:trPr>
        <w:tc>
          <w:tcPr>
            <w:tcW w:w="5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Detail of components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23"/>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auto"/>
            </w:tcBorders>
            <w:shd w:val="clear" w:color="auto" w:fill="CCEEFF"/>
          </w:tcPr>
          <w:p>
            <w:pPr>
              <w:spacing w:after="0"/>
              <w:rPr>
                <w:sz w:val="19"/>
                <w:szCs w:val="19"/>
                <w:color w:val="auto"/>
              </w:rPr>
            </w:pPr>
          </w:p>
        </w:tc>
      </w:tr>
      <w:tr>
        <w:trPr>
          <w:trHeight w:val="229"/>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229"/>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r>
      <w:tr>
        <w:trPr>
          <w:trHeight w:val="230"/>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8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r>
      <w:tr>
        <w:trPr>
          <w:trHeight w:val="229"/>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treasury locks</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r>
      <w:tr>
        <w:trPr>
          <w:trHeight w:val="22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r>
      <w:tr>
        <w:trPr>
          <w:trHeight w:val="197"/>
        </w:trPr>
        <w:tc>
          <w:tcPr>
            <w:tcW w:w="54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Amortization of defined benefit pension and other postretirement plans:</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r>
      <w:tr>
        <w:trPr>
          <w:trHeight w:val="229"/>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service credit</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29"/>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losses</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30"/>
        </w:trPr>
        <w:tc>
          <w:tcPr>
            <w:tcW w:w="54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2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r>
      <w:tr>
        <w:trPr>
          <w:trHeight w:val="22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r>
      <w:tr>
        <w:trPr>
          <w:trHeight w:val="22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317"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components are included in the computation of net periodic benefit cost. Please refer to Note 14,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auto"/>
        </w:rPr>
        <w:t>, for additional details.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three months ended March 31, 2022: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Capital in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8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8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8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2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7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820" w:type="dxa"/>
            <w:vAlign w:val="bottom"/>
            <w:vMerge w:val="continue"/>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$2,335.4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($0.18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$2,326.2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three months ended 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Capital in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Treasury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Shares</w:t>
            </w:r>
          </w:p>
        </w:tc>
        <w:tc>
          <w:tcPr>
            <w:tcW w:w="860" w:type="dxa"/>
            <w:vAlign w:val="bottom"/>
            <w:gridSpan w:val="3"/>
            <w:vMerge w:val="continue"/>
          </w:tcPr>
          <w:p>
            <w:pPr>
              <w:spacing w:after="0"/>
              <w:rPr>
                <w:sz w:val="15"/>
                <w:szCs w:val="15"/>
                <w:color w:val="auto"/>
              </w:rPr>
            </w:pPr>
          </w:p>
        </w:tc>
        <w:tc>
          <w:tcPr>
            <w:tcW w:w="100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40" w:type="dxa"/>
            <w:vAlign w:val="bottom"/>
          </w:tcPr>
          <w:p>
            <w:pPr>
              <w:spacing w:after="0"/>
              <w:rPr>
                <w:sz w:val="21"/>
                <w:szCs w:val="21"/>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21"/>
                <w:szCs w:val="21"/>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$1,854.5</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($0.17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$1,829.0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March 31, 2022, there were 1,727,432 shares remaining in the 2016 Plan for future grants.</w:t>
      </w:r>
    </w:p>
    <w:p>
      <w:pPr>
        <w:spacing w:after="0" w:line="20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we granted 109,496 stock options at a weighted average exercise price of $369.13 per share based on the grant-date fair value of our stock to employees under the 2016 Plan. The weighted average grant date fair value of options granted was $96.50 per share as determined by the Black-Scholes option valuation model using the following weighted average assumptions: a risk-free interest rate of 1.8%; expected life of 5.6 years based on prior experience; stock volatility of 24.9% based on historical data; and a dividend yield of 0.2%. Stock option expense is recognized over the vesting period, net of forfeitures.</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we granted 28,688 stock-settled performance share unit ("PSU") awards at a weighted average grant-date fair value of $369.13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numbers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we granted 3,427 stock-settled restricted share unit (“RSU”) awards at a weighted average grant-date fair value of $369.13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$5.5 million and $5.9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Benefit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March 31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1.5</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(3.1)</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0.1</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0.6</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(0.6)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(1.0)</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0.4</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(0.6)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we recorded a pension settlement charge of $0.6 million and $0.6 million, respectively, within other nonoperating (income) expense, as we determined that normal-course lump-sum payments for our U.S. qualified defined benefit pension plan exceeded the threshold for settlement accounting under U.S. GAAP for the year.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Other (Income) Expense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consists of:</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1.2</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 impairments and (gain) loss on sale of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0.1</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0.7</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transaction gains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2.2</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3.9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25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approval. The plan is expected to require charges to be approximately $7 million to $8 million, with annualized savings in the range of $0.9 million to $1.6 million. Since its approval, we recorded a net pre-tax amount equal to $6.8 million in restructuring and related charges associated with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line="185" w:lineRule="auto"/>
        <w:framePr w:w="2080" w:h="160" w:wrap="auto" w:vAnchor="page" w:hAnchor="page" w:x="280" w:y="3422"/>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Consideration</w:t>
      </w:r>
    </w:p>
    <w:p>
      <w:pPr>
        <w:spacing w:after="0" w:line="197" w:lineRule="auto"/>
        <w:framePr w:w="10280" w:h="388" w:wrap="auto" w:vAnchor="page" w:hAnchor="page" w:x="280" w:y="3870"/>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color w:val="auto"/>
        </w:rPr>
        <w:t>Contingent consideration represents changes in the fair value of the SmartDose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contingent consideration. Please refer to Note 10, </w:t>
      </w:r>
      <w:r>
        <w:rPr>
          <w:rFonts w:ascii="Times New Roman" w:cs="Times New Roman" w:eastAsia="Times New Roman" w:hAnsi="Times New Roman"/>
          <w:sz w:val="18"/>
          <w:szCs w:val="18"/>
          <w:b w:val="1"/>
          <w:bCs w:val="1"/>
          <w:i w:val="1"/>
          <w:iCs w:val="1"/>
          <w:color w:val="0000FF"/>
        </w:rPr>
        <w:t>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0000FF"/>
        </w:rPr>
        <w:t>Measurements</w:t>
      </w:r>
      <w:r>
        <w:rPr>
          <w:rFonts w:ascii="Times New Roman" w:cs="Times New Roman" w:eastAsia="Times New Roman" w:hAnsi="Times New Roman"/>
          <w:sz w:val="18"/>
          <w:szCs w:val="18"/>
          <w:b w:val="1"/>
          <w:bCs w:val="1"/>
          <w:color w:val="000000"/>
        </w:rPr>
        <w:t>, for additional details.</w:t>
      </w:r>
    </w:p>
    <w:p>
      <w:pPr>
        <w:spacing w:after="0" w:line="185" w:lineRule="auto"/>
        <w:framePr w:w="1020" w:h="160" w:wrap="auto" w:vAnchor="page" w:hAnchor="page" w:x="280" w:y="4556"/>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Other Items</w:t>
      </w:r>
    </w:p>
    <w:p>
      <w:pPr>
        <w:spacing w:after="0" w:line="218" w:lineRule="auto"/>
        <w:framePr w:w="11200" w:h="376" w:wrap="auto" w:vAnchor="page" w:hAnchor="page" w:x="280" w:y="5015"/>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During the three months ended March 31, 2022 and 2021, we recorded a gain of $2.8 million and a loss of $0.5 million, respectively, related to oil hedges. Please refer to Note 9, Derivative Financial Instruments, for further discussion of our hedging activity.</w:t>
      </w:r>
    </w:p>
    <w:p>
      <w:pPr>
        <w:spacing w:after="0" w:line="196" w:lineRule="auto"/>
        <w:framePr w:w="10360" w:h="160" w:wrap="auto" w:vAnchor="page" w:hAnchor="page" w:x="280" w:y="5690"/>
        <w:rPr>
          <w:rFonts w:ascii="Times New Roman" w:cs="Times New Roman" w:eastAsia="Times New Roman" w:hAnsi="Times New Roman"/>
          <w:sz w:val="17"/>
          <w:szCs w:val="17"/>
          <w:b w:val="1"/>
          <w:bCs w:val="1"/>
          <w:i w:val="1"/>
          <w:iCs w:val="1"/>
          <w:color w:val="0000FF"/>
        </w:rPr>
      </w:pPr>
      <w:r>
        <w:rPr>
          <w:rFonts w:ascii="Times New Roman" w:cs="Times New Roman" w:eastAsia="Times New Roman" w:hAnsi="Times New Roman"/>
          <w:sz w:val="17"/>
          <w:szCs w:val="17"/>
          <w:b w:val="1"/>
          <w:bCs w:val="1"/>
          <w:i w:val="1"/>
          <w:iCs w:val="1"/>
          <w:color w:val="0000FF"/>
        </w:rPr>
        <w:t>During the three months ended March 31, 2021, we recorded an impairment charge of $2.2 million for one of the Company's cost investments.</w:t>
      </w:r>
    </w:p>
    <w:p>
      <w:pPr>
        <w:spacing w:after="0" w:line="185" w:lineRule="auto"/>
        <w:framePr w:w="1880" w:h="160" w:wrap="auto" w:vAnchor="page" w:hAnchor="page" w:x="280" w:y="6149"/>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Note 16: Income Taxes</w:t>
      </w:r>
    </w:p>
    <w:p>
      <w:pPr>
        <w:spacing w:after="0" w:line="218" w:lineRule="auto"/>
        <w:framePr w:w="10980" w:h="376" w:wrap="auto" w:vAnchor="page" w:hAnchor="page" w:x="280" w:y="6608"/>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The tax provision for interim periods is determined using the estimated annual effective consolidated tax rate, based on the current estimate of full-year earnings before taxes, adjusted for the impact of discrete quarterly items.</w:t>
      </w:r>
    </w:p>
    <w:p>
      <w:pPr>
        <w:spacing w:after="0" w:line="248" w:lineRule="auto"/>
        <w:framePr w:w="11100" w:h="808" w:wrap="auto" w:vAnchor="page" w:hAnchor="page" w:x="280" w:y="7283"/>
        <w:rPr>
          <w:rFonts w:ascii="Times New Roman" w:cs="Times New Roman" w:eastAsia="Times New Roman" w:hAnsi="Times New Roman"/>
          <w:sz w:val="17"/>
          <w:szCs w:val="17"/>
          <w:b w:val="1"/>
          <w:bCs w:val="1"/>
          <w:i w:val="1"/>
          <w:iCs w:val="1"/>
          <w:color w:val="0000FF"/>
        </w:rPr>
      </w:pPr>
      <w:r>
        <w:rPr>
          <w:rFonts w:ascii="Times New Roman" w:cs="Times New Roman" w:eastAsia="Times New Roman" w:hAnsi="Times New Roman"/>
          <w:sz w:val="17"/>
          <w:szCs w:val="17"/>
          <w:b w:val="1"/>
          <w:bCs w:val="1"/>
          <w:i w:val="1"/>
          <w:iCs w:val="1"/>
          <w:color w:val="0000FF"/>
        </w:rPr>
        <w:t>The provision for income taxes was $21.2 million and $28.7 million for the three months ended March 31, 2022 and 2021, respectively, and the effective tax rate was 11.3% and 16.4%, respectively. During the three months ended March 31, 2022 and 2021, we recorded a tax benefit of $8.9 million and $11.1 million, respectively, associated with stock-based compensation. The decrease in the effective tax rate is primarily due to a $5.9 million tax benefit recorded as a result of a state tax valuation allowance reversal for the three months ended March 31, 2022, as compared to the same period in 2021.</w:t>
      </w:r>
    </w:p>
    <w:p>
      <w:pPr>
        <w:spacing w:after="0" w:line="185" w:lineRule="auto"/>
        <w:framePr w:w="3380" w:h="160" w:wrap="auto" w:vAnchor="page" w:hAnchor="page" w:x="280" w:y="8390"/>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Note 17: Commitments and Contingencies</w:t>
      </w:r>
    </w:p>
    <w:p>
      <w:pPr>
        <w:spacing w:after="0" w:line="234" w:lineRule="auto"/>
        <w:framePr w:w="11220" w:h="808" w:wrap="auto" w:vAnchor="page" w:hAnchor="page" w:x="280" w:y="8849"/>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185" w:lineRule="auto"/>
        <w:framePr w:w="8440" w:h="160" w:wrap="auto" w:vAnchor="page" w:hAnchor="page" w:x="280" w:y="9956"/>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 xml:space="preserve">There have been no significant changes to the commitments and contingencies included in our </w:t>
      </w:r>
      <w:hyperlink r:id="rId16">
        <w:r>
          <w:rPr>
            <w:rFonts w:ascii="Times New Roman" w:cs="Times New Roman" w:eastAsia="Times New Roman" w:hAnsi="Times New Roman"/>
            <w:sz w:val="18"/>
            <w:szCs w:val="18"/>
            <w:b w:val="1"/>
            <w:bCs w:val="1"/>
            <w:i w:val="1"/>
            <w:iCs w:val="1"/>
            <w:color w:val="0000FF"/>
          </w:rPr>
          <w:t>2021 Annual Report</w:t>
        </w:r>
      </w:hyperlink>
      <w:r>
        <w:rPr>
          <w:rFonts w:ascii="Times New Roman" w:cs="Times New Roman" w:eastAsia="Times New Roman" w:hAnsi="Times New Roman"/>
          <w:sz w:val="18"/>
          <w:szCs w:val="18"/>
          <w:b w:val="1"/>
          <w:bCs w:val="1"/>
          <w:i w:val="1"/>
          <w:iCs w:val="1"/>
          <w:color w:val="0000FF"/>
        </w:rPr>
        <w:t>.</w:t>
      </w:r>
    </w:p>
    <w:p>
      <w:pPr>
        <w:spacing w:after="0" w:line="185" w:lineRule="auto"/>
        <w:framePr w:w="260" w:h="160" w:wrap="auto" w:vAnchor="page" w:hAnchor="page" w:x="5820" w:y="11495"/>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t>22</w:t>
      </w:r>
    </w:p>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rFonts w:ascii="Times New Roman" w:cs="Times New Roman" w:eastAsia="Times New Roman" w:hAnsi="Times New Roman"/>
          <w:sz w:val="18"/>
          <w:szCs w:val="18"/>
          <w:b w:val="1"/>
          <w:bCs w:val="1"/>
          <w:i w:val="1"/>
          <w:iCs w:val="1"/>
          <w:color w:val="0000FF"/>
        </w:rPr>
      </w:pPr>
    </w:p>
    <w:p>
      <w:pPr>
        <w:spacing w:after="0" w:line="200" w:lineRule="exact"/>
        <w:rPr>
          <w:rFonts w:ascii="Times New Roman" w:cs="Times New Roman" w:eastAsia="Times New Roman" w:hAnsi="Times New Roman"/>
          <w:sz w:val="18"/>
          <w:szCs w:val="18"/>
          <w:b w:val="1"/>
          <w:bCs w:val="1"/>
          <w:i w:val="1"/>
          <w:iCs w:val="1"/>
          <w:color w:val="0000FF"/>
        </w:rPr>
      </w:pPr>
    </w:p>
    <w:p>
      <w:pPr>
        <w:spacing w:after="0" w:line="200" w:lineRule="exact"/>
        <w:rPr>
          <w:rFonts w:ascii="Times New Roman" w:cs="Times New Roman" w:eastAsia="Times New Roman" w:hAnsi="Times New Roman"/>
          <w:sz w:val="18"/>
          <w:szCs w:val="18"/>
          <w:b w:val="1"/>
          <w:bCs w:val="1"/>
          <w:i w:val="1"/>
          <w:iCs w:val="1"/>
          <w:color w:val="0000FF"/>
        </w:rPr>
      </w:pPr>
    </w:p>
    <w:p>
      <w:pPr>
        <w:spacing w:after="0" w:line="200" w:lineRule="exact"/>
        <w:rPr>
          <w:rFonts w:ascii="Times New Roman" w:cs="Times New Roman" w:eastAsia="Times New Roman" w:hAnsi="Times New Roman"/>
          <w:sz w:val="18"/>
          <w:szCs w:val="18"/>
          <w:b w:val="1"/>
          <w:bCs w:val="1"/>
          <w:i w:val="1"/>
          <w:iCs w:val="1"/>
          <w:color w:val="0000FF"/>
        </w:rPr>
      </w:pPr>
    </w:p>
    <w:p>
      <w:pPr>
        <w:spacing w:after="0" w:line="330" w:lineRule="exact"/>
        <w:rPr>
          <w:rFonts w:ascii="Times New Roman" w:cs="Times New Roman" w:eastAsia="Times New Roman" w:hAnsi="Times New Roman"/>
          <w:sz w:val="18"/>
          <w:szCs w:val="18"/>
          <w:b w:val="1"/>
          <w:bCs w:val="1"/>
          <w:i w:val="1"/>
          <w:iCs w:val="1"/>
          <w:color w:val="0000FF"/>
        </w:rPr>
      </w:pPr>
    </w:p>
    <w:tbl>
      <w:tblPr>
        <w:tblLayout w:type="fixed"/>
        <w:tblInd w:w="0" w:type="dxa"/>
        <w:tblCellMar>
          <w:top w:w="0" w:type="dxa"/>
          <w:left w:w="0" w:type="dxa"/>
          <w:bottom w:w="0" w:type="dxa"/>
          <w:right w:w="0" w:type="dxa"/>
        </w:tblCellMar>
      </w:tblPr>
      <w:tr>
        <w:trPr>
          <w:trHeight w:val="223"/>
        </w:trPr>
        <w:tc>
          <w:tcPr>
            <w:tcW w:w="8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activity related to our restructuring obligations related to our 2020 restructuring plan: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9"/>
        </w:trPr>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Severance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and benefits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charges</w:t>
            </w: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7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
        </w:trPr>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965"/>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Borders>
              <w:bottom w:val="single" w:sz="8" w:color="0000FF"/>
            </w:tcBorders>
          </w:tcPr>
          <w:p>
            <w:pPr>
              <w:spacing w:after="0"/>
              <w:rPr>
                <w:sz w:val="24"/>
                <w:szCs w:val="24"/>
                <w:color w:val="auto"/>
              </w:rPr>
            </w:pPr>
          </w:p>
        </w:tc>
        <w:tc>
          <w:tcPr>
            <w:tcW w:w="120" w:type="dxa"/>
            <w:vAlign w:val="bottom"/>
            <w:tcBorders>
              <w:bottom w:val="single" w:sz="8" w:color="0000FF"/>
            </w:tcBorders>
          </w:tcPr>
          <w:p>
            <w:pPr>
              <w:spacing w:after="0"/>
              <w:rPr>
                <w:sz w:val="24"/>
                <w:szCs w:val="24"/>
                <w:color w:val="auto"/>
              </w:rPr>
            </w:pPr>
          </w:p>
        </w:tc>
        <w:tc>
          <w:tcPr>
            <w:tcW w:w="360" w:type="dxa"/>
            <w:vAlign w:val="bottom"/>
            <w:tcBorders>
              <w:bottom w:val="single" w:sz="8" w:color="0000FF"/>
            </w:tcBorders>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60" w:type="dxa"/>
            <w:vAlign w:val="bottom"/>
            <w:tcBorders>
              <w:bottom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114"/>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Borders>
              <w:bottom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05"/>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124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40" w:type="dxa"/>
            <w:vAlign w:val="bottom"/>
            <w:tcBorders>
              <w:bottom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4"/>
        </w:trPr>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b w:val="1"/>
          <w:bCs w:val="1"/>
          <w:i w:val="1"/>
          <w:iCs w:val="1"/>
          <w:color w:val="0000FF"/>
        </w:rPr>
      </w:pPr>
      <w:r>
        <w:rPr>
          <w:rFonts w:ascii="Times New Roman" w:cs="Times New Roman" w:eastAsia="Times New Roman" w:hAnsi="Times New Roman"/>
          <w:sz w:val="18"/>
          <w:szCs w:val="18"/>
          <w:b w:val="1"/>
          <w:bCs w:val="1"/>
          <w:i w:val="1"/>
          <w:iCs w:val="1"/>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our reportable segments, reconciled to consolidated totals: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1420" w:type="dxa"/>
            <w:vAlign w:val="bottom"/>
          </w:tcPr>
          <w:p>
            <w:pPr>
              <w:spacing w:after="0"/>
              <w:rPr>
                <w:sz w:val="17"/>
                <w:szCs w:val="17"/>
                <w:color w:val="auto"/>
              </w:rPr>
            </w:pPr>
          </w:p>
        </w:tc>
      </w:tr>
      <w:tr>
        <w:trPr>
          <w:trHeight w:val="237"/>
        </w:trPr>
        <w:tc>
          <w:tcPr>
            <w:tcW w:w="66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March 31,</w:t>
            </w:r>
          </w:p>
        </w:tc>
        <w:tc>
          <w:tcPr>
            <w:tcW w:w="1420" w:type="dxa"/>
            <w:vAlign w:val="bottom"/>
            <w:tcBorders>
              <w:bottom w:val="single" w:sz="8" w:color="auto"/>
            </w:tcBorders>
          </w:tcPr>
          <w:p>
            <w:pPr>
              <w:spacing w:after="0"/>
              <w:rPr>
                <w:sz w:val="20"/>
                <w:szCs w:val="20"/>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 in millions)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Proprietary Products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sales elimination</w:t>
            </w:r>
          </w:p>
        </w:tc>
        <w:tc>
          <w:tcPr>
            <w:tcW w:w="52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summarized financial information for our segments: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3"/>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general costs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investment impairment</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Corporate and Unallocated</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88" w:lineRule="exact"/>
        <w:rPr>
          <w:rFonts w:ascii="Times New Roman" w:cs="Times New Roman" w:eastAsia="Times New Roman" w:hAnsi="Times New Roman"/>
          <w:sz w:val="18"/>
          <w:szCs w:val="18"/>
          <w:color w:val="auto"/>
        </w:rPr>
      </w:pPr>
    </w:p>
    <w:p>
      <w:pPr>
        <w:ind w:right="1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2022 and 2021, we recorded $0.2 million of amortization expense within operating profit associated with an intangible asset acquired during the second quarter of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15, </w:t>
      </w:r>
      <w:r>
        <w:rPr>
          <w:rFonts w:ascii="Times New Roman" w:cs="Times New Roman" w:eastAsia="Times New Roman" w:hAnsi="Times New Roman"/>
          <w:sz w:val="18"/>
          <w:szCs w:val="18"/>
          <w:i w:val="1"/>
          <w:iCs w:val="1"/>
          <w:u w:val="single" w:color="auto"/>
          <w:color w:val="0000FF"/>
        </w:rPr>
        <w:t>Other (Income) Expense</w:t>
      </w:r>
      <w:r>
        <w:rPr>
          <w:rFonts w:ascii="Times New Roman" w:cs="Times New Roman" w:eastAsia="Times New Roman" w:hAnsi="Times New Roman"/>
          <w:sz w:val="18"/>
          <w:szCs w:val="18"/>
          <w:color w:val="auto"/>
        </w:rPr>
        <w:t>, for further discussion of certain unallocated items referenced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2021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2021 Annual Report and in Part II, Item 1A of this Form 10-Q.</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Throughout this section, references to “Notes” refer to the notes to our condensed consolidated financial statements (unaudited) in Part I, Item 1 of this Form 10-Q,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5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Our production facilities continue to operate as they had prior to the COVID-19 pandemic, other than for enhanced safety measures intended to prevent the spread of the virus. Our capital and financial resources, including overall liquidity, remain strong. The remote working arrangements and travel restrictions imposed by various governments had limited impact on our ability to maintain operations,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 Financial Performance Summary</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tables present a reconciliation from U.S. GAAP to non-U.S. GAAP financial measures: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March 31,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Quarter ended March 31, 2022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2022, we recorded a tax benefit of $8.9 million associated with stock-based compensation.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March 31,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investment impairment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Quarter ended March 31, 2021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2021, we recorded a tax benefit of $11.1 million associated with stock-based compensation.</w:t>
      </w:r>
    </w:p>
    <w:p>
      <w:pPr>
        <w:spacing w:after="0" w:line="252" w:lineRule="exact"/>
        <w:rPr>
          <w:sz w:val="20"/>
          <w:szCs w:val="20"/>
          <w:color w:val="auto"/>
        </w:rPr>
      </w:pPr>
    </w:p>
    <w:p>
      <w:pPr>
        <w:ind w:left="660" w:right="100" w:hanging="328"/>
        <w:spacing w:after="0" w:line="282" w:lineRule="auto"/>
        <w:tabs>
          <w:tab w:leader="none" w:pos="654" w:val="left"/>
        </w:tabs>
        <w:numPr>
          <w:ilvl w:val="0"/>
          <w:numId w:val="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Company recorded a pension settlement charge within other nonoperating (income) expense, as it determined that normal-course lump-sum payments for our U.S. qualified defined benefit pension plan exceeded the threshold for settlement accounting.</w:t>
      </w:r>
    </w:p>
    <w:p>
      <w:pPr>
        <w:spacing w:after="0" w:line="188" w:lineRule="exact"/>
        <w:rPr>
          <w:rFonts w:ascii="Times New Roman" w:cs="Times New Roman" w:eastAsia="Times New Roman" w:hAnsi="Times New Roman"/>
          <w:sz w:val="18"/>
          <w:szCs w:val="18"/>
          <w:color w:val="252525"/>
        </w:rPr>
      </w:pPr>
    </w:p>
    <w:p>
      <w:pPr>
        <w:ind w:left="660" w:right="240" w:hanging="328"/>
        <w:spacing w:after="0" w:line="289" w:lineRule="auto"/>
        <w:tabs>
          <w:tab w:leader="none" w:pos="654" w:val="left"/>
        </w:tabs>
        <w:numPr>
          <w:ilvl w:val="0"/>
          <w:numId w:val="7"/>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During the three months ended March 31, 2022 and 2021, the Company recorded $0.2 million of amortization expense within operating profit associated with an intangible asset acquired during the second quarter of 2020. During the three months ended March 31, 2022 and 2021, the Company recorded $0.5 million of amortization expense in association with an acquisition of increased ownership interest in Daikyo.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Percentages in the following tables and throughout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section may reflect rounding adjustments.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three months ended March 31, 2022 and 2021:</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Three Months Ended</w:t>
      </w: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As-Reported</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Organic</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Consolidated net sales increased by $49.3 million, or 7.4%, for the three months ended March 31, 2022, as compared to the same period in 2021, including an unfavorable foreign currency translation impact of $24.2 million. Excluding foreign currency translation effects, consolidated net sales for the three months ended March 31, 2022 increased by $73.5 million, or 11.0%, as compared to the same period in 2021.</w:t>
      </w:r>
    </w:p>
    <w:p>
      <w:pPr>
        <w:spacing w:after="0" w:line="199"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increased by $57.6 million, or 10.6%, for the three months ended March 31, 2022,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2021, including an unfavorable foreign currency translation impact of $20.6 million. Excluding foreign currency translation effects, net sales for the three months ended March 31, 2022 increased by $78.2 million, or 14.4%, as compared to the same period in 2021, primarily due to growth in our high-value product offerings, including our NovaPure® products and our Westar® components, offset by the recognition of approximately $15 million in one-time fees due to COVID supply agreements recorded during the three months March 31, 2021.</w:t>
      </w:r>
    </w:p>
    <w:p>
      <w:pPr>
        <w:spacing w:after="0" w:line="2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net sales decreased by $8.4 million, or 6.6%,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as compared to the same period in 2021, including an unfavorable foreign currency translation impact of $3.6 million. Excluding foreign currency translation effects, net sales for the three months ended March 31, 2022 decreased by $4.8 million, or 3.8%, as compared to the same period in 2021, due to a decline of sales of components for diagnostic devices, offset by sales price increases.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gross profit and related gross profit margins, consolidated and by reportable segment: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7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00" w:type="dxa"/>
            <w:vAlign w:val="bottom"/>
            <w:gridSpan w:val="4"/>
          </w:tcPr>
          <w:p>
            <w:pPr>
              <w:jc w:val="right"/>
              <w:ind w:right="89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7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1200" w:type="dxa"/>
            <w:vAlign w:val="bottom"/>
            <w:tcBorders>
              <w:bottom w:val="single" w:sz="8" w:color="auto"/>
            </w:tcBorders>
          </w:tcPr>
          <w:p>
            <w:pPr>
              <w:spacing w:after="0"/>
              <w:rPr>
                <w:sz w:val="20"/>
                <w:szCs w:val="20"/>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251.9</w:t>
            </w: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Consolidated gross profit margin</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40.5 %</w:t>
            </w:r>
          </w:p>
        </w:tc>
      </w:tr>
      <w:tr>
        <w:trPr>
          <w:trHeight w:val="21"/>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Consolidated gross profit increased by $12.7 million, or 4.7%, for the three months ended March 31, 2022, as compared to the same period in 2021, including an unfavorable foreign currency translation impact of $10.3 million for the three months ended March 31, 2022, as compared to the same period in 2021. Consolidated gross profit margin decreased by 1.0 margin point for the three months ended March 31, 2022, as compared to the same period in 2021.</w:t>
      </w:r>
    </w:p>
    <w:p>
      <w:pPr>
        <w:spacing w:after="0" w:line="20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gross profit increased by $8.8 million, or 3.5%, for the three months ended March 31, 2022,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2021, including an unfavorable foreign currency translation impact of $9.5 million. Proprietary Products gross profit margin decreased by 2.9 margin points for the three months ended March 31, 2022, as compared to the same periods in 2021, due to increased overhead costs, primarily within transportation and compensation, that were driven by inflation, higher allocation of functional spend from Selling, General &amp; Administrative expense, as well as the recognition of approximately $15 million in one-time fees due to COVID supply agreements recorded during the three months March 31, 2021.</w:t>
      </w:r>
    </w:p>
    <w:p>
      <w:pPr>
        <w:spacing w:after="0" w:line="20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gross profit increased by $3.9 million, or 19.5%,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2022, as compared to the same period in 2021, including an unfavorable foreign currency translation impact of $0.8 million. Contract-Manufactured Products gross profit margin increased by 4.4 margin points for the three months ended March 31, 2022, as compared to the same period in 2021, due to sales price increases and production efficiencies, partially offset by increased overhead costs that were driven by inflation.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Costs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R&amp;D costs, consolidated and by reportable segment: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R&amp;D costs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Consolidated R&amp;D costs increased by $2.4 million, or 19.7%, for the three months ended March 31, 2022, as compared to the same period in 2021, due to additional research performed in an effort to identify new product opportunities. Efforts remain focused on the continued investment in self-injection systems development, fluid transfer admixture devices, elastomeric packaging components, and formulation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R&amp;D costs incurred during the three months ended March 31, 2022 and 2021 related to Proprietary Products.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SG&amp;A costs, consolidated and by reportable segment and corporate:</w:t>
      </w:r>
    </w:p>
    <w:p>
      <w:pPr>
        <w:spacing w:after="0" w:line="3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74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Proprietary Products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Contract-Manufactured Products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SG&amp;A costs</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SG&amp;A as a % of net sales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17145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25" w:hanging="1125"/>
        <w:spacing w:after="0"/>
        <w:tabs>
          <w:tab w:leader="none" w:pos="11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w:t>
      </w:r>
    </w:p>
    <w:p>
      <w:pPr>
        <w:spacing w:after="0" w:line="27" w:lineRule="exact"/>
        <w:rPr>
          <w:rFonts w:ascii="Times New Roman" w:cs="Times New Roman" w:eastAsia="Times New Roman" w:hAnsi="Times New Roman"/>
          <w:sz w:val="18"/>
          <w:szCs w:val="18"/>
          <w:color w:val="auto"/>
        </w:rPr>
      </w:pPr>
    </w:p>
    <w:p>
      <w:pPr>
        <w:ind w:left="12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14605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125"/>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62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1" w:lineRule="exact"/>
        <w:rPr>
          <w:sz w:val="20"/>
          <w:szCs w:val="20"/>
          <w:color w:val="auto"/>
        </w:rPr>
      </w:pPr>
    </w:p>
    <w:p>
      <w:pPr>
        <w:ind w:left="1125" w:hanging="1125"/>
        <w:spacing w:after="0"/>
        <w:tabs>
          <w:tab w:leader="none" w:pos="11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w:t>
      </w:r>
    </w:p>
    <w:p>
      <w:pPr>
        <w:spacing w:after="0" w:line="74" w:lineRule="exact"/>
        <w:rPr>
          <w:rFonts w:ascii="Times New Roman" w:cs="Times New Roman" w:eastAsia="Times New Roman" w:hAnsi="Times New Roman"/>
          <w:sz w:val="18"/>
          <w:szCs w:val="18"/>
          <w:color w:val="auto"/>
        </w:rPr>
      </w:pPr>
    </w:p>
    <w:p>
      <w:pPr>
        <w:ind w:left="11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-160655</wp:posOffset>
            </wp:positionV>
            <wp:extent cx="71323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650"/>
        <w:spacing w:after="0"/>
        <w:rPr>
          <w:sz w:val="20"/>
          <w:szCs w:val="20"/>
          <w:color w:val="auto"/>
        </w:rPr>
      </w:pPr>
      <w:r>
        <w:rPr>
          <w:rFonts w:ascii="Times New Roman" w:cs="Times New Roman" w:eastAsia="Times New Roman" w:hAnsi="Times New Roman"/>
          <w:sz w:val="18"/>
          <w:szCs w:val="18"/>
          <w:color w:val="auto"/>
        </w:rPr>
        <w:t>2021</w:t>
      </w:r>
    </w:p>
    <w:p>
      <w:pPr>
        <w:spacing w:after="0" w:line="36" w:lineRule="exact"/>
        <w:rPr>
          <w:sz w:val="20"/>
          <w:szCs w:val="20"/>
          <w:color w:val="auto"/>
        </w:rPr>
      </w:pPr>
    </w:p>
    <w:p>
      <w:pPr>
        <w:ind w:left="1130" w:hanging="1130"/>
        <w:spacing w:after="0"/>
        <w:tabs>
          <w:tab w:leader="none" w:pos="11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w:t>
      </w:r>
    </w:p>
    <w:p>
      <w:pPr>
        <w:spacing w:after="0" w:line="27" w:lineRule="exact"/>
        <w:rPr>
          <w:rFonts w:ascii="Times New Roman" w:cs="Times New Roman" w:eastAsia="Times New Roman" w:hAnsi="Times New Roman"/>
          <w:sz w:val="18"/>
          <w:szCs w:val="18"/>
          <w:color w:val="auto"/>
        </w:rPr>
      </w:pPr>
    </w:p>
    <w:p>
      <w:pPr>
        <w:ind w:left="12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3"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71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1" w:lineRule="exact"/>
        <w:rPr>
          <w:sz w:val="20"/>
          <w:szCs w:val="20"/>
          <w:color w:val="auto"/>
        </w:rPr>
      </w:pPr>
    </w:p>
    <w:p>
      <w:pPr>
        <w:ind w:left="1130" w:hanging="1130"/>
        <w:spacing w:after="0"/>
        <w:tabs>
          <w:tab w:leader="none" w:pos="11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80.2</w:t>
      </w:r>
    </w:p>
    <w:p>
      <w:pPr>
        <w:spacing w:after="0" w:line="74" w:lineRule="exact"/>
        <w:rPr>
          <w:rFonts w:ascii="Times New Roman" w:cs="Times New Roman" w:eastAsia="Times New Roman" w:hAnsi="Times New Roman"/>
          <w:sz w:val="18"/>
          <w:szCs w:val="18"/>
          <w:color w:val="auto"/>
        </w:rPr>
      </w:pPr>
    </w:p>
    <w:p>
      <w:pPr>
        <w:ind w:left="11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44450</wp:posOffset>
            </wp:positionV>
            <wp:extent cx="1071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-160655</wp:posOffset>
            </wp:positionV>
            <wp:extent cx="10718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7055" w:space="720"/>
            <w:col w:w="1645" w:space="150"/>
            <w:col w:w="1670"/>
          </w:cols>
          <w:pgMar w:left="320" w:top="124" w:right="339" w:bottom="1440" w:gutter="0" w:footer="0" w:header="0"/>
          <w:type w:val="continuous"/>
        </w:sectPr>
      </w:pP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Consolidated SG&amp;A costs increased by $3.2 million, or 4.0%, for the three months ended March 31, 2022, as compared to the same period in 2021, due to an increase in selling expenses and professional fees, offset by higher allocation of functional spend to Cost of Goods Sold and a favorable foreign currency translation impact of $1.8 million.</w:t>
      </w:r>
    </w:p>
    <w:p>
      <w:pPr>
        <w:spacing w:after="0" w:line="19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SG&amp;A costs decreased by $0.6 million, or 1.1%, for the three months ended March 31, 2022,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2021. Proprietary Products SG&amp;A costs decreased primarily due to a higher allocation of functional spend to Cost of Goods Sold and a favorable foreign currency translation impact of $1.5 million, offset by an increase in selling expenses and professional fees.</w:t>
      </w:r>
    </w:p>
    <w:p>
      <w:pPr>
        <w:spacing w:after="0" w:line="19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SG&amp;A costs increased by $1.1 million, or 29.7%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2022, as compared to the same period in 2021.</w:t>
      </w:r>
    </w:p>
    <w:p>
      <w:pPr>
        <w:spacing w:after="0" w:line="1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Corporate - </w:t>
      </w:r>
      <w:r>
        <w:rPr>
          <w:rFonts w:ascii="Times New Roman" w:cs="Times New Roman" w:eastAsia="Times New Roman" w:hAnsi="Times New Roman"/>
          <w:sz w:val="18"/>
          <w:szCs w:val="18"/>
          <w:color w:val="auto"/>
        </w:rPr>
        <w:t>Corporate SG&amp;A costs increased by $2.7 million, or 13.5%, for the three months ended March 31, 2022, as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primarily due to an increase in compensation costs and costs related to professional fees.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and expense items, consolidated and by reportable segment, corporate and unallocated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Expense</w:t>
            </w: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1"/>
                <w:szCs w:val="2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0.6</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3.4</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other (income) expense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3.9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Other income and expense items, consisting of foreign exchange transaction gains and losses, gains and losses on the sale of fixed assets, development and licensing income, contingent consideration, fixed asset impairments and miscellaneous income and charges, are generally recorded within segment results.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Consolidated other (income) expense changed by $7.0 million for the three months ended March 31, 2022, as compared to the same period in 2021, due to the factors described below.</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other (income) expense changed by $3.8 million for the three months ended March 31, 2022,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2021, primarily due to a $2.8 million gain related to oil hedges recorded during the three months ended March 31, 2022 compared to a loss of $0.5 million for the three months ended March 31, 2021.</w:t>
      </w:r>
    </w:p>
    <w:p>
      <w:pPr>
        <w:spacing w:after="0" w:line="19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other (income) expense changed by $0.1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2022, as compared to the same period in 2021.</w:t>
      </w:r>
    </w:p>
    <w:p>
      <w:pPr>
        <w:spacing w:after="0" w:line="18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and unallocated items changed by $3.3 million for the three months ended March 31, 2022,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periods in 2021 primarily due to a $2.2 million cost investment impairment charge and restructuring and related charges recorded during the three months ended March 31, 2021 that did not recur in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profit and adjusted operating profit, consolidated and by reportable segment, corporate and unallocated items:</w:t>
      </w:r>
    </w:p>
    <w:p>
      <w:pPr>
        <w:spacing w:after="0" w:line="38"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72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 margin</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Consolidated operating profit margin</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Consolidated operating profit increased by $14.1 million, or 8.0%, for the three months ended March 31, 2022, as compared to the same period in 2021, including an unfavorable foreign currency translation impact of $8.4 million for the three months ended March 31, 2022, as compared to the same period in 2021.</w:t>
      </w:r>
    </w:p>
    <w:p>
      <w:pPr>
        <w:spacing w:after="0" w:line="19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operating profit increased by $10.8 million, or 5.9%, for the three months ended March 31,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including an unfavorable foreign currency translation impact of $8.0 million, due to the factors described above, most notably the sales increase in our high-value product offerings.</w:t>
      </w:r>
    </w:p>
    <w:p>
      <w:pPr>
        <w:spacing w:after="0" w:line="19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operating profit increased by $2.7 million, or 16.5%,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2022, as compared to the same period in 2021, including an unfavorable foreign currency translation impact of $0.4 million, due to the factors described above, most notably the sales price increases and product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Corporate- </w:t>
      </w:r>
      <w:r>
        <w:rPr>
          <w:rFonts w:ascii="Times New Roman" w:cs="Times New Roman" w:eastAsia="Times New Roman" w:hAnsi="Times New Roman"/>
          <w:sz w:val="18"/>
          <w:szCs w:val="18"/>
          <w:color w:val="auto"/>
        </w:rPr>
        <w:t>Corporate costs increased by $2.8 million, or 14.1%, for the three months ended March 31, 2022, as compared to the same period in 2021,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factors described above.</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Unallocated items –</w:t>
      </w:r>
      <w:r>
        <w:rPr>
          <w:rFonts w:ascii="Times New Roman" w:cs="Times New Roman" w:eastAsia="Times New Roman" w:hAnsi="Times New Roman"/>
          <w:sz w:val="18"/>
          <w:szCs w:val="18"/>
          <w:color w:val="auto"/>
        </w:rPr>
        <w:t>Other unallocated items during the three months ended March 31, 2022 consisted $0.2 million of amortization expense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acquisition of an intangible asset in the second quarter of 2020. Other unallocated items during the three months ended March 31, 2021 consisted of $1.2 million in restructuring and related charges, a $2.2 million impairment charge related to one of our cost investments, and $0.2 million of amortization expense associated with an acquisition of an intangible asset in the second quarter of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interest expense, net, by significant component: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2.4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60" w:type="dxa"/>
            <w:vAlign w:val="bottom"/>
          </w:tcPr>
          <w:p>
            <w:pPr>
              <w:spacing w:after="0"/>
              <w:rPr>
                <w:sz w:val="19"/>
                <w:szCs w:val="19"/>
                <w:color w:val="auto"/>
              </w:rPr>
            </w:pPr>
          </w:p>
        </w:tc>
        <w:tc>
          <w:tcPr>
            <w:tcW w:w="12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1.9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1.8</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by $0.1 million, or 5.6%, for the three months ended March 31, 2022, as compared to the same period in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(Income) Expense</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nonoperating (income) expense changed by $1.1 million for the three months ended March 31, 2022, as compared to the same period in 2021, primarily due to a reduction in pension income related to our U.S. qualified defined benefit pension plan. Additionally, in the current year and prior year, we determined that normal-course lump-sum payments for our U.S. qualified defined benefit pension plan exceeded the threshold for settlement accounting under U.S. GAAP for the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$21.2 million and $28.7 million for the three months ended March 31, 2022 and 2021, respectively, and the effective tax rate was 11.3% and 16.4%, respectively. The decrease in the effective tax rate is primarily due to the $5.9 million tax benefit recorded as a result of the state tax valuation allowance reversal for the three months ended March 31, 2022, as compared to the same period in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Net Income of Affiliated Companies</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Equity in net income of affiliated companies increased by $2.2 million for the three months ended March 31, 2022, as compared to the same period in 2021, due to favorable operating results at Daikyo and the Mexico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flow data for the three months ended March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r>
    </w:tbl>
    <w:p>
      <w:pPr>
        <w:spacing w:after="0" w:line="3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 </w:t>
      </w:r>
      <w:r>
        <w:rPr>
          <w:rFonts w:ascii="Times New Roman" w:cs="Times New Roman" w:eastAsia="Times New Roman" w:hAnsi="Times New Roman"/>
          <w:sz w:val="18"/>
          <w:szCs w:val="18"/>
          <w:color w:val="auto"/>
        </w:rPr>
        <w:t>Net cash provided by operating activities increased by $62.5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as compared to the same period in 2021, primarily due to improved operating results and decreases in the change of working capital.</w:t>
      </w:r>
    </w:p>
    <w:p>
      <w:pPr>
        <w:spacing w:after="0" w:line="1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Investing Activities – </w:t>
      </w:r>
      <w:r>
        <w:rPr>
          <w:rFonts w:ascii="Times New Roman" w:cs="Times New Roman" w:eastAsia="Times New Roman" w:hAnsi="Times New Roman"/>
          <w:sz w:val="18"/>
          <w:szCs w:val="18"/>
          <w:color w:val="auto"/>
        </w:rPr>
        <w:t>Net cash used in investing activities increased by $13.8 million for the three months ended March 31,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primarily due to an increase in capital expenditures in 2022.</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increased by $16.3 million for the three months ended March 31,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primarily due to increases in purchases under our share repurchase programs.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selected liquidity and capital measures: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instruments that have maturities of ninety days or less when purchased. Working capital is defined as current assets less current liabilities.</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Our cash and cash equivalents balance at March 31, 2022 consisted of cash held in depository accounts with banks around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world and cash invested in high-quality, short-term investments. The cash and cash equivalents balance at March 31, 2022 included $253.6 million of cash held by subsidiaries within the U.S., and $414.1 million of cash held by subsidiaries outside of the U.S. During the three months ended March 31, 2022, we purchased 390,000 shares of our common stock under our calendar-year 2022 share repurchase program at a cost of $147.1 million, or an average price of $377.23 per share.</w:t>
      </w:r>
    </w:p>
    <w:p>
      <w:pPr>
        <w:spacing w:after="0" w:line="2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Working capital – </w:t>
      </w:r>
      <w:r>
        <w:rPr>
          <w:rFonts w:ascii="Times New Roman" w:cs="Times New Roman" w:eastAsia="Times New Roman" w:hAnsi="Times New Roman"/>
          <w:sz w:val="18"/>
          <w:szCs w:val="18"/>
          <w:color w:val="auto"/>
        </w:rPr>
        <w:t>Working capital at March 31, 2022 decreased by $42.2 million, or 3.7%, as compared to December 31, 2021, which includes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unfavorable foreign currency translation impact of $3.7 million. Excluding the impact of currency exchange rates, cash and cash equivalents and total current liabilities decreased by $89.8 million and $5.6 million, respectively, while accounts receivable and inventories increased by $14.0 million and $41.3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decrease in cash and cash equivalents was due to share repurchases and payment of annual incentive compensation during the three months ended March 31, 2022. The decline in the accrued salaries, wages and benefits caused the decrease in total current liabilities. The increase in accounts receivable was due to increased sales activity. The increase in inventories was to ensure we have sufficient inventory on hand to support the needs of our customers.</w:t>
      </w:r>
    </w:p>
    <w:p>
      <w:pPr>
        <w:spacing w:after="0" w:line="19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and credit facilities – </w:t>
      </w:r>
      <w:r>
        <w:rPr>
          <w:rFonts w:ascii="Times New Roman" w:cs="Times New Roman" w:eastAsia="Times New Roman" w:hAnsi="Times New Roman"/>
          <w:sz w:val="18"/>
          <w:szCs w:val="18"/>
          <w:color w:val="auto"/>
        </w:rPr>
        <w:t>The $0.5 million decrease in total debt at March 31, 2022, as compared to December 31, 2021, resulted from debt repayments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our Term Loan.</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Credit Facility. At March 31, 2022, we had no outstanding borrowings under the Credit Facility. At March 31, 2022, the borrowing capacity available under the Credit Facility, including outstanding letters of credit of $2.4 million, was $497.6 million. We do not expect any significant limitations on our ability to access this source of funds.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March 31, 2022, we were in compliance with all of our debt covenants.</w:t>
      </w:r>
    </w:p>
    <w:p>
      <w:pPr>
        <w:spacing w:after="0" w:line="203"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summary of future material cash payments resulting from commitments and contractual obligations was provided in our 2021 Annual Report. During the three months ended March 31, 2022, there were no material changes outside of the ordinary course of business to our commitments and contractual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March 31, 2022, we had no off-balance sheet financing arrangements other than unconditional purchase obligations incurred in the ordinary course of business and outstanding letters of credit related to various insurance programs, as noted in our 2021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Critical Accounting Policies and Estimates disclosed in Part II, Item 7 of our 2021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on new accounting standards that were adopted, and those that were issued but not yet adopted, during the three months ended March 31, 2022, and the impact, if any, on our financial position or results of operations, see Note 2, </w:t>
      </w:r>
      <w:r>
        <w:rPr>
          <w:rFonts w:ascii="Times New Roman" w:cs="Times New Roman" w:eastAsia="Times New Roman" w:hAnsi="Times New Roman"/>
          <w:sz w:val="18"/>
          <w:szCs w:val="18"/>
          <w:i w:val="1"/>
          <w:iCs w:val="1"/>
          <w:u w:val="single" w:color="auto"/>
          <w:color w:val="0000FF"/>
        </w:rPr>
        <w:t>New Accounting Standards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w:t>
      </w:r>
    </w:p>
    <w:p>
      <w:pPr>
        <w:spacing w:after="0" w:line="171"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demand and our ability to meet that demand;</w:t>
      </w:r>
    </w:p>
    <w:p>
      <w:pPr>
        <w:spacing w:after="0" w:line="17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providers in our businesses, including customers’ in-house operations, and from lower-cost producers in emerging markets, which can impact unit volume, price and profitability;</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changing inventory requirements and manufacturing plans that alter existing orders or ordering patterns for the products we supply to them;</w:t>
      </w:r>
    </w:p>
    <w:p>
      <w:pPr>
        <w:spacing w:after="0" w:line="107"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regulatory approval and commercial success of customer products that incorporate our products and systems;</w:t>
      </w:r>
    </w:p>
    <w:p>
      <w:pPr>
        <w:spacing w:after="0" w:line="17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profitability, or mix, of the products sold in any reporting period, including lower-than-expected sales growth of our high-value proprietary product offerings;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improving production efficiencies and overhead absorption;</w:t>
      </w:r>
    </w:p>
    <w:p>
      <w:pPr>
        <w:spacing w:after="0" w:line="17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suppliers and partners, some of which are single-source suppliers of critical materials and products, including our Japanese partner and affiliate, Daikyo;</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highly-skilled employees;</w:t>
      </w:r>
    </w:p>
    <w:p>
      <w:pPr>
        <w:spacing w:after="0" w:line="171"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80" w:right="66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implementation of price increases necessary to offset rising production costs, including raw material prices, particularly petroleum-based raw materials;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progress of development, regulatory approval and marketing of new products;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licenses in any jurisdiction in which we do business;</w:t>
      </w:r>
    </w:p>
    <w:p>
      <w:pPr>
        <w:spacing w:after="0" w:line="17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strength of USD in relation to other currencies, particularly the Euro, SGD, the Danish Krone, Yen, Colombian Peso, Brazilian Real, and the South Korean Won;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2021 Annual Report as well as Part II, section 1A of this quarterly report.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Except as required by law or regulation, we undertake no obligation to publicly update any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exposure to market risk or the information provided in Part II, Item 7A of our 2021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March 31, 2022, our disclosure controls and procedures are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During the quarter ended March 31, 2022, there have been no changes to our internal control over financial reporting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the risk factors disclosed in Part I, Item 1A of our 2021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with respect to purchases of our common stock made during the three months ended March 31, 2022 by us or any of our “affiliated purchasers” as defined in Rule 10b-18(a)(3) under the Exchange Act:</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36"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8"/>
          <w:szCs w:val="18"/>
          <w:color w:val="auto"/>
        </w:rPr>
        <w:t>January 1 - 31, 2022 February 1 - 28, 2022 March 1 - 31, 2022</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Maximum number of shares</w:t>
            </w:r>
          </w:p>
        </w:tc>
        <w:tc>
          <w:tcPr>
            <w:tcW w:w="0" w:type="dxa"/>
            <w:vAlign w:val="bottom"/>
          </w:tcPr>
          <w:p>
            <w:pPr>
              <w:spacing w:after="0"/>
              <w:rPr>
                <w:sz w:val="1"/>
                <w:szCs w:val="1"/>
                <w:color w:val="auto"/>
              </w:rPr>
            </w:pPr>
          </w:p>
        </w:tc>
      </w:tr>
      <w:tr>
        <w:trPr>
          <w:trHeight w:val="184"/>
        </w:trPr>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2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2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2180" w:type="dxa"/>
            <w:vAlign w:val="bottom"/>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that may yet be purchased</w:t>
            </w:r>
          </w:p>
        </w:tc>
        <w:tc>
          <w:tcPr>
            <w:tcW w:w="0" w:type="dxa"/>
            <w:vAlign w:val="bottom"/>
          </w:tcPr>
          <w:p>
            <w:pPr>
              <w:spacing w:after="0"/>
              <w:rPr>
                <w:sz w:val="1"/>
                <w:szCs w:val="1"/>
                <w:color w:val="auto"/>
              </w:rPr>
            </w:pPr>
          </w:p>
        </w:tc>
      </w:tr>
      <w:tr>
        <w:trPr>
          <w:trHeight w:val="180"/>
        </w:trPr>
        <w:tc>
          <w:tcPr>
            <w:tcW w:w="2280" w:type="dxa"/>
            <w:vAlign w:val="bottom"/>
            <w:gridSpan w:val="2"/>
            <w:vMerge w:val="continue"/>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22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announced plans or programs</w:t>
            </w:r>
          </w:p>
        </w:tc>
        <w:tc>
          <w:tcPr>
            <w:tcW w:w="2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under the plans or programs</w:t>
            </w:r>
          </w:p>
        </w:tc>
        <w:tc>
          <w:tcPr>
            <w:tcW w:w="0" w:type="dxa"/>
            <w:vAlign w:val="bottom"/>
          </w:tcPr>
          <w:p>
            <w:pPr>
              <w:spacing w:after="0"/>
              <w:rPr>
                <w:sz w:val="1"/>
                <w:szCs w:val="1"/>
                <w:color w:val="auto"/>
              </w:rPr>
            </w:pPr>
          </w:p>
        </w:tc>
      </w:tr>
      <w:tr>
        <w:trPr>
          <w:trHeight w:val="230"/>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 (1)</w:t>
            </w:r>
          </w:p>
        </w:tc>
        <w:tc>
          <w:tcPr>
            <w:tcW w:w="540" w:type="dxa"/>
            <w:vAlign w:val="bottom"/>
          </w:tcPr>
          <w:p>
            <w:pPr>
              <w:spacing w:after="0"/>
              <w:rPr>
                <w:sz w:val="19"/>
                <w:szCs w:val="19"/>
                <w:color w:val="auto"/>
              </w:rPr>
            </w:pPr>
          </w:p>
        </w:tc>
        <w:tc>
          <w:tcPr>
            <w:tcW w:w="1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9"/>
                <w:szCs w:val="19"/>
                <w:color w:val="auto"/>
              </w:rPr>
            </w:pPr>
          </w:p>
        </w:tc>
        <w:tc>
          <w:tcPr>
            <w:tcW w:w="21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377.23</w:t>
            </w:r>
          </w:p>
        </w:tc>
        <w:tc>
          <w:tcPr>
            <w:tcW w:w="80" w:type="dxa"/>
            <w:vAlign w:val="bottom"/>
          </w:tcPr>
          <w:p>
            <w:pPr>
              <w:spacing w:after="0"/>
              <w:rPr>
                <w:sz w:val="18"/>
                <w:szCs w:val="18"/>
                <w:color w:val="auto"/>
              </w:rPr>
            </w:pPr>
          </w:p>
        </w:tc>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80" w:type="dxa"/>
            <w:vAlign w:val="bottom"/>
          </w:tcPr>
          <w:p>
            <w:pPr>
              <w:spacing w:after="0"/>
              <w:rPr>
                <w:sz w:val="18"/>
                <w:szCs w:val="18"/>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29"/>
        </w:trPr>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34"/>
        </w:trPr>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377.23</w:t>
            </w:r>
          </w:p>
        </w:tc>
        <w:tc>
          <w:tcPr>
            <w:tcW w:w="80" w:type="dxa"/>
            <w:vAlign w:val="bottom"/>
          </w:tcPr>
          <w:p>
            <w:pPr>
              <w:spacing w:after="0"/>
              <w:rPr>
                <w:sz w:val="19"/>
                <w:szCs w:val="19"/>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80" w:type="dxa"/>
            <w:vAlign w:val="bottom"/>
          </w:tcPr>
          <w:p>
            <w:pPr>
              <w:spacing w:after="0"/>
              <w:rPr>
                <w:sz w:val="19"/>
                <w:szCs w:val="19"/>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-334010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-633730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640"/>
            <w:col w:w="9000"/>
          </w:cols>
          <w:pgMar w:left="320" w:top="124" w:right="339" w:bottom="1440" w:gutter="0" w:footer="0" w:header="0"/>
          <w:type w:val="continuous"/>
        </w:sectPr>
      </w:pPr>
    </w:p>
    <w:p>
      <w:pPr>
        <w:spacing w:after="0" w:line="362" w:lineRule="exact"/>
        <w:rPr>
          <w:sz w:val="20"/>
          <w:szCs w:val="20"/>
          <w:color w:val="auto"/>
        </w:rPr>
      </w:pPr>
    </w:p>
    <w:p>
      <w:pPr>
        <w:ind w:left="340" w:right="24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our Board of Directors approved a share repurchase program for calendar-year 2022 authorizing the repurchase of up to 650,000 shares of our common stock from time to time on the open market as permitted under Exchange Act Rule 10b-18 or in privately-negotiated transactions. The number of shares to be repurchased and the timing of such transactions will depend on a variety of factors, including market conditions. This share repurchase program is expected to be completed by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4" w:right="6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80" w:type="dxa"/>
            <w:vAlign w:val="bottom"/>
            <w:gridSpan w:val="20"/>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8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6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Number</w:t>
            </w:r>
          </w:p>
        </w:tc>
        <w:tc>
          <w:tcPr>
            <w:tcW w:w="420" w:type="dxa"/>
            <w:vAlign w:val="bottom"/>
          </w:tcPr>
          <w:p>
            <w:pPr>
              <w:spacing w:after="0"/>
              <w:rPr>
                <w:sz w:val="13"/>
                <w:szCs w:val="13"/>
                <w:color w:val="auto"/>
              </w:rPr>
            </w:pPr>
          </w:p>
        </w:tc>
        <w:tc>
          <w:tcPr>
            <w:tcW w:w="1018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8"/>
                <w:szCs w:val="18"/>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quarter ended June 30, 2020, filed July 24, 2020).</w:t>
              </w:r>
            </w:hyperlink>
          </w:p>
        </w:tc>
        <w:tc>
          <w:tcPr>
            <w:tcW w:w="6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9"/>
                <w:szCs w:val="19"/>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Our Bylaws, as amended through February 23, 2021 (incorporated by reference from our Form 8-k, filed March 1, 2021).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8"/>
                <w:szCs w:val="18"/>
                <w:color w:val="auto"/>
              </w:rPr>
            </w:pPr>
          </w:p>
        </w:tc>
        <w:tc>
          <w:tcPr>
            <w:tcW w:w="100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stock certificate for common stock (incorporated by reference to Exhibit 4 to the Company's 1998 Form 10-K, filed May 6, 1999).</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Article 5, 6, 8(c) and 9 of our Amended and Restated Articles of Incorporation (incorporated by reference to Exhibit 3.1 to the Company's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10-Q report for the quarter ended June 30, 2020, filed July 24,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9"/>
                <w:szCs w:val="19"/>
                <w:color w:val="auto"/>
              </w:rPr>
            </w:pPr>
          </w:p>
        </w:tc>
        <w:tc>
          <w:tcPr>
            <w:tcW w:w="100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Article I and V of our Bylaws, as amended through February 23, 2021 (incorporated by reference from our Form 8-k, filed March 1, 2021).</w:t>
              </w:r>
            </w:hyperlink>
          </w:p>
        </w:tc>
        <w:tc>
          <w:tcPr>
            <w:tcW w:w="1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line="245" w:lineRule="exact"/>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1"/>
                <w:szCs w:val="21"/>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4"/>
        </w:trPr>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6"/>
                <w:szCs w:val="16"/>
                <w:color w:val="auto"/>
              </w:rPr>
            </w:pPr>
          </w:p>
        </w:tc>
        <w:tc>
          <w:tcPr>
            <w:tcW w:w="10180" w:type="dxa"/>
            <w:vAlign w:val="bottom"/>
            <w:gridSpan w:val="25"/>
          </w:tcPr>
          <w:p>
            <w:pPr>
              <w:spacing w:after="0" w:line="194"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Credit Agreement, dated as of March 28, 2019, between West, certain of its subsidiaries, the lenders party thereto from time to time, Bank of</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America, N.A., as Administrative Agent, Swing Line Lender and an Issuing Lender; Merrill Lynch, Pierce, Fenner &amp; Smith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9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Wells Fargo Securities, LLC, MUFG Bank, Ltd., and JPMorgan Chase Bank, N.A., as Joint Lead Arrangers and Joint Bookrunners, and</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Wells Fargo Bank, National Association, MUFG Bank, Ltd., and JPMorgan Chase Bank, N.A., as Co-Syndication Agents (incorporated</w:t>
              </w:r>
            </w:hyperlink>
          </w:p>
        </w:tc>
        <w:tc>
          <w:tcPr>
            <w:tcW w:w="400" w:type="dxa"/>
            <w:vAlign w:val="bottom"/>
            <w:gridSpan w:val="13"/>
          </w:tcPr>
          <w:p>
            <w:pPr>
              <w:ind w:left="40"/>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reference from our Form 8-k, filed April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19"/>
                <w:szCs w:val="19"/>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LIBOR Transition Amendment to the Credit Agreement, dated as of March 28, 2019, between West, each of the lenders party thereto from</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80" w:type="dxa"/>
            <w:vAlign w:val="bottom"/>
            <w:gridSpan w:val="25"/>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time to time, and Bank of America, N.A (incorporated by reference to Exhibit 10.1 to the Company's Form 10-Q report for the quarter ended</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September 30, 2021, filed October 28,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8"/>
                <w:szCs w:val="18"/>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Credit Agreement Second Amendment and Joinder and Assumption Agreement, dated as of March 31, 2022, between West, certain of its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subsidiaries, the lenders party thereto from time-to-time, Bank of America, N.A., as Administrative Agent, Swing Line Lender and an</w:t>
              </w:r>
            </w:hyperlink>
          </w:p>
        </w:tc>
        <w:tc>
          <w:tcPr>
            <w:tcW w:w="240" w:type="dxa"/>
            <w:vAlign w:val="bottom"/>
            <w:tcBorders>
              <w:top w:val="single" w:sz="8" w:color="0000FF"/>
            </w:tcBorders>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80" w:type="dxa"/>
            <w:vAlign w:val="bottom"/>
            <w:gridSpan w:val="25"/>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Issuing Lender; BOFA Securities, Inc., Wells Fargo Securities, LLC, U.S. Bank National Association, and JPMorgan Chase Bank, N.A., as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Joint Lead Arrangers and Joint Bookrunners, and Wells Fargo Bank, National Association, U.S. Bank National Association, and JPMorgan</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Chase Bank, N.A., as Co-Syndication Agents (incorporated by reference from our Form 8-k, filed April 1, 2022).</w:t>
              </w:r>
            </w:hyperlink>
          </w:p>
        </w:tc>
        <w:tc>
          <w:tcPr>
            <w:tcW w:w="1860" w:type="dxa"/>
            <w:vAlign w:val="bottom"/>
            <w:tcBorders>
              <w:top w:val="single" w:sz="8" w:color="0000FF"/>
            </w:tcBorders>
            <w:gridSpan w:val="10"/>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9"/>
                <w:szCs w:val="19"/>
                <w:color w:val="auto"/>
              </w:rPr>
            </w:pPr>
          </w:p>
        </w:tc>
        <w:tc>
          <w:tcPr>
            <w:tcW w:w="7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by the Chief Executive Officer Pursuant to Section 302 of the Sarbanes-Oxley Act of 2002.</w:t>
            </w:r>
          </w:p>
        </w:tc>
        <w:tc>
          <w:tcPr>
            <w:tcW w:w="26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18"/>
                <w:szCs w:val="18"/>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18"/>
                <w:szCs w:val="18"/>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140" w:type="dxa"/>
            <w:vAlign w:val="bottom"/>
            <w:gridSpan w:val="1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19"/>
                <w:szCs w:val="19"/>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00" w:lineRule="exact"/>
        <w:rPr>
          <w:rFonts w:ascii="Times New Roman" w:cs="Times New Roman" w:eastAsia="Times New Roman" w:hAnsi="Times New Roman"/>
          <w:sz w:val="18"/>
          <w:szCs w:val="18"/>
          <w:color w:val="auto"/>
        </w:rPr>
      </w:pPr>
    </w:p>
    <w:p>
      <w:pPr>
        <w:spacing w:after="0" w:line="398" w:lineRule="exact"/>
        <w:rPr>
          <w:rFonts w:ascii="Times New Roman" w:cs="Times New Roman" w:eastAsia="Times New Roman" w:hAnsi="Times New Roman"/>
          <w:sz w:val="18"/>
          <w:szCs w:val="18"/>
          <w:color w:val="auto"/>
        </w:rPr>
      </w:pPr>
    </w:p>
    <w:p>
      <w:pPr>
        <w:ind w:right="40" w:firstLine="8"/>
        <w:spacing w:after="0" w:line="540"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20" w:top="124"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ectPr>
          <w:pgSz w:w="11900" w:h="16838" w:orient="portrait"/>
          <w:cols w:equalWidth="0" w:num="1">
            <w:col w:w="11240"/>
          </w:cols>
          <w:pgMar w:left="320" w:top="141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West Pharmaceutical Services, Inc. (the “Company”) for the period ended March 31, 2022,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77"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West Pharmaceutical Services, Inc. (the “Company”) for the period ended March 31, 2022,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85"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lvl w:ilvl="1">
      <w:lvlJc w:val="left"/>
      <w:lvlText w:val="%2"/>
      <w:numFmt w:val="decimal"/>
      <w:start w:val="104"/>
    </w:lvl>
  </w:abstractNum>
  <w:abstractNum w:abstractNumId="15">
    <w:nsid w:val="431BD7B7"/>
    <w:multiLevelType w:val="hybridMultilevel"/>
    <w:lvl w:ilvl="0">
      <w:lvlJc w:val="left"/>
      <w:lvlText w:val="(%1)"/>
      <w:numFmt w:val="decimal"/>
      <w:start w:val="1"/>
    </w:lvl>
    <w:lvl w:ilvl="1">
      <w:lvlJc w:val="left"/>
      <w:lvlText w:val="%2"/>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71" Type="http://schemas.openxmlformats.org/officeDocument/2006/relationships/image" Target="media/image57.png"/><Relationship Id="rId16" Type="http://schemas.openxmlformats.org/officeDocument/2006/relationships/hyperlink" Target="https://www.sec.gov/ix?doc=/Archives/edgar/data/105770/000162828022003342/wst-20211231.htm" TargetMode="External"/><Relationship Id="rId65" Type="http://schemas.openxmlformats.org/officeDocument/2006/relationships/hyperlink" Target="https://www.sec.gov/Archives/edgar/data/105770/000010577020000045/ex31articlesofincorpor.htm" TargetMode="External"/><Relationship Id="rId66" Type="http://schemas.openxmlformats.org/officeDocument/2006/relationships/hyperlink" Target="https://www.sec.gov/Archives/edgar/data/105770/000010577021000014/wpsbylawamendmentsfinalfeb.htm" TargetMode="External"/><Relationship Id="rId67" Type="http://schemas.openxmlformats.org/officeDocument/2006/relationships/hyperlink" Target="http://www.sec.gov/Archives/edgar/data/105770/0000105770-99-000016-index.html" TargetMode="External"/><Relationship Id="rId68" Type="http://schemas.openxmlformats.org/officeDocument/2006/relationships/hyperlink" Target="https://www.sec.gov/Archives/edgar/data/105770/000010577019000016/exh101march282019creditagr.htm" TargetMode="External"/><Relationship Id="rId69" Type="http://schemas.openxmlformats.org/officeDocument/2006/relationships/hyperlink" Target="https://www.sec.gov/Archives/edgar/data/105770/000010577021000083/char1-1826719v3xlibortrans.htm" TargetMode="External"/><Relationship Id="rId70" Type="http://schemas.openxmlformats.org/officeDocument/2006/relationships/hyperlink" Target="https://www.sec.gov/Archives/edgar/data/105770/000010577022000010/compiledsecondamendment-w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2022-04-28T16:29:05Z</dcterms:created>
  <dcterms:modified xsi:type="dcterms:W3CDTF">2022-04-28T16:29:05Z</dcterms:modified>
</cp:coreProperties>
</file>