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5399" w:type="dxa"/>
        <w:jc w:val="center"/>
        <w:tblInd w:w="0" w:type="dxa"/>
        <w:tblLayout w:type="fixed"/>
        <w:tblCellMar>
          <w:top w:w="28" w:type="dxa"/>
          <w:left w:w="28" w:type="dxa"/>
          <w:bottom w:w="28" w:type="dxa"/>
          <w:right w:w="28" w:type="dxa"/>
        </w:tblCellMar>
      </w:tblPr>
      <w:tblGrid>
        <w:gridCol w:w="1727"/>
        <w:gridCol w:w="1519"/>
        <w:gridCol w:w="2153"/>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UNITED STATES</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c>
      </w:tr>
    </w:tbl>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1-8036</w:t>
      </w:r>
    </w:p>
    <w:p>
      <w:pPr>
        <w:pStyle w:val="TextBody"/>
        <w:bidi w:val="0"/>
        <w:spacing w:before="0" w:after="0"/>
        <w:jc w:val="center"/>
        <w:rPr/>
      </w:pPr>
      <w:r>
        <w:rPr/>
        <w:drawing>
          <wp:inline distT="0" distB="0" distL="0" distR="0">
            <wp:extent cx="19145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7715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WEST PHARMACEUTICAL SERVICES, INC. </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8742" w:type="dxa"/>
        <w:jc w:val="center"/>
        <w:tblInd w:w="0" w:type="dxa"/>
        <w:tblLayout w:type="fixed"/>
        <w:tblCellMar>
          <w:top w:w="28" w:type="dxa"/>
          <w:left w:w="28" w:type="dxa"/>
          <w:bottom w:w="28" w:type="dxa"/>
          <w:right w:w="28" w:type="dxa"/>
        </w:tblCellMar>
      </w:tblPr>
      <w:tblGrid>
        <w:gridCol w:w="377"/>
        <w:gridCol w:w="332"/>
        <w:gridCol w:w="332"/>
        <w:gridCol w:w="332"/>
        <w:gridCol w:w="332"/>
        <w:gridCol w:w="332"/>
        <w:gridCol w:w="332"/>
        <w:gridCol w:w="332"/>
        <w:gridCol w:w="332"/>
        <w:gridCol w:w="332"/>
        <w:gridCol w:w="332"/>
        <w:gridCol w:w="332"/>
        <w:gridCol w:w="332"/>
        <w:gridCol w:w="332"/>
        <w:gridCol w:w="332"/>
        <w:gridCol w:w="109"/>
        <w:gridCol w:w="109"/>
        <w:gridCol w:w="109"/>
        <w:gridCol w:w="527"/>
        <w:gridCol w:w="527"/>
        <w:gridCol w:w="527"/>
        <w:gridCol w:w="527"/>
        <w:gridCol w:w="527"/>
        <w:gridCol w:w="755"/>
      </w:tblGrid>
      <w:tr>
        <w:trPr/>
        <w:tc>
          <w:tcPr>
            <w:tcW w:w="37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5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23-1210010</w:t>
            </w:r>
          </w:p>
        </w:tc>
      </w:tr>
      <w:tr>
        <w:trPr/>
        <w:tc>
          <w:tcPr>
            <w:tcW w:w="5025"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530 Herman O. West Drive, Exton,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19341-1147</w:t>
            </w:r>
          </w:p>
        </w:tc>
      </w:tr>
      <w:tr>
        <w:trPr/>
        <w:tc>
          <w:tcPr>
            <w:tcW w:w="5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610-594-2900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18" w:type="dxa"/>
        <w:jc w:val="left"/>
        <w:tblInd w:w="0" w:type="dxa"/>
        <w:tblLayout w:type="fixed"/>
        <w:tblCellMar>
          <w:top w:w="28" w:type="dxa"/>
          <w:left w:w="28" w:type="dxa"/>
          <w:bottom w:w="28" w:type="dxa"/>
          <w:right w:w="28" w:type="dxa"/>
        </w:tblCellMar>
      </w:tblPr>
      <w:tblGrid>
        <w:gridCol w:w="1263"/>
        <w:gridCol w:w="1109"/>
        <w:gridCol w:w="1122"/>
        <w:gridCol w:w="499"/>
        <w:gridCol w:w="499"/>
        <w:gridCol w:w="501"/>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$0.25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WST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ind w:left="0" w:right="0" w:firstLine="8640"/>
        <w:jc w:val="left"/>
        <w:rPr>
          <w:rFonts w:ascii="Times New Roman;serif" w:hAnsi="Times New Roman;serif"/>
          <w:b w:val="false"/>
          <w:color w:val="000000"/>
          <w:sz w:val="20"/>
        </w:rPr>
      </w:pPr>
      <w:r>
        <w:rPr>
          <w:rFonts w:ascii="Times New Roman;serif" w:hAnsi="Times New Roman;serif"/>
          <w:b w:val="false"/>
          <w:color w:val="000000"/>
          <w:sz w:val="20"/>
        </w:rPr>
        <w:t>Yes ☐ No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20, 2026, there were 70,375,762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30"/>
        <w:gridCol w:w="504"/>
        <w:gridCol w:w="468"/>
        <w:gridCol w:w="2733"/>
        <w:gridCol w:w="2654"/>
        <w:gridCol w:w="2644"/>
        <w:gridCol w:w="167"/>
        <w:gridCol w:w="167"/>
        <w:gridCol w:w="238"/>
      </w:tblGrid>
      <w:tr>
        <w:trPr/>
        <w:tc>
          <w:tcPr>
            <w:tcW w:w="63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63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13">
              <w:r>
                <w:rPr>
                  <w:rStyle w:val="InternetLink"/>
                  <w:rFonts w:ascii="Times New Roman;serif" w:hAnsi="Times New Roman;serif"/>
                  <w:b/>
                  <w:color w:val="0000FF"/>
                  <w:sz w:val="20"/>
                  <w:u w:val="single"/>
                </w:rPr>
                <w:t>PART I. FINANCIAL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16">
              <w:r>
                <w:rPr>
                  <w:rStyle w:val="InternetLink"/>
                  <w:rFonts w:ascii="Times New Roman;serif" w:hAnsi="Times New Roman;serif"/>
                  <w:b/>
                  <w:color w:val="0000FF"/>
                  <w:sz w:val="20"/>
                  <w:u w:val="single"/>
                </w:rPr>
                <w:t>FINANCIAL STATEMENTS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19">
              <w:r>
                <w:rPr>
                  <w:rStyle w:val="InternetLink"/>
                  <w:rFonts w:ascii="Times New Roman;serif" w:hAnsi="Times New Roman;serif"/>
                  <w:b/>
                  <w:color w:val="000080"/>
                  <w:sz w:val="20"/>
                  <w:u w:val="single"/>
                </w:rPr>
                <w:t xml:space="preserve">Condensed Consolidated Statements of Income for the Three </w:t>
              </w:r>
            </w:hyperlink>
            <w:hyperlink w:anchor="i334e5af0cc974070b9320cc50a88c43c_19">
              <w:r>
                <w:rPr>
                  <w:rStyle w:val="InternetLink"/>
                  <w:rFonts w:ascii="Times New Roman;serif" w:hAnsi="Times New Roman;serif"/>
                  <w:b/>
                  <w:color w:val="000080"/>
                  <w:sz w:val="20"/>
                  <w:u w:val="single"/>
                </w:rPr>
                <w:t xml:space="preserve">and Six </w:t>
              </w:r>
            </w:hyperlink>
            <w:hyperlink w:anchor="i334e5af0cc974070b9320cc50a88c43c_19">
              <w:r>
                <w:rPr>
                  <w:rStyle w:val="InternetLink"/>
                  <w:rFonts w:ascii="Times New Roman;serif" w:hAnsi="Times New Roman;serif"/>
                  <w:b/>
                  <w:color w:val="000080"/>
                  <w:sz w:val="20"/>
                  <w:u w:val="single"/>
                </w:rPr>
                <w:t xml:space="preserve">Months ended </w:t>
              </w:r>
            </w:hyperlink>
            <w:hyperlink w:anchor="i334e5af0cc974070b9320cc50a88c43c_19">
              <w:r>
                <w:rPr>
                  <w:rStyle w:val="InternetLink"/>
                  <w:rFonts w:ascii="Times New Roman;serif" w:hAnsi="Times New Roman;serif"/>
                  <w:b/>
                  <w:color w:val="000080"/>
                  <w:sz w:val="20"/>
                  <w:u w:val="single"/>
                </w:rPr>
                <w:t>June 30</w:t>
              </w:r>
            </w:hyperlink>
            <w:hyperlink w:anchor="i334e5af0cc974070b9320cc50a88c43c_19">
              <w:r>
                <w:rPr>
                  <w:rStyle w:val="InternetLink"/>
                  <w:rFonts w:ascii="Times New Roman;serif" w:hAnsi="Times New Roman;serif"/>
                  <w:b/>
                  <w:color w:val="000080"/>
                  <w:sz w:val="20"/>
                  <w:u w:val="single"/>
                </w:rPr>
                <w:t>, 2026 and 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19">
              <w:r>
                <w:rPr>
                  <w:rStyle w:val="InternetLink"/>
                  <w:rFonts w:ascii="Times New Roman;serif" w:hAnsi="Times New Roman;serif"/>
                  <w:b/>
                  <w:color w:val="0000FF"/>
                  <w:sz w:val="20"/>
                  <w:u w:val="single"/>
                </w:rPr>
                <w:t>3</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22">
              <w:r>
                <w:rPr>
                  <w:rStyle w:val="InternetLink"/>
                  <w:rFonts w:ascii="Times New Roman;serif" w:hAnsi="Times New Roman;serif"/>
                  <w:b/>
                  <w:color w:val="000080"/>
                  <w:sz w:val="20"/>
                  <w:u w:val="single"/>
                </w:rPr>
                <w:t>Condensed Consolidated Statements of Comprehensive Income for the Three</w:t>
              </w:r>
            </w:hyperlink>
            <w:hyperlink w:anchor="i334e5af0cc974070b9320cc50a88c43c_22">
              <w:r>
                <w:rPr>
                  <w:rStyle w:val="InternetLink"/>
                  <w:rFonts w:ascii="Times New Roman;serif" w:hAnsi="Times New Roman;serif"/>
                  <w:b/>
                  <w:color w:val="000080"/>
                  <w:sz w:val="20"/>
                  <w:u w:val="single"/>
                </w:rPr>
                <w:t xml:space="preserve"> and S</w:t>
              </w:r>
            </w:hyperlink>
            <w:hyperlink w:anchor="i334e5af0cc974070b9320cc50a88c43c_22">
              <w:r>
                <w:rPr>
                  <w:rStyle w:val="InternetLink"/>
                  <w:rFonts w:ascii="Times New Roman;serif" w:hAnsi="Times New Roman;serif"/>
                  <w:b/>
                  <w:color w:val="000080"/>
                  <w:sz w:val="20"/>
                  <w:u w:val="single"/>
                </w:rPr>
                <w:t>i</w:t>
              </w:r>
            </w:hyperlink>
            <w:hyperlink w:anchor="i334e5af0cc974070b9320cc50a88c43c_22">
              <w:r>
                <w:rPr>
                  <w:rStyle w:val="InternetLink"/>
                  <w:rFonts w:ascii="Times New Roman;serif" w:hAnsi="Times New Roman;serif"/>
                  <w:b/>
                  <w:color w:val="000080"/>
                  <w:sz w:val="20"/>
                  <w:u w:val="single"/>
                </w:rPr>
                <w:t>x</w:t>
              </w:r>
            </w:hyperlink>
            <w:hyperlink w:anchor="i334e5af0cc974070b9320cc50a88c43c_22">
              <w:r>
                <w:rPr>
                  <w:rStyle w:val="InternetLink"/>
                  <w:rFonts w:ascii="Times New Roman;serif" w:hAnsi="Times New Roman;serif"/>
                  <w:b/>
                  <w:color w:val="000080"/>
                  <w:sz w:val="20"/>
                  <w:u w:val="single"/>
                </w:rPr>
                <w:t xml:space="preserve"> Months ended </w:t>
              </w:r>
            </w:hyperlink>
            <w:hyperlink w:anchor="i334e5af0cc974070b9320cc50a88c43c_22">
              <w:r>
                <w:rPr>
                  <w:rStyle w:val="InternetLink"/>
                  <w:rFonts w:ascii="Times New Roman;serif" w:hAnsi="Times New Roman;serif"/>
                  <w:b/>
                  <w:color w:val="000080"/>
                  <w:sz w:val="20"/>
                  <w:u w:val="single"/>
                </w:rPr>
                <w:t>J</w:t>
              </w:r>
            </w:hyperlink>
            <w:hyperlink w:anchor="i334e5af0cc974070b9320cc50a88c43c_22">
              <w:r>
                <w:rPr>
                  <w:rStyle w:val="InternetLink"/>
                  <w:rFonts w:ascii="Times New Roman;serif" w:hAnsi="Times New Roman;serif"/>
                  <w:b/>
                  <w:color w:val="000080"/>
                  <w:sz w:val="20"/>
                  <w:u w:val="single"/>
                </w:rPr>
                <w:t>une 30</w:t>
              </w:r>
            </w:hyperlink>
            <w:hyperlink w:anchor="i334e5af0cc974070b9320cc50a88c43c_22">
              <w:r>
                <w:rPr>
                  <w:rStyle w:val="InternetLink"/>
                  <w:rFonts w:ascii="Times New Roman;serif" w:hAnsi="Times New Roman;serif"/>
                  <w:b/>
                  <w:color w:val="000080"/>
                  <w:sz w:val="20"/>
                  <w:u w:val="single"/>
                </w:rPr>
                <w:t>, 2026 and 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22">
              <w:r>
                <w:rPr>
                  <w:rStyle w:val="InternetLink"/>
                  <w:rFonts w:ascii="Times New Roman;serif" w:hAnsi="Times New Roman;serif"/>
                  <w:b/>
                  <w:color w:val="0000FF"/>
                  <w:sz w:val="20"/>
                  <w:u w:val="single"/>
                </w:rPr>
                <w:t>4</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25">
              <w:r>
                <w:rPr>
                  <w:rStyle w:val="InternetLink"/>
                  <w:rFonts w:ascii="Times New Roman;serif" w:hAnsi="Times New Roman;serif"/>
                  <w:b/>
                  <w:color w:val="000080"/>
                  <w:sz w:val="20"/>
                  <w:u w:val="single"/>
                </w:rPr>
                <w:t xml:space="preserve">Condensed Consolidated Balance Sheets at </w:t>
              </w:r>
            </w:hyperlink>
            <w:hyperlink w:anchor="i334e5af0cc974070b9320cc50a88c43c_25">
              <w:r>
                <w:rPr>
                  <w:rStyle w:val="InternetLink"/>
                  <w:rFonts w:ascii="Times New Roman;serif" w:hAnsi="Times New Roman;serif"/>
                  <w:b/>
                  <w:color w:val="000080"/>
                  <w:sz w:val="20"/>
                  <w:u w:val="single"/>
                </w:rPr>
                <w:t>June 30</w:t>
              </w:r>
            </w:hyperlink>
            <w:hyperlink w:anchor="i334e5af0cc974070b9320cc50a88c43c_25">
              <w:r>
                <w:rPr>
                  <w:rStyle w:val="InternetLink"/>
                  <w:rFonts w:ascii="Times New Roman;serif" w:hAnsi="Times New Roman;serif"/>
                  <w:b/>
                  <w:color w:val="000080"/>
                  <w:sz w:val="20"/>
                  <w:u w:val="single"/>
                </w:rPr>
                <w:t>, 2026 and December 31, 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25">
              <w:r>
                <w:rPr>
                  <w:rStyle w:val="InternetLink"/>
                  <w:rFonts w:ascii="Times New Roman;serif" w:hAnsi="Times New Roman;serif"/>
                  <w:b/>
                  <w:color w:val="0000FF"/>
                  <w:sz w:val="20"/>
                  <w:u w:val="single"/>
                </w:rPr>
                <w:t>5</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28">
              <w:r>
                <w:rPr>
                  <w:rStyle w:val="InternetLink"/>
                  <w:rFonts w:ascii="Times New Roman;serif" w:hAnsi="Times New Roman;serif"/>
                  <w:b/>
                  <w:color w:val="000080"/>
                  <w:sz w:val="20"/>
                  <w:u w:val="single"/>
                </w:rPr>
                <w:t xml:space="preserve">Condensed Consolidated Statements of Cash Flows for the </w:t>
              </w:r>
            </w:hyperlink>
            <w:hyperlink w:anchor="i334e5af0cc974070b9320cc50a88c43c_28">
              <w:r>
                <w:rPr>
                  <w:rStyle w:val="InternetLink"/>
                  <w:rFonts w:ascii="Times New Roman;serif" w:hAnsi="Times New Roman;serif"/>
                  <w:b/>
                  <w:color w:val="000080"/>
                  <w:sz w:val="20"/>
                  <w:u w:val="single"/>
                </w:rPr>
                <w:t>Six</w:t>
              </w:r>
            </w:hyperlink>
            <w:hyperlink w:anchor="i334e5af0cc974070b9320cc50a88c43c_28">
              <w:r>
                <w:rPr>
                  <w:rStyle w:val="InternetLink"/>
                  <w:rFonts w:ascii="Times New Roman;serif" w:hAnsi="Times New Roman;serif"/>
                  <w:b/>
                  <w:color w:val="000080"/>
                  <w:sz w:val="20"/>
                  <w:u w:val="single"/>
                </w:rPr>
                <w:t xml:space="preserve"> Months ended </w:t>
              </w:r>
            </w:hyperlink>
            <w:hyperlink w:anchor="i334e5af0cc974070b9320cc50a88c43c_28">
              <w:r>
                <w:rPr>
                  <w:rStyle w:val="InternetLink"/>
                  <w:rFonts w:ascii="Times New Roman;serif" w:hAnsi="Times New Roman;serif"/>
                  <w:b/>
                  <w:color w:val="000080"/>
                  <w:sz w:val="20"/>
                  <w:u w:val="single"/>
                </w:rPr>
                <w:t>June 30</w:t>
              </w:r>
            </w:hyperlink>
            <w:hyperlink w:anchor="i334e5af0cc974070b9320cc50a88c43c_28">
              <w:r>
                <w:rPr>
                  <w:rStyle w:val="InternetLink"/>
                  <w:rFonts w:ascii="Times New Roman;serif" w:hAnsi="Times New Roman;serif"/>
                  <w:b/>
                  <w:color w:val="000080"/>
                  <w:sz w:val="20"/>
                  <w:u w:val="single"/>
                </w:rPr>
                <w:t>, 2026 and 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28">
              <w:r>
                <w:rPr>
                  <w:rStyle w:val="InternetLink"/>
                  <w:rFonts w:ascii="Times New Roman;serif" w:hAnsi="Times New Roman;serif"/>
                  <w:b/>
                  <w:color w:val="0000FF"/>
                  <w:sz w:val="20"/>
                  <w:u w:val="single"/>
                </w:rPr>
                <w:t>6</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31">
              <w:r>
                <w:rPr>
                  <w:rStyle w:val="InternetLink"/>
                  <w:rFonts w:ascii="Times New Roman;serif" w:hAnsi="Times New Roman;serif"/>
                  <w:b/>
                  <w:color w:val="0000FF"/>
                  <w:sz w:val="20"/>
                  <w:u w:val="single"/>
                </w:rPr>
                <w:t>Notes to Condensed Consolidated 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31">
              <w:r>
                <w:rPr>
                  <w:rStyle w:val="InternetLink"/>
                  <w:rFonts w:ascii="Times New Roman;serif" w:hAnsi="Times New Roman;serif"/>
                  <w:b/>
                  <w:color w:val="0000FF"/>
                  <w:sz w:val="20"/>
                  <w:u w:val="single"/>
                </w:rPr>
                <w:t>7</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145">
              <w:r>
                <w:rPr>
                  <w:rStyle w:val="InternetLink"/>
                  <w:rFonts w:ascii="Times New Roman;serif" w:hAnsi="Times New Roman;serif"/>
                  <w:b/>
                  <w:color w:val="0000FF"/>
                  <w:sz w:val="20"/>
                  <w:u w:val="single"/>
                </w:rPr>
                <w:t>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145">
              <w:r>
                <w:rPr>
                  <w:rStyle w:val="InternetLink"/>
                  <w:rFonts w:ascii="Times New Roman;serif" w:hAnsi="Times New Roman;serif"/>
                  <w:b/>
                  <w:color w:val="0000FF"/>
                  <w:sz w:val="20"/>
                  <w:u w:val="single"/>
                </w:rPr>
                <w:t>29</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295">
              <w:r>
                <w:rPr>
                  <w:rStyle w:val="InternetLink"/>
                  <w:rFonts w:ascii="Times New Roman;serif" w:hAnsi="Times New Roman;serif"/>
                  <w:b/>
                  <w:color w:val="0000FF"/>
                  <w:sz w:val="20"/>
                  <w:u w:val="single"/>
                </w:rPr>
                <w:t>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295">
              <w:r>
                <w:rPr>
                  <w:rStyle w:val="InternetLink"/>
                  <w:rFonts w:ascii="Times New Roman;serif" w:hAnsi="Times New Roman;serif"/>
                  <w:b/>
                  <w:color w:val="0000FF"/>
                  <w:sz w:val="20"/>
                  <w:u w:val="single"/>
                </w:rPr>
                <w:t>42</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298">
              <w:r>
                <w:rPr>
                  <w:rStyle w:val="InternetLink"/>
                  <w:rFonts w:ascii="Times New Roman;serif" w:hAnsi="Times New Roman;serif"/>
                  <w:b/>
                  <w:color w:val="0000FF"/>
                  <w:sz w:val="20"/>
                  <w:u w:val="single"/>
                </w:rPr>
                <w:t>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298">
              <w:r>
                <w:rPr>
                  <w:rStyle w:val="InternetLink"/>
                  <w:rFonts w:ascii="Times New Roman;serif" w:hAnsi="Times New Roman;serif"/>
                  <w:b/>
                  <w:color w:val="0000FF"/>
                  <w:sz w:val="20"/>
                  <w:u w:val="single"/>
                </w:rPr>
                <w:t>43</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3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301">
              <w:r>
                <w:rPr>
                  <w:rStyle w:val="InternetLink"/>
                  <w:rFonts w:ascii="Times New Roman;serif" w:hAnsi="Times New Roman;serif"/>
                  <w:b/>
                  <w:color w:val="0000FF"/>
                  <w:sz w:val="20"/>
                  <w:u w:val="single"/>
                </w:rPr>
                <w:t>PART II. 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304">
              <w:r>
                <w:rPr>
                  <w:rStyle w:val="InternetLink"/>
                  <w:rFonts w:ascii="Times New Roman;serif" w:hAnsi="Times New Roman;serif"/>
                  <w:b/>
                  <w:color w:val="0000FF"/>
                  <w:sz w:val="20"/>
                  <w:u w:val="single"/>
                </w:rPr>
                <w:t>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304">
              <w:r>
                <w:rPr>
                  <w:rStyle w:val="InternetLink"/>
                  <w:rFonts w:ascii="Times New Roman;serif" w:hAnsi="Times New Roman;serif"/>
                  <w:b/>
                  <w:color w:val="0000FF"/>
                  <w:sz w:val="20"/>
                  <w:u w:val="single"/>
                </w:rPr>
                <w:t>44</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307">
              <w:r>
                <w:rPr>
                  <w:rStyle w:val="InternetLink"/>
                  <w:rFonts w:ascii="Times New Roman;serif" w:hAnsi="Times New Roman;serif"/>
                  <w:b/>
                  <w:color w:val="0000FF"/>
                  <w:sz w:val="20"/>
                  <w:u w:val="single"/>
                </w:rPr>
                <w:t>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307">
              <w:r>
                <w:rPr>
                  <w:rStyle w:val="InternetLink"/>
                  <w:rFonts w:ascii="Times New Roman;serif" w:hAnsi="Times New Roman;serif"/>
                  <w:b/>
                  <w:color w:val="0000FF"/>
                  <w:sz w:val="20"/>
                  <w:u w:val="single"/>
                </w:rPr>
                <w:t>44</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310">
              <w:r>
                <w:rPr>
                  <w:rStyle w:val="InternetLink"/>
                  <w:rFonts w:ascii="Times New Roman;serif" w:hAnsi="Times New Roman;serif"/>
                  <w:b/>
                  <w:color w:val="0000FF"/>
                  <w:sz w:val="20"/>
                  <w:u w:val="single"/>
                </w:rPr>
                <w:t>UNREGISTERED SALES OF EQUITY SECURITIES AND USE OF PROCEEDS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310">
              <w:r>
                <w:rPr>
                  <w:rStyle w:val="InternetLink"/>
                  <w:rFonts w:ascii="Times New Roman;serif" w:hAnsi="Times New Roman;serif"/>
                  <w:b/>
                  <w:color w:val="0000FF"/>
                  <w:sz w:val="20"/>
                  <w:u w:val="single"/>
                </w:rPr>
                <w:t>45</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316">
              <w:r>
                <w:rPr>
                  <w:rStyle w:val="InternetLink"/>
                  <w:rFonts w:ascii="Times New Roman;serif" w:hAnsi="Times New Roman;serif"/>
                  <w:b/>
                  <w:color w:val="0000FF"/>
                  <w:sz w:val="20"/>
                  <w:u w:val="single"/>
                </w:rPr>
                <w:t>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316">
              <w:r>
                <w:rPr>
                  <w:rStyle w:val="InternetLink"/>
                  <w:rFonts w:ascii="Times New Roman;serif" w:hAnsi="Times New Roman;serif"/>
                  <w:b/>
                  <w:color w:val="0000FF"/>
                  <w:sz w:val="20"/>
                  <w:u w:val="single"/>
                </w:rPr>
                <w:t>45</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322">
              <w:r>
                <w:rPr>
                  <w:rStyle w:val="InternetLink"/>
                  <w:rFonts w:ascii="Times New Roman;serif" w:hAnsi="Times New Roman;serif"/>
                  <w:b/>
                  <w:color w:val="0000FF"/>
                  <w:sz w:val="20"/>
                  <w:u w:val="single"/>
                </w:rPr>
                <w:t>EXHIBITS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322">
              <w:r>
                <w:rPr>
                  <w:rStyle w:val="InternetLink"/>
                  <w:rFonts w:ascii="Times New Roman;serif" w:hAnsi="Times New Roman;serif"/>
                  <w:b/>
                  <w:color w:val="0000FF"/>
                  <w:sz w:val="20"/>
                  <w:u w:val="single"/>
                </w:rPr>
                <w:t>46</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e5af0cc974070b9320cc50a88c43c_325">
              <w:r>
                <w:rPr>
                  <w:rStyle w:val="InternetLink"/>
                  <w:rFonts w:ascii="Times New Roman;serif" w:hAnsi="Times New Roman;serif"/>
                  <w:b/>
                  <w:color w:val="0000FF"/>
                  <w:sz w:val="20"/>
                  <w:u w:val="single"/>
                </w:rPr>
                <w:t>SIGNATURE</w:t>
              </w:r>
            </w:hyperlink>
          </w:p>
        </w:tc>
        <w:tc>
          <w:tcPr>
            <w:tcW w:w="8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e5af0cc974070b9320cc50a88c43c_325">
              <w:r>
                <w:rPr>
                  <w:rStyle w:val="InternetLink"/>
                  <w:rFonts w:ascii="Times New Roman;serif" w:hAnsi="Times New Roman;serif"/>
                  <w:b/>
                  <w:color w:val="0000FF"/>
                  <w:sz w:val="20"/>
                  <w:u w:val="single"/>
                </w:rPr>
                <w:t>47</w:t>
              </w:r>
            </w:hyperlink>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INCOME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47"/>
        <w:gridCol w:w="1593"/>
        <w:gridCol w:w="1594"/>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5"/>
      </w:tblGrid>
      <w:tr>
        <w:trPr/>
        <w:tc>
          <w:tcPr>
            <w:tcW w:w="194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(Note 14)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net income of affiliated companies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affiliated companies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51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1983"/>
        <w:gridCol w:w="1717"/>
        <w:gridCol w:w="173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83"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 of $0.4 and $(1.0), $0.5 and $(2.1),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Defined benefit pension and other postretirement plan adjustments, net of tax of $0.0 and $(0.2), $0.0 and $(0.3), respectively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 on equity affiliate accumulated other comprehensive income, net of tax of $0.0 and $0.0, $0.0 and $0.0,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gain on derivatives, net of tax of $(0.3) and $0.8, $(0.2) and $1.7, respectively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CONDENSED CONSOLIDATED BALANCE SHEETS (UNAUDITED)</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West Pharmaceutical Services, Inc. and Subsidiaries</w:t>
      </w:r>
    </w:p>
    <w:tbl>
      <w:tblPr>
        <w:tblW w:w="10205" w:type="dxa"/>
        <w:jc w:val="left"/>
        <w:tblInd w:w="0" w:type="dxa"/>
        <w:tblLayout w:type="fixed"/>
        <w:tblCellMar>
          <w:top w:w="28" w:type="dxa"/>
          <w:left w:w="28" w:type="dxa"/>
          <w:bottom w:w="28" w:type="dxa"/>
          <w:right w:w="28" w:type="dxa"/>
        </w:tblCellMar>
      </w:tblPr>
      <w:tblGrid>
        <w:gridCol w:w="2965"/>
        <w:gridCol w:w="2319"/>
        <w:gridCol w:w="2330"/>
        <w:gridCol w:w="211"/>
        <w:gridCol w:w="766"/>
        <w:gridCol w:w="109"/>
        <w:gridCol w:w="109"/>
        <w:gridCol w:w="109"/>
        <w:gridCol w:w="109"/>
        <w:gridCol w:w="219"/>
        <w:gridCol w:w="796"/>
        <w:gridCol w:w="163"/>
      </w:tblGrid>
      <w:tr>
        <w:trPr/>
        <w:tc>
          <w:tcPr>
            <w:tcW w:w="2965"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 millions, except per share data)</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December 31,</w:t>
              <w:br/>
              <w:t>2025</w:t>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w:t>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1,978.2 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3,223.4 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accumulated 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1,726.4 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right-of-use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 in affiliated companies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4,270.0 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 AND EQUITY</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salaries, wages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commissions, rebates and royalties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654.9 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 and other postretirement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compensation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1,094.0 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16)</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Preferred stock, 3.0 million shares authorized; 0 shares issued and outstanding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Common stock, par value $0.25 per share; 200.0 million shares authorized; shares issued: June 30, 2026 - 75.3 million, December 31, 2025 - 75.3 million; shares outstanding: June 30, 2026 - 70.4 million, December 31, 2025 - 72.0 million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in excess of par value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Treasury stock, at cost (June 30, 2026 - 4.9 million shares, December 31, 2025 - 3.3 million shares)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3,176.0 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4,270.0 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 and Subsidiaries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8963" w:type="dxa"/>
        <w:jc w:val="left"/>
        <w:tblInd w:w="0" w:type="dxa"/>
        <w:tblLayout w:type="fixed"/>
        <w:tblCellMar>
          <w:top w:w="28" w:type="dxa"/>
          <w:left w:w="28" w:type="dxa"/>
          <w:bottom w:w="28" w:type="dxa"/>
          <w:right w:w="28" w:type="dxa"/>
        </w:tblCellMar>
      </w:tblPr>
      <w:tblGrid>
        <w:gridCol w:w="2431"/>
        <w:gridCol w:w="2141"/>
        <w:gridCol w:w="2147"/>
        <w:gridCol w:w="211"/>
        <w:gridCol w:w="616"/>
        <w:gridCol w:w="109"/>
        <w:gridCol w:w="109"/>
        <w:gridCol w:w="109"/>
        <w:gridCol w:w="109"/>
        <w:gridCol w:w="211"/>
        <w:gridCol w:w="61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restructuring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revolving credit agreements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repayments on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stock-based compensation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contributions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under share repurchase programs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for employee tax withholdings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including cash equivalents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including cash equivalents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0" w:after="120"/>
        <w:jc w:val="left"/>
        <w:rPr/>
      </w:pPr>
      <w:r>
        <w:rPr>
          <w:rFonts w:ascii="Times New Roman;serif" w:hAnsi="Times New Roman;serif"/>
          <w:b/>
          <w:color w:val="000000"/>
          <w:sz w:val="20"/>
        </w:rPr>
        <w:t>Basis of Presentation</w:t>
      </w:r>
      <w:r>
        <w:rPr>
          <w:rFonts w:ascii="Times New Roman;serif" w:hAnsi="Times New Roman;serif"/>
          <w:b w:val="false"/>
          <w:color w:val="000000"/>
          <w:sz w:val="20"/>
        </w:rPr>
        <w:t>: The condensed consolidated financial statements included in this report are unaudited and have been prepared in accordance with 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six months ended June 30, 2026, should be read in conjunction with the consolidated financial statements and notes thereto of West Pharmaceutical Services, Inc. and its majority-owned subsidiaries (which may be referred to as “West”, the “Company”, “we”, “us” or “our”) appearing in our Annual Report on Form 10-K for the year ended December 31, 2025 (the “</w:t>
      </w:r>
      <w:hyperlink r:id="rId3">
        <w:r>
          <w:rPr>
            <w:rStyle w:val="InternetLink"/>
            <w:rFonts w:ascii="Times New Roman;serif" w:hAnsi="Times New Roman;serif"/>
            <w:b w:val="false"/>
            <w:color w:val="0000FF"/>
            <w:sz w:val="20"/>
            <w:u w:val="single"/>
          </w:rPr>
          <w:t>2025 Annual Report</w:t>
        </w:r>
      </w:hyperlink>
      <w:r>
        <w:rPr>
          <w:color w:val="000000"/>
        </w:rPr>
        <w:t>”</w:t>
      </w:r>
      <w:r>
        <w:rPr>
          <w:rFonts w:ascii="Times New Roman;serif" w:hAnsi="Times New Roman;serif"/>
          <w:b w:val="false"/>
          <w:color w:val="000000"/>
          <w:sz w:val="20"/>
        </w:rPr>
        <w:t>). The results of operations for any interim period are not necessarily indicative of results for the full year.</w:t>
      </w:r>
    </w:p>
    <w:p>
      <w:pPr>
        <w:pStyle w:val="TextBody"/>
        <w:bidi w:val="0"/>
        <w:spacing w:lineRule="auto" w:line="288" w:before="0" w:after="120"/>
        <w:jc w:val="left"/>
        <w:rPr/>
      </w:pPr>
      <w:r>
        <w:rPr>
          <w:rFonts w:ascii="Times New Roman;serif" w:hAnsi="Times New Roman;serif"/>
          <w:b/>
          <w:color w:val="000000"/>
          <w:sz w:val="20"/>
        </w:rPr>
        <w:t>West Vantage:</w:t>
      </w:r>
      <w:r>
        <w:rPr>
          <w:color w:val="000000"/>
        </w:rPr>
        <w:t xml:space="preserve"> </w:t>
      </w:r>
      <w:r>
        <w:rPr>
          <w:rFonts w:ascii="Times New Roman;serif" w:hAnsi="Times New Roman;serif"/>
          <w:b w:val="false"/>
          <w:color w:val="000000"/>
          <w:sz w:val="20"/>
        </w:rPr>
        <w:t>Effective in the first quarter of 2026, the Company renamed its "Contract-Manufactured Products" reportable segment to "West Vantage™" to better align with its current strategic focus and offerings. This change in name does not affect the composition of the reportable segment, nor does it impact previously reported segment financial information.</w:t>
      </w:r>
    </w:p>
    <w:p>
      <w:pPr>
        <w:pStyle w:val="TextBody"/>
        <w:bidi w:val="0"/>
        <w:spacing w:lineRule="auto" w:line="288" w:before="0" w:after="120"/>
        <w:jc w:val="left"/>
        <w:rPr/>
      </w:pPr>
      <w:r>
        <w:rPr>
          <w:rFonts w:ascii="Times New Roman;serif" w:hAnsi="Times New Roman;serif"/>
          <w:b/>
          <w:color w:val="000000"/>
          <w:sz w:val="20"/>
        </w:rPr>
        <w:t xml:space="preserve">Sale of </w:t>
      </w:r>
      <w:r>
        <w:rPr>
          <w:rFonts w:ascii="Times New Roman;serif" w:hAnsi="Times New Roman;serif"/>
          <w:b w:val="false"/>
          <w:color w:val="000000"/>
          <w:sz w:val="20"/>
        </w:rPr>
        <w:t>S</w:t>
      </w:r>
      <w:r>
        <w:rPr>
          <w:rFonts w:ascii="Times New Roman;serif" w:hAnsi="Times New Roman;serif"/>
          <w:b/>
          <w:color w:val="000000"/>
          <w:sz w:val="20"/>
        </w:rPr>
        <w:t>martDose® 3.5mL On-Body Delivery System:</w:t>
      </w:r>
      <w:r>
        <w:rPr>
          <w:color w:val="000000"/>
        </w:rPr>
        <w:t xml:space="preserve"> </w:t>
      </w:r>
      <w:r>
        <w:rPr>
          <w:rFonts w:ascii="Times New Roman;serif" w:hAnsi="Times New Roman;serif"/>
          <w:b w:val="false"/>
          <w:color w:val="000000"/>
          <w:sz w:val="20"/>
        </w:rPr>
        <w:t>In December 2025, the Company entered a definitive agreement for the sale of all manufacturing and supply rights for the SmartDose® 3.5mL On-Body Delivery System and associated facilities to AbbVie for $112.5 million, subject to working capital and other adjustments.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relation to this agreement, the carrying values of certain assets were classified as held for sale in our consolidated balance sheets as of June 30, 2026 and December 31, 2025 and recorded within other current assets. There were no liabilities classified as held for sale in relation to this agreement as of June 30, 2026 or December 31, 2025. All assets classified as held for sale as part of the agreement are within our Proprietary Products segment.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assets classified as held for sale:</w:t>
      </w:r>
    </w:p>
    <w:tbl>
      <w:tblPr>
        <w:tblW w:w="5343" w:type="dxa"/>
        <w:jc w:val="left"/>
        <w:tblInd w:w="0" w:type="dxa"/>
        <w:tblLayout w:type="fixed"/>
        <w:tblCellMar>
          <w:top w:w="28" w:type="dxa"/>
          <w:left w:w="28" w:type="dxa"/>
          <w:bottom w:w="28" w:type="dxa"/>
          <w:right w:w="28" w:type="dxa"/>
        </w:tblCellMar>
      </w:tblPr>
      <w:tblGrid>
        <w:gridCol w:w="1058"/>
        <w:gridCol w:w="930"/>
        <w:gridCol w:w="937"/>
        <w:gridCol w:w="211"/>
        <w:gridCol w:w="511"/>
        <w:gridCol w:w="109"/>
        <w:gridCol w:w="109"/>
        <w:gridCol w:w="109"/>
        <w:gridCol w:w="109"/>
        <w:gridCol w:w="303"/>
        <w:gridCol w:w="734"/>
        <w:gridCol w:w="223"/>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July 1, 2026, the Company completed this sale for cash proceeds of approximately $136 million, including an initial working capital adjustment and subject to further working capital adjustments. During the third quarter of 2026, the Company expects to recognize a pre-tax gain on the sale of these assets in a range of $55 million to $60 million. In connection with the sale, we are providing certain transition services to support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New Accounting Standards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Recently Adopted Standards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No. 2023-09, Income Taxes: Improvements to Income Tax Disclosures, that seeks to enhance income tax disclosures to provide information to better assess how an entity's operations and related tax risks affect its tax rate and prospects for future cash flows. Within the income tax rate reconciliation, the amendment requires disclosure of additional categories and greater detail about individual reconciling items over a specified threshold. It also requires information pertaining to taxes paid to be disaggregated for federal, state, and foreign taxes and further disaggregated for specific jurisdictions over a specified threshold. This guidance is effective for fiscal years beginning after December 15, 2024. The Company adopted and implemented the applicable disclosure requirements within its 2025 Form 10-K filed on February 17, 2026 on a prospective basis.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Standards Issued Not Yet Adopted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that seeks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The amendments require that at each interim and annual reporting period an entity: (1) disclose the amounts of purchases of inventory, employee compensation, depreciation, and intangible asset amortization included in each of the Company's relevant expense captions; (2) include certain amounts that are already required to be disclosed under current GAAP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This guidance is effective for fiscal years beginning after December 15, 2026, and interim reporting periods beginning after December 15, 2027. The Company is currently evaluating the impact of this guidance on our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Revenue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revenue results from the sale of goods or services and reflects the consideration to which we expect to be entitled in exchange 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approximate percentage of our net sales by market group:</w:t>
      </w:r>
    </w:p>
    <w:tbl>
      <w:tblPr>
        <w:tblW w:w="5266" w:type="dxa"/>
        <w:jc w:val="left"/>
        <w:tblInd w:w="0" w:type="dxa"/>
        <w:tblLayout w:type="fixed"/>
        <w:tblCellMar>
          <w:top w:w="28" w:type="dxa"/>
          <w:left w:w="28" w:type="dxa"/>
          <w:bottom w:w="28" w:type="dxa"/>
          <w:right w:w="28" w:type="dxa"/>
        </w:tblCellMar>
      </w:tblPr>
      <w:tblGrid>
        <w:gridCol w:w="451"/>
        <w:gridCol w:w="395"/>
        <w:gridCol w:w="398"/>
        <w:gridCol w:w="210"/>
        <w:gridCol w:w="210"/>
        <w:gridCol w:w="210"/>
        <w:gridCol w:w="201"/>
        <w:gridCol w:w="201"/>
        <w:gridCol w:w="201"/>
        <w:gridCol w:w="210"/>
        <w:gridCol w:w="210"/>
        <w:gridCol w:w="210"/>
        <w:gridCol w:w="109"/>
        <w:gridCol w:w="109"/>
        <w:gridCol w:w="109"/>
        <w:gridCol w:w="210"/>
        <w:gridCol w:w="210"/>
        <w:gridCol w:w="210"/>
        <w:gridCol w:w="176"/>
        <w:gridCol w:w="176"/>
        <w:gridCol w:w="176"/>
        <w:gridCol w:w="197"/>
        <w:gridCol w:w="197"/>
        <w:gridCol w:w="280"/>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Biologics</w:t>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38 %</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16 %</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17 %</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26 %</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19 %</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approximate percentage of our net sales by product category: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tbl>
      <w:tblPr>
        <w:tblW w:w="7891" w:type="dxa"/>
        <w:jc w:val="left"/>
        <w:tblInd w:w="0" w:type="dxa"/>
        <w:tblLayout w:type="fixed"/>
        <w:tblCellMar>
          <w:top w:w="28" w:type="dxa"/>
          <w:left w:w="28" w:type="dxa"/>
          <w:bottom w:w="28" w:type="dxa"/>
          <w:right w:w="28" w:type="dxa"/>
        </w:tblCellMar>
      </w:tblPr>
      <w:tblGrid>
        <w:gridCol w:w="1402"/>
        <w:gridCol w:w="1230"/>
        <w:gridCol w:w="1237"/>
        <w:gridCol w:w="210"/>
        <w:gridCol w:w="210"/>
        <w:gridCol w:w="210"/>
        <w:gridCol w:w="201"/>
        <w:gridCol w:w="201"/>
        <w:gridCol w:w="201"/>
        <w:gridCol w:w="210"/>
        <w:gridCol w:w="210"/>
        <w:gridCol w:w="210"/>
        <w:gridCol w:w="109"/>
        <w:gridCol w:w="109"/>
        <w:gridCol w:w="109"/>
        <w:gridCol w:w="210"/>
        <w:gridCol w:w="210"/>
        <w:gridCol w:w="210"/>
        <w:gridCol w:w="176"/>
        <w:gridCol w:w="176"/>
        <w:gridCol w:w="176"/>
        <w:gridCol w:w="197"/>
        <w:gridCol w:w="197"/>
        <w:gridCol w:w="280"/>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High-Value Product ("HVP") Components</w:t>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46 %</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High-Value Product ("HVP") Delivery Devices</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13 %</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Packaging</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22 %</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19 %</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approximate percentage of our net sales by geographic location: </w:t>
      </w:r>
    </w:p>
    <w:tbl>
      <w:tblPr>
        <w:tblW w:w="6392" w:type="dxa"/>
        <w:jc w:val="left"/>
        <w:tblInd w:w="0" w:type="dxa"/>
        <w:tblLayout w:type="fixed"/>
        <w:tblCellMar>
          <w:top w:w="28" w:type="dxa"/>
          <w:left w:w="28" w:type="dxa"/>
          <w:bottom w:w="28" w:type="dxa"/>
          <w:right w:w="28" w:type="dxa"/>
        </w:tblCellMar>
      </w:tblPr>
      <w:tblGrid>
        <w:gridCol w:w="857"/>
        <w:gridCol w:w="754"/>
        <w:gridCol w:w="759"/>
        <w:gridCol w:w="210"/>
        <w:gridCol w:w="210"/>
        <w:gridCol w:w="210"/>
        <w:gridCol w:w="201"/>
        <w:gridCol w:w="201"/>
        <w:gridCol w:w="201"/>
        <w:gridCol w:w="210"/>
        <w:gridCol w:w="210"/>
        <w:gridCol w:w="210"/>
        <w:gridCol w:w="109"/>
        <w:gridCol w:w="109"/>
        <w:gridCol w:w="109"/>
        <w:gridCol w:w="210"/>
        <w:gridCol w:w="210"/>
        <w:gridCol w:w="210"/>
        <w:gridCol w:w="176"/>
        <w:gridCol w:w="176"/>
        <w:gridCol w:w="176"/>
        <w:gridCol w:w="197"/>
        <w:gridCol w:w="197"/>
        <w:gridCol w:w="280"/>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47 %</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Africa</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45 %</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8 %</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Contract Assets and 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contract assets and liabilities:</w:t>
      </w:r>
    </w:p>
    <w:tbl>
      <w:tblPr>
        <w:tblW w:w="5323" w:type="dxa"/>
        <w:jc w:val="left"/>
        <w:tblInd w:w="0" w:type="dxa"/>
        <w:tblLayout w:type="fixed"/>
        <w:tblCellMar>
          <w:top w:w="28" w:type="dxa"/>
          <w:left w:w="28" w:type="dxa"/>
          <w:bottom w:w="28" w:type="dxa"/>
          <w:right w:w="28" w:type="dxa"/>
        </w:tblCellMar>
      </w:tblPr>
      <w:tblGrid>
        <w:gridCol w:w="1455"/>
        <w:gridCol w:w="1279"/>
        <w:gridCol w:w="1285"/>
        <w:gridCol w:w="289"/>
        <w:gridCol w:w="804"/>
        <w:gridCol w:w="211"/>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in millions)</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December 31, 2025</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June 30, 2026</w:t>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contract assets - increase (decrease)</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December 31, 2025</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June 30, 2026</w:t>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deferred income - decrease (increase) </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are included within other current assets and deferred income is included within other current liabilities and other long-term liabilities. During the six months ended June 30, 2026, $33.0 million of revenue was recognized that was included in deferred income at the beginning of the year.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performance obligations expected to be satisfied beyond one year were $3.6 million. The remaining $42.1 million of performance obligations are expected to be satisfied within one year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4:  Net Income Per Share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shares used in the calculation of basic net income per share to those used for diluted net income per share:</w:t>
      </w:r>
    </w:p>
    <w:tbl>
      <w:tblPr>
        <w:tblW w:w="10205" w:type="dxa"/>
        <w:jc w:val="left"/>
        <w:tblInd w:w="0" w:type="dxa"/>
        <w:tblLayout w:type="fixed"/>
        <w:tblCellMar>
          <w:top w:w="28" w:type="dxa"/>
          <w:left w:w="28" w:type="dxa"/>
          <w:bottom w:w="28" w:type="dxa"/>
          <w:right w:w="28" w:type="dxa"/>
        </w:tblCellMar>
      </w:tblPr>
      <w:tblGrid>
        <w:gridCol w:w="1969"/>
        <w:gridCol w:w="1729"/>
        <w:gridCol w:w="17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96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Dilutive effect of equity awards, based on the treasury stock method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assuming dilution</w:t>
            </w:r>
          </w:p>
        </w:tc>
        <w:tc>
          <w:tcPr>
            <w:tcW w:w="82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there were 0.3 million and 0.4 million shares, respectively, from stock-based compensation plans not included in the computation of diluted net income per share because their impact was antidilutive. There were 0.3 million and 0.4 million antidilutive shares outstanding during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the Board of Directors approved a share repurchase program under which the Company was able repurchase up to $1.0 billion in shares of common stock. This program was completed during January 2025.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December 2024, the Board of Directors approved a share repurchase program under which the Company was able to repurchase up to 550,000 shares of common stock. This program was completed during April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Company’s Board of Directors authorized a new share repurchase program for the purchase of up to $1.0 billion of the Company’s common stock in open-market transactions, block transactions, through derivative transactions, privately negotiated transactions, or otherwise, including pursuant to any trading plan entered into by the Company under Rule 10b5-1 of the Exchange Act. The number of shares to be repurchased and the timing of any repurchases will depend on factors such as the stock price, economic and market conditions, and corporate and regulatory requirements. This share repurchase program has no expiration date and it may be suspended or terminated at any time.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details of the Company's repurchases of common stock under these programs: </w:t>
      </w:r>
    </w:p>
    <w:tbl>
      <w:tblPr>
        <w:tblW w:w="8564" w:type="dxa"/>
        <w:jc w:val="left"/>
        <w:tblInd w:w="0" w:type="dxa"/>
        <w:tblLayout w:type="fixed"/>
        <w:tblCellMar>
          <w:top w:w="28" w:type="dxa"/>
          <w:left w:w="28" w:type="dxa"/>
          <w:bottom w:w="28" w:type="dxa"/>
          <w:right w:w="28" w:type="dxa"/>
        </w:tblCellMar>
      </w:tblPr>
      <w:tblGrid>
        <w:gridCol w:w="1206"/>
        <w:gridCol w:w="1060"/>
        <w:gridCol w:w="1064"/>
        <w:gridCol w:w="211"/>
        <w:gridCol w:w="721"/>
        <w:gridCol w:w="109"/>
        <w:gridCol w:w="109"/>
        <w:gridCol w:w="109"/>
        <w:gridCol w:w="109"/>
        <w:gridCol w:w="211"/>
        <w:gridCol w:w="721"/>
        <w:gridCol w:w="109"/>
        <w:gridCol w:w="109"/>
        <w:gridCol w:w="109"/>
        <w:gridCol w:w="109"/>
        <w:gridCol w:w="220"/>
        <w:gridCol w:w="756"/>
        <w:gridCol w:w="109"/>
        <w:gridCol w:w="109"/>
        <w:gridCol w:w="109"/>
        <w:gridCol w:w="109"/>
        <w:gridCol w:w="211"/>
        <w:gridCol w:w="721"/>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repurchases ($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repurchased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5:  Inventories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are valued at the lower of cost (on a first-in, first-out basis) or net realizable value. Inventory balances were as follows:</w:t>
      </w:r>
    </w:p>
    <w:tbl>
      <w:tblPr>
        <w:tblW w:w="3947" w:type="dxa"/>
        <w:jc w:val="left"/>
        <w:tblInd w:w="0" w:type="dxa"/>
        <w:tblLayout w:type="fixed"/>
        <w:tblCellMar>
          <w:top w:w="28" w:type="dxa"/>
          <w:left w:w="28" w:type="dxa"/>
          <w:bottom w:w="28" w:type="dxa"/>
          <w:right w:w="28" w:type="dxa"/>
        </w:tblCellMar>
      </w:tblPr>
      <w:tblGrid>
        <w:gridCol w:w="516"/>
        <w:gridCol w:w="453"/>
        <w:gridCol w:w="456"/>
        <w:gridCol w:w="211"/>
        <w:gridCol w:w="616"/>
        <w:gridCol w:w="109"/>
        <w:gridCol w:w="109"/>
        <w:gridCol w:w="109"/>
        <w:gridCol w:w="109"/>
        <w:gridCol w:w="271"/>
        <w:gridCol w:w="791"/>
        <w:gridCol w:w="197"/>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Leases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9029" w:type="dxa"/>
        <w:jc w:val="left"/>
        <w:tblInd w:w="0" w:type="dxa"/>
        <w:tblLayout w:type="fixed"/>
        <w:tblCellMar>
          <w:top w:w="28" w:type="dxa"/>
          <w:left w:w="28" w:type="dxa"/>
          <w:bottom w:w="28" w:type="dxa"/>
          <w:right w:w="28" w:type="dxa"/>
        </w:tblCellMar>
      </w:tblPr>
      <w:tblGrid>
        <w:gridCol w:w="1693"/>
        <w:gridCol w:w="1488"/>
        <w:gridCol w:w="1498"/>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amortization of right-of-use (ROU)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interest on lease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finance lease amounts in the condensed consolidated balance sheets:</w:t>
      </w:r>
    </w:p>
    <w:tbl>
      <w:tblPr>
        <w:tblW w:w="7850" w:type="dxa"/>
        <w:jc w:val="left"/>
        <w:tblInd w:w="0" w:type="dxa"/>
        <w:tblLayout w:type="fixed"/>
        <w:tblCellMar>
          <w:top w:w="28" w:type="dxa"/>
          <w:left w:w="28" w:type="dxa"/>
          <w:bottom w:w="28" w:type="dxa"/>
          <w:right w:w="28" w:type="dxa"/>
        </w:tblCellMar>
      </w:tblPr>
      <w:tblGrid>
        <w:gridCol w:w="889"/>
        <w:gridCol w:w="782"/>
        <w:gridCol w:w="788"/>
        <w:gridCol w:w="809"/>
        <w:gridCol w:w="809"/>
        <w:gridCol w:w="811"/>
        <w:gridCol w:w="109"/>
        <w:gridCol w:w="109"/>
        <w:gridCol w:w="109"/>
        <w:gridCol w:w="211"/>
        <w:gridCol w:w="511"/>
        <w:gridCol w:w="109"/>
        <w:gridCol w:w="109"/>
        <w:gridCol w:w="109"/>
        <w:gridCol w:w="109"/>
        <w:gridCol w:w="307"/>
        <w:gridCol w:w="747"/>
        <w:gridCol w:w="160"/>
        <w:gridCol w:w="109"/>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net</w:t>
            </w:r>
          </w:p>
        </w:tc>
        <w:tc>
          <w:tcPr>
            <w:tcW w:w="24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9098" w:type="dxa"/>
        <w:jc w:val="left"/>
        <w:tblInd w:w="0" w:type="dxa"/>
        <w:tblLayout w:type="fixed"/>
        <w:tblCellMar>
          <w:top w:w="28" w:type="dxa"/>
          <w:left w:w="28" w:type="dxa"/>
          <w:bottom w:w="28" w:type="dxa"/>
          <w:right w:w="28" w:type="dxa"/>
        </w:tblCellMar>
      </w:tblPr>
      <w:tblGrid>
        <w:gridCol w:w="2193"/>
        <w:gridCol w:w="1926"/>
        <w:gridCol w:w="1941"/>
        <w:gridCol w:w="109"/>
        <w:gridCol w:w="109"/>
        <w:gridCol w:w="139"/>
        <w:gridCol w:w="139"/>
        <w:gridCol w:w="139"/>
        <w:gridCol w:w="139"/>
        <w:gridCol w:w="269"/>
        <w:gridCol w:w="653"/>
        <w:gridCol w:w="139"/>
        <w:gridCol w:w="109"/>
        <w:gridCol w:w="109"/>
        <w:gridCol w:w="109"/>
        <w:gridCol w:w="211"/>
        <w:gridCol w:w="511"/>
        <w:gridCol w:w="154"/>
      </w:tblGrid>
      <w:tr>
        <w:trPr/>
        <w:tc>
          <w:tcPr>
            <w:tcW w:w="2193"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1203" w:type="dxa"/>
            <w:gridSpan w:val="6"/>
            <w:tcBorders/>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new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weighted average remaining lease terms and discount rates for our operating and finance leases as of the periods ended:</w:t>
      </w:r>
    </w:p>
    <w:tbl>
      <w:tblPr>
        <w:tblW w:w="6941" w:type="dxa"/>
        <w:jc w:val="left"/>
        <w:tblInd w:w="0" w:type="dxa"/>
        <w:tblLayout w:type="fixed"/>
        <w:tblCellMar>
          <w:top w:w="28" w:type="dxa"/>
          <w:left w:w="28" w:type="dxa"/>
          <w:bottom w:w="28" w:type="dxa"/>
          <w:right w:w="28" w:type="dxa"/>
        </w:tblCellMar>
      </w:tblPr>
      <w:tblGrid>
        <w:gridCol w:w="1596"/>
        <w:gridCol w:w="1403"/>
        <w:gridCol w:w="1411"/>
        <w:gridCol w:w="255"/>
        <w:gridCol w:w="256"/>
        <w:gridCol w:w="433"/>
        <w:gridCol w:w="109"/>
        <w:gridCol w:w="109"/>
        <w:gridCol w:w="109"/>
        <w:gridCol w:w="257"/>
        <w:gridCol w:w="257"/>
        <w:gridCol w:w="746"/>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(in years):</w:t>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lease liabilities as of June 30, 2026 were as follows:</w:t>
      </w:r>
    </w:p>
    <w:tbl>
      <w:tblPr>
        <w:tblW w:w="7782" w:type="dxa"/>
        <w:jc w:val="left"/>
        <w:tblInd w:w="0" w:type="dxa"/>
        <w:tblLayout w:type="fixed"/>
        <w:tblCellMar>
          <w:top w:w="28" w:type="dxa"/>
          <w:left w:w="28" w:type="dxa"/>
          <w:bottom w:w="28" w:type="dxa"/>
          <w:right w:w="28" w:type="dxa"/>
        </w:tblCellMar>
      </w:tblPr>
      <w:tblGrid>
        <w:gridCol w:w="1341"/>
        <w:gridCol w:w="1178"/>
        <w:gridCol w:w="1186"/>
        <w:gridCol w:w="338"/>
        <w:gridCol w:w="987"/>
        <w:gridCol w:w="174"/>
        <w:gridCol w:w="109"/>
        <w:gridCol w:w="109"/>
        <w:gridCol w:w="109"/>
        <w:gridCol w:w="387"/>
        <w:gridCol w:w="745"/>
        <w:gridCol w:w="202"/>
        <w:gridCol w:w="109"/>
        <w:gridCol w:w="109"/>
        <w:gridCol w:w="109"/>
        <w:gridCol w:w="109"/>
        <w:gridCol w:w="109"/>
        <w:gridCol w:w="109"/>
        <w:gridCol w:w="109"/>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(remaining period as of June 30, 2026)</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lease interest</w:t>
            </w:r>
          </w:p>
        </w:tc>
        <w:tc>
          <w:tcPr>
            <w:tcW w:w="13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Affiliated Companies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carrying amounts of our investments in affiliated companies that are accounted for under the equity method and our investments in affiliated companies that are not accounted for under the equity method:</w:t>
      </w:r>
    </w:p>
    <w:tbl>
      <w:tblPr>
        <w:tblW w:w="7892" w:type="dxa"/>
        <w:jc w:val="left"/>
        <w:tblInd w:w="0" w:type="dxa"/>
        <w:tblLayout w:type="fixed"/>
        <w:tblCellMar>
          <w:top w:w="28" w:type="dxa"/>
          <w:left w:w="28" w:type="dxa"/>
          <w:bottom w:w="28" w:type="dxa"/>
          <w:right w:w="28" w:type="dxa"/>
        </w:tblCellMar>
      </w:tblPr>
      <w:tblGrid>
        <w:gridCol w:w="1943"/>
        <w:gridCol w:w="1707"/>
        <w:gridCol w:w="1720"/>
        <w:gridCol w:w="211"/>
        <w:gridCol w:w="616"/>
        <w:gridCol w:w="109"/>
        <w:gridCol w:w="109"/>
        <w:gridCol w:w="109"/>
        <w:gridCol w:w="109"/>
        <w:gridCol w:w="271"/>
        <w:gridCol w:w="791"/>
        <w:gridCol w:w="197"/>
      </w:tblGrid>
      <w:tr>
        <w:trPr/>
        <w:tc>
          <w:tcPr>
            <w:tcW w:w="1943"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carrying value of investments in affiliated companies: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 method affiliates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Non-equity method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investments in affiliated companies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20"/>
        </w:rPr>
        <w:t xml:space="preserve">We have elected to record non-equity method investments, for which fair value was not readily determinable, at cost, less impairment, adjusted for subsequent observable price changes. We test these investments for impairment whenever circumstances indicate that the carrying value of the investments may not be recoverable. During the </w:t>
      </w:r>
      <w:r>
        <w:rPr>
          <w:rFonts w:ascii="Times New Roman;serif" w:hAnsi="Times New Roman;serif"/>
          <w:b w:val="false"/>
          <w:color w:val="252525"/>
          <w:sz w:val="20"/>
        </w:rPr>
        <w:t>three and six months ended</w:t>
      </w:r>
      <w:r>
        <w:rPr>
          <w:color w:val="000000"/>
        </w:rPr>
        <w:t xml:space="preserve"> </w:t>
      </w:r>
      <w:r>
        <w:rPr>
          <w:rFonts w:ascii="Times New Roman;serif" w:hAnsi="Times New Roman;serif"/>
          <w:b w:val="false"/>
          <w:color w:val="000000"/>
          <w:sz w:val="20"/>
        </w:rPr>
        <w:t>June 30, 2026, we recorded impairment charges of $3.5 million within other expense (income) to one of our cost-method investments, recorded above under non-equity method affiliates.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due to and from affiliates in the condensed consolidated balance sheets:</w:t>
      </w:r>
    </w:p>
    <w:tbl>
      <w:tblPr>
        <w:tblW w:w="5152" w:type="dxa"/>
        <w:jc w:val="left"/>
        <w:tblInd w:w="0" w:type="dxa"/>
        <w:tblLayout w:type="fixed"/>
        <w:tblCellMar>
          <w:top w:w="28" w:type="dxa"/>
          <w:left w:w="28" w:type="dxa"/>
          <w:bottom w:w="28" w:type="dxa"/>
          <w:right w:w="28" w:type="dxa"/>
        </w:tblCellMar>
      </w:tblPr>
      <w:tblGrid>
        <w:gridCol w:w="950"/>
        <w:gridCol w:w="834"/>
        <w:gridCol w:w="841"/>
        <w:gridCol w:w="109"/>
        <w:gridCol w:w="211"/>
        <w:gridCol w:w="511"/>
        <w:gridCol w:w="109"/>
        <w:gridCol w:w="109"/>
        <w:gridCol w:w="109"/>
        <w:gridCol w:w="109"/>
        <w:gridCol w:w="303"/>
        <w:gridCol w:w="734"/>
        <w:gridCol w:w="223"/>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due to affiliates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due from affiliates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affiliate transactions: </w:t>
      </w:r>
    </w:p>
    <w:tbl>
      <w:tblPr>
        <w:tblW w:w="7934" w:type="dxa"/>
        <w:jc w:val="left"/>
        <w:tblInd w:w="0" w:type="dxa"/>
        <w:tblLayout w:type="fixed"/>
        <w:tblCellMar>
          <w:top w:w="28" w:type="dxa"/>
          <w:left w:w="28" w:type="dxa"/>
          <w:bottom w:w="28" w:type="dxa"/>
          <w:right w:w="28" w:type="dxa"/>
        </w:tblCellMar>
      </w:tblPr>
      <w:tblGrid>
        <w:gridCol w:w="1297"/>
        <w:gridCol w:w="1139"/>
        <w:gridCol w:w="1148"/>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from (and payments to) affiliates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affiliates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majority of the purchase transactions listed above relate to the Company's distributorship agreement with Daikyo Seiko, Ltd. ("Daikyo") that authorizes the Company as the exclusive distributor of Daikyo products in all countries other than Japan, subject to certain limited exceptions.</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Subsequent Event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14, 2026, the Company and Daikyo, in which the Company maintains a 49% ownership interest, entered into an Amended and Restated Technology Exchange and Crosslicense Agreement and two Distributorship Agreements, each effective July 14, 2026 with a term of ten years. For additional information regarding the agreements, see the Company's Current Report on Form 8-K filed with the SEC on July 14, 2026. The Company determined that no adjustment to the accompanying unaudited condensed consolidated financial statements was required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long-term debt obligations, net of unamortized debt issuance costs and current maturities. The interest rates shown in parentheses are as of June 30, 2026.</w:t>
      </w:r>
    </w:p>
    <w:tbl>
      <w:tblPr>
        <w:tblW w:w="8297" w:type="dxa"/>
        <w:jc w:val="left"/>
        <w:tblInd w:w="0" w:type="dxa"/>
        <w:tblLayout w:type="fixed"/>
        <w:tblCellMar>
          <w:top w:w="28" w:type="dxa"/>
          <w:left w:w="28" w:type="dxa"/>
          <w:bottom w:w="28" w:type="dxa"/>
          <w:right w:w="28" w:type="dxa"/>
        </w:tblCellMar>
      </w:tblPr>
      <w:tblGrid>
        <w:gridCol w:w="2090"/>
        <w:gridCol w:w="1835"/>
        <w:gridCol w:w="1850"/>
        <w:gridCol w:w="211"/>
        <w:gridCol w:w="616"/>
        <w:gridCol w:w="109"/>
        <w:gridCol w:w="109"/>
        <w:gridCol w:w="109"/>
        <w:gridCol w:w="109"/>
        <w:gridCol w:w="271"/>
        <w:gridCol w:w="791"/>
        <w:gridCol w:w="197"/>
      </w:tblGrid>
      <w:tr>
        <w:trPr/>
        <w:tc>
          <w:tcPr>
            <w:tcW w:w="209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due July 2, 2027 (5.08%)</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C notes, due July 5, 2027 (4.02%)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for Term Loan and Series Notes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0" w:after="120"/>
        <w:jc w:val="left"/>
        <w:rPr/>
      </w:pPr>
      <w:r>
        <w:rPr>
          <w:rFonts w:ascii="Times New Roman;serif" w:hAnsi="Times New Roman;serif"/>
          <w:b w:val="false"/>
          <w:color w:val="000000"/>
          <w:sz w:val="20"/>
        </w:rPr>
        <w:t xml:space="preserve">At June 30, 2026, the Company had $130.0 million in borrowings under the Term Loan which were classified as long-term. Please refer to Note 9, </w:t>
      </w:r>
      <w:hyperlink w:anchor="i334e5af0cc974070b9320cc50a88c43c_88">
        <w:r>
          <w:rPr>
            <w:rStyle w:val="InternetLink"/>
            <w:rFonts w:ascii="Times New Roman;serif" w:hAnsi="Times New Roman;serif"/>
            <w:b w:val="false"/>
            <w:i/>
            <w:color w:val="0000FF"/>
            <w:sz w:val="20"/>
            <w:u w:val="single"/>
          </w:rPr>
          <w:t>Derivative Financial Instruments</w:t>
        </w:r>
      </w:hyperlink>
      <w:r>
        <w:rPr>
          <w:rFonts w:ascii="Times New Roman;serif" w:hAnsi="Times New Roman;serif"/>
          <w:b w:val="false"/>
          <w:color w:val="000000"/>
          <w:sz w:val="20"/>
        </w:rPr>
        <w:t>, for a discussion of the foreign currency hedge associated with the Term Loan.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Multi-Currency Revolving Credit Facility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June 30, 2026, the borrowing capacity available under our $500.0 million multi-currency revolving credit facility, including outstanding letters of credit of $2.3 million, was $497.7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June 30, 2026, we were in compliance with all of our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9:  Derivative Financial Instruments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Foreign Exchange Rate Risk</w:t>
      </w:r>
    </w:p>
    <w:p>
      <w:pPr>
        <w:pStyle w:val="TextBody"/>
        <w:bidi w:val="0"/>
        <w:spacing w:lineRule="auto" w:line="288" w:before="0" w:after="120"/>
        <w:jc w:val="left"/>
        <w:rPr/>
      </w:pPr>
      <w:r>
        <w:rPr>
          <w:rFonts w:ascii="Times New Roman;serif" w:hAnsi="Times New Roman;serif"/>
          <w:b w:val="false"/>
          <w:color w:val="000000"/>
          <w:sz w:val="20"/>
        </w:rPr>
        <w:t xml:space="preserve">We have entered into forward exchange contracts, designated as fair value hedges, to manage our exposure to fluctuating foreign exchange rates on cross-currency intercompany loans in </w:t>
      </w:r>
      <w:r>
        <w:rPr>
          <w:rFonts w:ascii="Times New Roman;serif" w:hAnsi="Times New Roman;serif"/>
          <w:b w:val="false"/>
          <w:color w:val="000000"/>
          <w:sz w:val="20"/>
          <w:shd w:fill="FFFFFF" w:val="clear"/>
        </w:rPr>
        <w:t xml:space="preserve">Singapore Dollar (“SGD”) and on </w:t>
      </w:r>
      <w:r>
        <w:rPr>
          <w:rFonts w:ascii="Times New Roman;serif" w:hAnsi="Times New Roman;serif"/>
          <w:b w:val="false"/>
          <w:color w:val="000000"/>
          <w:sz w:val="20"/>
        </w:rPr>
        <w:t>cross-currency intercompany demand notes in Euro ("EUR"), which were executed at various times throughout 2025 and 2026. The following table summarizes the total amount of the following forward exchange contracts as fair value hedges at the following dates:</w:t>
      </w:r>
    </w:p>
    <w:tbl>
      <w:tblPr>
        <w:tblW w:w="7861" w:type="dxa"/>
        <w:jc w:val="left"/>
        <w:tblInd w:w="0" w:type="dxa"/>
        <w:tblLayout w:type="fixed"/>
        <w:tblCellMar>
          <w:top w:w="28" w:type="dxa"/>
          <w:left w:w="28" w:type="dxa"/>
          <w:bottom w:w="28" w:type="dxa"/>
          <w:right w:w="28" w:type="dxa"/>
        </w:tblCellMar>
      </w:tblPr>
      <w:tblGrid>
        <w:gridCol w:w="1368"/>
        <w:gridCol w:w="1201"/>
        <w:gridCol w:w="1211"/>
        <w:gridCol w:w="305"/>
        <w:gridCol w:w="305"/>
        <w:gridCol w:w="306"/>
        <w:gridCol w:w="109"/>
        <w:gridCol w:w="109"/>
        <w:gridCol w:w="109"/>
        <w:gridCol w:w="481"/>
        <w:gridCol w:w="616"/>
        <w:gridCol w:w="109"/>
        <w:gridCol w:w="109"/>
        <w:gridCol w:w="109"/>
        <w:gridCol w:w="109"/>
        <w:gridCol w:w="502"/>
        <w:gridCol w:w="643"/>
        <w:gridCol w:w="160"/>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Forward Exchange Contracts</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Intercompany Loans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SGD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Intercompany Demand Notes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have entered into several foreign currency contracts, designated as cash flow hedges, for periods of up to eighteen months, intended to hedge the currency risk associated with a portion of our forecasted transactions denominated in foreign currencies. As of June 30, 2026, we had outstanding foreign currency contracts to purchase and sell certain pairs of currencies, as follows:</w:t>
      </w:r>
    </w:p>
    <w:tbl>
      <w:tblPr>
        <w:tblW w:w="4457" w:type="dxa"/>
        <w:jc w:val="left"/>
        <w:tblInd w:w="0" w:type="dxa"/>
        <w:tblLayout w:type="fixed"/>
        <w:tblCellMar>
          <w:top w:w="28" w:type="dxa"/>
          <w:left w:w="28" w:type="dxa"/>
          <w:bottom w:w="28" w:type="dxa"/>
          <w:right w:w="28" w:type="dxa"/>
        </w:tblCellMar>
      </w:tblPr>
      <w:tblGrid>
        <w:gridCol w:w="407"/>
        <w:gridCol w:w="357"/>
        <w:gridCol w:w="360"/>
        <w:gridCol w:w="383"/>
        <w:gridCol w:w="383"/>
        <w:gridCol w:w="296"/>
        <w:gridCol w:w="109"/>
        <w:gridCol w:w="109"/>
        <w:gridCol w:w="109"/>
        <w:gridCol w:w="255"/>
        <w:gridCol w:w="256"/>
        <w:gridCol w:w="161"/>
        <w:gridCol w:w="109"/>
        <w:gridCol w:w="109"/>
        <w:gridCol w:w="109"/>
        <w:gridCol w:w="255"/>
        <w:gridCol w:w="256"/>
        <w:gridCol w:w="171"/>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Sell</w:t>
            </w:r>
          </w:p>
        </w:tc>
        <w:tc>
          <w:tcPr>
            <w:tcW w:w="263" w:type="dxa"/>
            <w:gridSpan w:val="2"/>
            <w:tcBorders/>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Currency</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EUR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JPY</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5,206.2 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2024, we entered into a cross-currency swap for $130 million, which we designated as a hedge of our net investment in Daikyo. As of June 30, 2026, the notional amount of the cross-currency swap is ¥17.0 billion ($130.0 million), and the swap termination date is July 2, 2027. Under the cross-currency swap, we receive fixed USD interest rate payments in return for paying fixed JPY interest rate payments.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we will periodically enter into forward exchange contracts to mitigate our exposure to fluctuating foreign exchange rates on assets and liabilities, other than the intercompany loans and demand notes referenced above, which are denominated in foreign currencies. The Company has elected not to designate these forward contracts in hedging relationships, and any change in the value of the contracts is recognized in income.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regularly purchase call options on crude oil to mitigate our exposure to such oil-based surcharges and protect operating cash flows with regard to a portion of our forecasted elastomer purchases. As of June 30, 2026, we had outstanding contracts to purchase 241,018 barrels of crude oil from June 2026 to December 2027, at a weighted-average strike price of $79.86 per barrel.</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Effects of Derivative Instruments on Financial Position and Results of Operations</w:t>
      </w:r>
    </w:p>
    <w:p>
      <w:pPr>
        <w:pStyle w:val="TextBody"/>
        <w:bidi w:val="0"/>
        <w:spacing w:lineRule="auto" w:line="288" w:before="0" w:after="120"/>
        <w:jc w:val="left"/>
        <w:rPr/>
      </w:pPr>
      <w:r>
        <w:rPr>
          <w:rFonts w:ascii="Times New Roman;serif" w:hAnsi="Times New Roman;serif"/>
          <w:b w:val="false"/>
          <w:color w:val="000000"/>
          <w:sz w:val="20"/>
        </w:rPr>
        <w:t xml:space="preserve">Please refer to Note 10, </w:t>
      </w:r>
      <w:hyperlink w:anchor="i334e5af0cc974070b9320cc50a88c43c_103">
        <w:r>
          <w:rPr>
            <w:rStyle w:val="InternetLink"/>
            <w:rFonts w:ascii="Times New Roman;serif" w:hAnsi="Times New Roman;serif"/>
            <w:b w:val="false"/>
            <w:i/>
            <w:color w:val="0000FF"/>
            <w:sz w:val="20"/>
            <w:u w:val="single"/>
          </w:rPr>
          <w:t>Fair Value Measurements</w:t>
        </w:r>
      </w:hyperlink>
      <w:r>
        <w:rPr>
          <w:rFonts w:ascii="Times New Roman;serif" w:hAnsi="Times New Roman;serif"/>
          <w:b w:val="false"/>
          <w:color w:val="000000"/>
          <w:sz w:val="20"/>
        </w:rPr>
        <w:t>, for the balance sheet location and fair values of our derivative instruments as of June 30, 2026 and December 31,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derivative instruments designated as fair value hedges on the condensed consolidated statements of income:</w:t>
      </w:r>
    </w:p>
    <w:tbl>
      <w:tblPr>
        <w:tblW w:w="10205" w:type="dxa"/>
        <w:jc w:val="left"/>
        <w:tblInd w:w="0" w:type="dxa"/>
        <w:tblLayout w:type="fixed"/>
        <w:tblCellMar>
          <w:top w:w="28" w:type="dxa"/>
          <w:left w:w="28" w:type="dxa"/>
          <w:bottom w:w="28" w:type="dxa"/>
          <w:right w:w="28" w:type="dxa"/>
        </w:tblCellMar>
      </w:tblPr>
      <w:tblGrid>
        <w:gridCol w:w="898"/>
        <w:gridCol w:w="739"/>
        <w:gridCol w:w="624"/>
        <w:gridCol w:w="314"/>
        <w:gridCol w:w="680"/>
        <w:gridCol w:w="162"/>
        <w:gridCol w:w="162"/>
        <w:gridCol w:w="162"/>
        <w:gridCol w:w="162"/>
        <w:gridCol w:w="314"/>
        <w:gridCol w:w="680"/>
        <w:gridCol w:w="162"/>
        <w:gridCol w:w="109"/>
        <w:gridCol w:w="109"/>
        <w:gridCol w:w="109"/>
        <w:gridCol w:w="314"/>
        <w:gridCol w:w="680"/>
        <w:gridCol w:w="162"/>
        <w:gridCol w:w="162"/>
        <w:gridCol w:w="162"/>
        <w:gridCol w:w="162"/>
        <w:gridCol w:w="314"/>
        <w:gridCol w:w="680"/>
        <w:gridCol w:w="162"/>
        <w:gridCol w:w="109"/>
        <w:gridCol w:w="109"/>
        <w:gridCol w:w="109"/>
        <w:gridCol w:w="493"/>
        <w:gridCol w:w="493"/>
        <w:gridCol w:w="708"/>
      </w:tblGrid>
      <w:tr>
        <w:trPr/>
        <w:tc>
          <w:tcPr>
            <w:tcW w:w="89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Income for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Income for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on Statement of Income</w:t>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Hedged item (intercompany loan)</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designated as hedging instrument </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excluded from effectiveness testing</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recognize in earnings the initial value of forward point components for hedges of intercompany loans on a straight-line basis over the life of the fair value hedge. The value of forward point components for hedges of intercompany demand notes is recognized currently in earnings using a market approach. The income recognized in earnings, pre-tax, for forward point components for the three months ended June 30, 2026 was $0.3 million. The expense recognized in earnings, pre-tax, for forward point components for the six months ended June 30, 2026 was $0.9 million. The expense recognized in earnings, pre-tax, for forward point components for the three and six months ended June 30, 2025 was $0.5 million and $0.9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effects of derivative instruments designated as fair value, cash flow, and net investment hedges on other comprehensive income (“OCI”) and earnings, net of tax:</w:t>
      </w:r>
    </w:p>
    <w:tbl>
      <w:tblPr>
        <w:tblW w:w="10205" w:type="dxa"/>
        <w:jc w:val="left"/>
        <w:tblInd w:w="0" w:type="dxa"/>
        <w:tblLayout w:type="fixed"/>
        <w:tblCellMar>
          <w:top w:w="28" w:type="dxa"/>
          <w:left w:w="28" w:type="dxa"/>
          <w:bottom w:w="28" w:type="dxa"/>
          <w:right w:w="28" w:type="dxa"/>
        </w:tblCellMar>
      </w:tblPr>
      <w:tblGrid>
        <w:gridCol w:w="876"/>
        <w:gridCol w:w="416"/>
        <w:gridCol w:w="419"/>
        <w:gridCol w:w="271"/>
        <w:gridCol w:w="575"/>
        <w:gridCol w:w="140"/>
        <w:gridCol w:w="140"/>
        <w:gridCol w:w="140"/>
        <w:gridCol w:w="140"/>
        <w:gridCol w:w="271"/>
        <w:gridCol w:w="575"/>
        <w:gridCol w:w="140"/>
        <w:gridCol w:w="109"/>
        <w:gridCol w:w="109"/>
        <w:gridCol w:w="109"/>
        <w:gridCol w:w="345"/>
        <w:gridCol w:w="664"/>
        <w:gridCol w:w="178"/>
        <w:gridCol w:w="178"/>
        <w:gridCol w:w="178"/>
        <w:gridCol w:w="178"/>
        <w:gridCol w:w="345"/>
        <w:gridCol w:w="742"/>
        <w:gridCol w:w="178"/>
        <w:gridCol w:w="109"/>
        <w:gridCol w:w="109"/>
        <w:gridCol w:w="109"/>
        <w:gridCol w:w="717"/>
        <w:gridCol w:w="717"/>
        <w:gridCol w:w="1028"/>
      </w:tblGrid>
      <w:tr>
        <w:trPr/>
        <w:tc>
          <w:tcPr>
            <w:tcW w:w="8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OCI for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Reclassified from Accumulated OCI into Income for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 Reclassified from Accumulated OCI into Income</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hedge contracts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98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hedge contracts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hedge contracts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 sold</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98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876"/>
        <w:gridCol w:w="416"/>
        <w:gridCol w:w="420"/>
        <w:gridCol w:w="272"/>
        <w:gridCol w:w="575"/>
        <w:gridCol w:w="140"/>
        <w:gridCol w:w="140"/>
        <w:gridCol w:w="140"/>
        <w:gridCol w:w="140"/>
        <w:gridCol w:w="272"/>
        <w:gridCol w:w="575"/>
        <w:gridCol w:w="140"/>
        <w:gridCol w:w="109"/>
        <w:gridCol w:w="109"/>
        <w:gridCol w:w="109"/>
        <w:gridCol w:w="353"/>
        <w:gridCol w:w="680"/>
        <w:gridCol w:w="182"/>
        <w:gridCol w:w="182"/>
        <w:gridCol w:w="182"/>
        <w:gridCol w:w="182"/>
        <w:gridCol w:w="353"/>
        <w:gridCol w:w="680"/>
        <w:gridCol w:w="182"/>
        <w:gridCol w:w="109"/>
        <w:gridCol w:w="109"/>
        <w:gridCol w:w="109"/>
        <w:gridCol w:w="718"/>
        <w:gridCol w:w="718"/>
        <w:gridCol w:w="1033"/>
      </w:tblGrid>
      <w:tr>
        <w:trPr/>
        <w:tc>
          <w:tcPr>
            <w:tcW w:w="8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OCI for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Reclassified from Accumulated OCI into Income for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 Reclassified from Accumulated OCI into Income</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hedge contracts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98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hedge contracts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hedge contracts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 sold</w:t>
            </w:r>
          </w:p>
        </w:tc>
      </w:tr>
      <w:tr>
        <w:trPr/>
        <w:tc>
          <w:tcPr>
            <w:tcW w:w="1712"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9" w:type="dxa"/>
            <w:gridSpan w:val="3"/>
            <w:tcBorders/>
            <w:vAlign w:val="center"/>
          </w:tcPr>
          <w:p>
            <w:pPr>
              <w:pStyle w:val="TableContents"/>
              <w:bidi w:val="0"/>
              <w:spacing w:before="0" w:after="283"/>
              <w:jc w:val="left"/>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treasury locks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98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2"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9" w:type="dxa"/>
            <w:gridSpan w:val="3"/>
            <w:tcBorders/>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Refer to the above tables which summarize the effects of derivative instruments designated as fair value hedges within the other expense (income) line in our condensed consolidated statements of income for the three and six months ended June 30, 2026 and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derivative instruments designated as cash flow and net investment hedges by line item in the condensed consolidated statements of income:</w:t>
      </w:r>
    </w:p>
    <w:tbl>
      <w:tblPr>
        <w:tblW w:w="6675" w:type="dxa"/>
        <w:jc w:val="left"/>
        <w:tblInd w:w="0" w:type="dxa"/>
        <w:tblLayout w:type="fixed"/>
        <w:tblCellMar>
          <w:top w:w="28" w:type="dxa"/>
          <w:left w:w="28" w:type="dxa"/>
          <w:bottom w:w="28" w:type="dxa"/>
          <w:right w:w="28" w:type="dxa"/>
        </w:tblCellMar>
      </w:tblPr>
      <w:tblGrid>
        <w:gridCol w:w="966"/>
        <w:gridCol w:w="849"/>
        <w:gridCol w:w="855"/>
        <w:gridCol w:w="211"/>
        <w:gridCol w:w="406"/>
        <w:gridCol w:w="109"/>
        <w:gridCol w:w="109"/>
        <w:gridCol w:w="109"/>
        <w:gridCol w:w="109"/>
        <w:gridCol w:w="211"/>
        <w:gridCol w:w="481"/>
        <w:gridCol w:w="109"/>
        <w:gridCol w:w="109"/>
        <w:gridCol w:w="109"/>
        <w:gridCol w:w="109"/>
        <w:gridCol w:w="211"/>
        <w:gridCol w:w="406"/>
        <w:gridCol w:w="109"/>
        <w:gridCol w:w="109"/>
        <w:gridCol w:w="109"/>
        <w:gridCol w:w="109"/>
        <w:gridCol w:w="211"/>
        <w:gridCol w:w="40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derivative instruments not designated as hedges on the condensed consolidated statements of income:</w:t>
      </w:r>
    </w:p>
    <w:tbl>
      <w:tblPr>
        <w:tblW w:w="10205" w:type="dxa"/>
        <w:jc w:val="left"/>
        <w:tblInd w:w="0" w:type="dxa"/>
        <w:tblLayout w:type="fixed"/>
        <w:tblCellMar>
          <w:top w:w="28" w:type="dxa"/>
          <w:left w:w="28" w:type="dxa"/>
          <w:bottom w:w="28" w:type="dxa"/>
          <w:right w:w="28" w:type="dxa"/>
        </w:tblCellMar>
      </w:tblPr>
      <w:tblGrid>
        <w:gridCol w:w="604"/>
        <w:gridCol w:w="517"/>
        <w:gridCol w:w="454"/>
        <w:gridCol w:w="339"/>
        <w:gridCol w:w="744"/>
        <w:gridCol w:w="175"/>
        <w:gridCol w:w="175"/>
        <w:gridCol w:w="175"/>
        <w:gridCol w:w="175"/>
        <w:gridCol w:w="339"/>
        <w:gridCol w:w="744"/>
        <w:gridCol w:w="175"/>
        <w:gridCol w:w="109"/>
        <w:gridCol w:w="109"/>
        <w:gridCol w:w="109"/>
        <w:gridCol w:w="351"/>
        <w:gridCol w:w="677"/>
        <w:gridCol w:w="181"/>
        <w:gridCol w:w="181"/>
        <w:gridCol w:w="181"/>
        <w:gridCol w:w="181"/>
        <w:gridCol w:w="351"/>
        <w:gridCol w:w="771"/>
        <w:gridCol w:w="181"/>
        <w:gridCol w:w="109"/>
        <w:gridCol w:w="109"/>
        <w:gridCol w:w="109"/>
        <w:gridCol w:w="545"/>
        <w:gridCol w:w="545"/>
        <w:gridCol w:w="790"/>
      </w:tblGrid>
      <w:tr>
        <w:trPr/>
        <w:tc>
          <w:tcPr>
            <w:tcW w:w="60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Income for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Amount of Gain (Loss) Recognized in Income for the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on Statement of Income</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2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call options</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Forwards</w:t>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there was no material ineffectiveness related to these hedges.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10:  Fair Value Measurements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u w:val="single"/>
        </w:rPr>
        <w:t>Level 1</w:t>
      </w:r>
      <w:r>
        <w:rPr>
          <w:rFonts w:ascii="Times New Roman;serif" w:hAnsi="Times New Roman;serif"/>
          <w:b w:val="false"/>
          <w:color w:val="000000"/>
          <w:sz w:val="20"/>
        </w:rPr>
        <w:t>: Unadjusted quoted prices in active markets for identical assets or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u w:val="single"/>
        </w:rPr>
        <w:t>Level 2</w:t>
      </w:r>
      <w:r>
        <w:rPr>
          <w:rFonts w:ascii="Times New Roman;serif" w:hAnsi="Times New Roman;serif"/>
          <w:b w:val="false"/>
          <w:color w:val="000000"/>
          <w:sz w:val="20"/>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u w:val="single"/>
        </w:rPr>
        <w:t>Level 3</w:t>
      </w:r>
      <w:r>
        <w:rPr>
          <w:rFonts w:ascii="Times New Roman;serif" w:hAnsi="Times New Roman;serif"/>
          <w:b w:val="false"/>
          <w:color w:val="000000"/>
          <w:sz w:val="20"/>
        </w:rPr>
        <w:t>: Unobservable inputs that reflect the reporting entity’s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assets and liabilities recorded at fair value on a recurring basis:</w:t>
      </w:r>
    </w:p>
    <w:tbl>
      <w:tblPr>
        <w:tblW w:w="7297" w:type="dxa"/>
        <w:jc w:val="left"/>
        <w:tblInd w:w="0" w:type="dxa"/>
        <w:tblLayout w:type="fixed"/>
        <w:tblCellMar>
          <w:top w:w="28" w:type="dxa"/>
          <w:left w:w="28" w:type="dxa"/>
          <w:bottom w:w="28" w:type="dxa"/>
          <w:right w:w="28" w:type="dxa"/>
        </w:tblCellMar>
      </w:tblPr>
      <w:tblGrid>
        <w:gridCol w:w="1020"/>
        <w:gridCol w:w="896"/>
        <w:gridCol w:w="903"/>
        <w:gridCol w:w="216"/>
        <w:gridCol w:w="632"/>
        <w:gridCol w:w="111"/>
        <w:gridCol w:w="109"/>
        <w:gridCol w:w="109"/>
        <w:gridCol w:w="109"/>
        <w:gridCol w:w="211"/>
        <w:gridCol w:w="616"/>
        <w:gridCol w:w="109"/>
        <w:gridCol w:w="109"/>
        <w:gridCol w:w="109"/>
        <w:gridCol w:w="109"/>
        <w:gridCol w:w="211"/>
        <w:gridCol w:w="511"/>
        <w:gridCol w:w="109"/>
        <w:gridCol w:w="109"/>
        <w:gridCol w:w="109"/>
        <w:gridCol w:w="109"/>
        <w:gridCol w:w="211"/>
        <w:gridCol w:w="40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Basis of Fair Value Measurements</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9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assets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call options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w:t>
            </w:r>
          </w:p>
        </w:tc>
        <w:tc>
          <w:tcPr>
            <w:tcW w:w="95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52" w:type="dxa"/>
        <w:jc w:val="left"/>
        <w:tblInd w:w="0" w:type="dxa"/>
        <w:tblLayout w:type="fixed"/>
        <w:tblCellMar>
          <w:top w:w="28" w:type="dxa"/>
          <w:left w:w="28" w:type="dxa"/>
          <w:bottom w:w="28" w:type="dxa"/>
          <w:right w:w="28" w:type="dxa"/>
        </w:tblCellMar>
      </w:tblPr>
      <w:tblGrid>
        <w:gridCol w:w="1020"/>
        <w:gridCol w:w="896"/>
        <w:gridCol w:w="903"/>
        <w:gridCol w:w="273"/>
        <w:gridCol w:w="801"/>
        <w:gridCol w:w="140"/>
        <w:gridCol w:w="109"/>
        <w:gridCol w:w="109"/>
        <w:gridCol w:w="109"/>
        <w:gridCol w:w="211"/>
        <w:gridCol w:w="616"/>
        <w:gridCol w:w="109"/>
        <w:gridCol w:w="109"/>
        <w:gridCol w:w="109"/>
        <w:gridCol w:w="109"/>
        <w:gridCol w:w="211"/>
        <w:gridCol w:w="511"/>
        <w:gridCol w:w="109"/>
        <w:gridCol w:w="109"/>
        <w:gridCol w:w="109"/>
        <w:gridCol w:w="109"/>
        <w:gridCol w:w="211"/>
        <w:gridCol w:w="40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Basis of Fair Value Measurements</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assets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call options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w:t>
            </w:r>
          </w:p>
        </w:tc>
        <w:tc>
          <w:tcPr>
            <w:tcW w:w="121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pPr>
      <w:r>
        <w:rPr>
          <w:rFonts w:ascii="Times New Roman;serif" w:hAnsi="Times New Roman;serif"/>
          <w:b w:val="false"/>
          <w:color w:val="000000"/>
          <w:sz w:val="20"/>
        </w:rPr>
        <w:t xml:space="preserve">Deferred compensation assets are included within other noncurrent assets and are valued using a market approach based on quoted market prices in an active market. Money market funds are included within cash and cash equivalents and are valued based on quoted market prices in active markets, with no valuation adjustment. Time deposits are included within cash and cash equivalents and are valued using relevant observable market inputs including quoted prices for similar assets and interest rate curves.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the cross-currency swap, included within other noncurrent assets, is valued using a market approach. Please refer to Note 9, </w:t>
      </w:r>
      <w:hyperlink w:anchor="i334e5af0cc974070b9320cc50a88c43c_88">
        <w:r>
          <w:rPr>
            <w:rStyle w:val="InternetLink"/>
            <w:rFonts w:ascii="Times New Roman;serif" w:hAnsi="Times New Roman;serif"/>
            <w:b w:val="false"/>
            <w:i/>
            <w:color w:val="0000FF"/>
            <w:sz w:val="20"/>
            <w:u w:val="single"/>
          </w:rPr>
          <w:t>Derivative Financial Instruments</w:t>
        </w:r>
      </w:hyperlink>
      <w:r>
        <w:rPr>
          <w:rFonts w:ascii="Times New Roman;serif" w:hAnsi="Times New Roman;serif"/>
          <w:b w:val="false"/>
          <w:color w:val="000000"/>
          <w:sz w:val="20"/>
        </w:rPr>
        <w:t>, for further discussion of our derivatives. The fair value of our commodity call options, included within other current and other noncurrent assets, is valued using a market approach. The fair value of the contingent consideration liability, within current and long-term liabilities, related to the SmartDose® technology platform (the “SmartDose®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fair value of deferred compensation liabilities is based on quoted prices of the underlying employees’ investment selections and is included within other long-term liabilities.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Other Financial Instruments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 carrying amounts of our cash and accounts receivable approximate their fair values due to their near-term maturities.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long-term debt is based on quoted market prices for debt issuances with similar terms and maturities and is classified as Level 2 within the fair value hierarchy. At June 30, 2026, the estimated fair value of long-term debt was $202.2 million compared to a carrying amount of $202.9 million. At December 31, 2025, the estimated fair value of long-term debt was $202.4 million and the carrying amount was $202.8 million. As of June 30, 2026, and December 31, 2025, all debt is long-term.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11: Accumulated Other Comprehensive Loss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components of accumulated other comprehensive income ("AOCI") (loss), net of tax, for the six months ended June 30, 2026:</w:t>
      </w:r>
    </w:p>
    <w:tbl>
      <w:tblPr>
        <w:tblW w:w="10205" w:type="dxa"/>
        <w:jc w:val="left"/>
        <w:tblInd w:w="0" w:type="dxa"/>
        <w:tblLayout w:type="fixed"/>
        <w:tblCellMar>
          <w:top w:w="28" w:type="dxa"/>
          <w:left w:w="28" w:type="dxa"/>
          <w:bottom w:w="28" w:type="dxa"/>
          <w:right w:w="28" w:type="dxa"/>
        </w:tblCellMar>
      </w:tblPr>
      <w:tblGrid>
        <w:gridCol w:w="1141"/>
        <w:gridCol w:w="596"/>
        <w:gridCol w:w="574"/>
        <w:gridCol w:w="295"/>
        <w:gridCol w:w="588"/>
        <w:gridCol w:w="153"/>
        <w:gridCol w:w="109"/>
        <w:gridCol w:w="109"/>
        <w:gridCol w:w="109"/>
        <w:gridCol w:w="425"/>
        <w:gridCol w:w="819"/>
        <w:gridCol w:w="221"/>
        <w:gridCol w:w="109"/>
        <w:gridCol w:w="109"/>
        <w:gridCol w:w="109"/>
        <w:gridCol w:w="526"/>
        <w:gridCol w:w="1049"/>
        <w:gridCol w:w="273"/>
        <w:gridCol w:w="109"/>
        <w:gridCol w:w="109"/>
        <w:gridCol w:w="109"/>
        <w:gridCol w:w="261"/>
        <w:gridCol w:w="828"/>
        <w:gridCol w:w="135"/>
        <w:gridCol w:w="109"/>
        <w:gridCol w:w="109"/>
        <w:gridCol w:w="109"/>
        <w:gridCol w:w="211"/>
        <w:gridCol w:w="641"/>
        <w:gridCol w:w="161"/>
      </w:tblGrid>
      <w:tr>
        <w:trPr/>
        <w:tc>
          <w:tcPr>
            <w:tcW w:w="114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in equity affiliate investment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Defined benefit pension and other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out from accumulated other comprehensive income (loss)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components of accumulated other comprehensive income ("AOCI") (loss), net of tax, for the six months ended June 30, 2025:</w:t>
      </w:r>
    </w:p>
    <w:tbl>
      <w:tblPr>
        <w:tblW w:w="10205" w:type="dxa"/>
        <w:jc w:val="left"/>
        <w:tblInd w:w="0" w:type="dxa"/>
        <w:tblLayout w:type="fixed"/>
        <w:tblCellMar>
          <w:top w:w="28" w:type="dxa"/>
          <w:left w:w="28" w:type="dxa"/>
          <w:bottom w:w="28" w:type="dxa"/>
          <w:right w:w="28" w:type="dxa"/>
        </w:tblCellMar>
      </w:tblPr>
      <w:tblGrid>
        <w:gridCol w:w="1141"/>
        <w:gridCol w:w="596"/>
        <w:gridCol w:w="574"/>
        <w:gridCol w:w="295"/>
        <w:gridCol w:w="588"/>
        <w:gridCol w:w="153"/>
        <w:gridCol w:w="109"/>
        <w:gridCol w:w="109"/>
        <w:gridCol w:w="109"/>
        <w:gridCol w:w="425"/>
        <w:gridCol w:w="819"/>
        <w:gridCol w:w="221"/>
        <w:gridCol w:w="109"/>
        <w:gridCol w:w="109"/>
        <w:gridCol w:w="109"/>
        <w:gridCol w:w="461"/>
        <w:gridCol w:w="1149"/>
        <w:gridCol w:w="239"/>
        <w:gridCol w:w="109"/>
        <w:gridCol w:w="109"/>
        <w:gridCol w:w="109"/>
        <w:gridCol w:w="261"/>
        <w:gridCol w:w="828"/>
        <w:gridCol w:w="135"/>
        <w:gridCol w:w="109"/>
        <w:gridCol w:w="109"/>
        <w:gridCol w:w="109"/>
        <w:gridCol w:w="211"/>
        <w:gridCol w:w="641"/>
        <w:gridCol w:w="160"/>
      </w:tblGrid>
      <w:tr>
        <w:trPr/>
        <w:tc>
          <w:tcPr>
            <w:tcW w:w="114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in equity affiliate investment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Defined benefit pension and other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out from accumulated other comprehensive income (loss)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reclassifications out from accumulated other comprehensive loss is presented in the following table:</w:t>
      </w:r>
    </w:p>
    <w:tbl>
      <w:tblPr>
        <w:tblW w:w="10205" w:type="dxa"/>
        <w:jc w:val="left"/>
        <w:tblInd w:w="0" w:type="dxa"/>
        <w:tblLayout w:type="fixed"/>
        <w:tblCellMar>
          <w:top w:w="28" w:type="dxa"/>
          <w:left w:w="28" w:type="dxa"/>
          <w:bottom w:w="28" w:type="dxa"/>
          <w:right w:w="28" w:type="dxa"/>
        </w:tblCellMar>
      </w:tblPr>
      <w:tblGrid>
        <w:gridCol w:w="1442"/>
        <w:gridCol w:w="1119"/>
        <w:gridCol w:w="1052"/>
        <w:gridCol w:w="109"/>
        <w:gridCol w:w="109"/>
        <w:gridCol w:w="109"/>
        <w:gridCol w:w="211"/>
        <w:gridCol w:w="450"/>
        <w:gridCol w:w="109"/>
        <w:gridCol w:w="109"/>
        <w:gridCol w:w="109"/>
        <w:gridCol w:w="109"/>
        <w:gridCol w:w="211"/>
        <w:gridCol w:w="450"/>
        <w:gridCol w:w="109"/>
        <w:gridCol w:w="109"/>
        <w:gridCol w:w="109"/>
        <w:gridCol w:w="109"/>
        <w:gridCol w:w="211"/>
        <w:gridCol w:w="450"/>
        <w:gridCol w:w="109"/>
        <w:gridCol w:w="109"/>
        <w:gridCol w:w="109"/>
        <w:gridCol w:w="109"/>
        <w:gridCol w:w="211"/>
        <w:gridCol w:w="450"/>
        <w:gridCol w:w="109"/>
        <w:gridCol w:w="109"/>
        <w:gridCol w:w="109"/>
        <w:gridCol w:w="109"/>
        <w:gridCol w:w="548"/>
        <w:gridCol w:w="548"/>
        <w:gridCol w:w="781"/>
      </w:tblGrid>
      <w:tr>
        <w:trPr/>
        <w:tc>
          <w:tcPr>
            <w:tcW w:w="144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Detail of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on Statement of Income</w:t>
            </w:r>
          </w:p>
        </w:tc>
      </w:tr>
      <w:tr>
        <w:trPr/>
        <w:tc>
          <w:tcPr>
            <w:tcW w:w="36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 sold</w:t>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treasury locks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defined benefit pension and other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reclassifications for the period,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This component is included in the computation of net periodic benefit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0"/>
        <w:jc w:val="left"/>
        <w:rPr/>
      </w:pPr>
      <w:r>
        <w:rPr>
          <w:rFonts w:ascii="Times New Roman;serif" w:hAnsi="Times New Roman;serif"/>
          <w:b/>
          <w:color w:val="000000"/>
          <w:sz w:val="20"/>
        </w:rPr>
        <w:t>Note 12: Shareholders</w:t>
      </w:r>
      <w:r>
        <w:rPr>
          <w:color w:val="000000"/>
        </w:rPr>
        <w:t xml:space="preserve">’ </w:t>
      </w:r>
      <w:r>
        <w:rPr>
          <w:rFonts w:ascii="Times New Roman;serif" w:hAnsi="Times New Roman;serif"/>
          <w:b/>
          <w:color w:val="000000"/>
          <w:sz w:val="20"/>
        </w:rPr>
        <w:t>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shareholders’ equity for the six months ended June 30, 2026:</w:t>
      </w:r>
    </w:p>
    <w:tbl>
      <w:tblPr>
        <w:tblW w:w="11543" w:type="dxa"/>
        <w:jc w:val="left"/>
        <w:tblInd w:w="0" w:type="dxa"/>
        <w:tblLayout w:type="fixed"/>
        <w:tblCellMar>
          <w:top w:w="28" w:type="dxa"/>
          <w:left w:w="28" w:type="dxa"/>
          <w:bottom w:w="28" w:type="dxa"/>
          <w:right w:w="28" w:type="dxa"/>
        </w:tblCellMar>
      </w:tblPr>
      <w:tblGrid>
        <w:gridCol w:w="843"/>
        <w:gridCol w:w="253"/>
        <w:gridCol w:w="255"/>
        <w:gridCol w:w="285"/>
        <w:gridCol w:w="285"/>
        <w:gridCol w:w="286"/>
        <w:gridCol w:w="109"/>
        <w:gridCol w:w="109"/>
        <w:gridCol w:w="109"/>
        <w:gridCol w:w="217"/>
        <w:gridCol w:w="526"/>
        <w:gridCol w:w="113"/>
        <w:gridCol w:w="109"/>
        <w:gridCol w:w="109"/>
        <w:gridCol w:w="109"/>
        <w:gridCol w:w="211"/>
        <w:gridCol w:w="406"/>
        <w:gridCol w:w="109"/>
        <w:gridCol w:w="109"/>
        <w:gridCol w:w="109"/>
        <w:gridCol w:w="109"/>
        <w:gridCol w:w="270"/>
        <w:gridCol w:w="270"/>
        <w:gridCol w:w="271"/>
        <w:gridCol w:w="109"/>
        <w:gridCol w:w="109"/>
        <w:gridCol w:w="109"/>
        <w:gridCol w:w="211"/>
        <w:gridCol w:w="781"/>
        <w:gridCol w:w="109"/>
        <w:gridCol w:w="109"/>
        <w:gridCol w:w="109"/>
        <w:gridCol w:w="109"/>
        <w:gridCol w:w="211"/>
        <w:gridCol w:w="766"/>
        <w:gridCol w:w="109"/>
        <w:gridCol w:w="109"/>
        <w:gridCol w:w="109"/>
        <w:gridCol w:w="109"/>
        <w:gridCol w:w="296"/>
        <w:gridCol w:w="886"/>
        <w:gridCol w:w="154"/>
        <w:gridCol w:w="109"/>
        <w:gridCol w:w="109"/>
        <w:gridCol w:w="109"/>
        <w:gridCol w:w="211"/>
        <w:gridCol w:w="766"/>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Number of 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 millions)</w:t>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December 31, 2025</w:t>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Activity related to stock-based compensation</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purchased under share repurchase program</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Dividends declared ($0.22 per share)</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 net of tax</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March 31, 2026</w:t>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5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154.0 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Activity related to stock-based compensation</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purchased under share repurchase program</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 net of tax</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June 30, 2026</w:t>
            </w:r>
          </w:p>
        </w:tc>
        <w:tc>
          <w:tcPr>
            <w:tcW w:w="57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75.3 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4,624.1 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(140.4)</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2,990.2 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shareholders’ equity for the six months ended June 30, 2025:</w:t>
      </w:r>
    </w:p>
    <w:tbl>
      <w:tblPr>
        <w:tblW w:w="11648" w:type="dxa"/>
        <w:jc w:val="left"/>
        <w:tblInd w:w="0" w:type="dxa"/>
        <w:tblLayout w:type="fixed"/>
        <w:tblCellMar>
          <w:top w:w="28" w:type="dxa"/>
          <w:left w:w="28" w:type="dxa"/>
          <w:bottom w:w="28" w:type="dxa"/>
          <w:right w:w="28" w:type="dxa"/>
        </w:tblCellMar>
      </w:tblPr>
      <w:tblGrid>
        <w:gridCol w:w="843"/>
        <w:gridCol w:w="253"/>
        <w:gridCol w:w="255"/>
        <w:gridCol w:w="285"/>
        <w:gridCol w:w="285"/>
        <w:gridCol w:w="286"/>
        <w:gridCol w:w="109"/>
        <w:gridCol w:w="109"/>
        <w:gridCol w:w="109"/>
        <w:gridCol w:w="217"/>
        <w:gridCol w:w="526"/>
        <w:gridCol w:w="113"/>
        <w:gridCol w:w="109"/>
        <w:gridCol w:w="109"/>
        <w:gridCol w:w="109"/>
        <w:gridCol w:w="211"/>
        <w:gridCol w:w="511"/>
        <w:gridCol w:w="109"/>
        <w:gridCol w:w="109"/>
        <w:gridCol w:w="109"/>
        <w:gridCol w:w="109"/>
        <w:gridCol w:w="270"/>
        <w:gridCol w:w="270"/>
        <w:gridCol w:w="271"/>
        <w:gridCol w:w="109"/>
        <w:gridCol w:w="109"/>
        <w:gridCol w:w="109"/>
        <w:gridCol w:w="211"/>
        <w:gridCol w:w="781"/>
        <w:gridCol w:w="109"/>
        <w:gridCol w:w="109"/>
        <w:gridCol w:w="109"/>
        <w:gridCol w:w="109"/>
        <w:gridCol w:w="211"/>
        <w:gridCol w:w="766"/>
        <w:gridCol w:w="109"/>
        <w:gridCol w:w="109"/>
        <w:gridCol w:w="109"/>
        <w:gridCol w:w="109"/>
        <w:gridCol w:w="296"/>
        <w:gridCol w:w="886"/>
        <w:gridCol w:w="154"/>
        <w:gridCol w:w="109"/>
        <w:gridCol w:w="109"/>
        <w:gridCol w:w="109"/>
        <w:gridCol w:w="211"/>
        <w:gridCol w:w="766"/>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Number of 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 millions)</w:t>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December 31, 2024</w:t>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Activity related to stock-based compensation</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purchased under share repurchase program</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Dividends declared ($0.21 per share)</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net of tax</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March 31, 2025</w:t>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5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131.8 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Activity related to stock-based compensation</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purchased under share repurchase program</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Dividends declared ($0.21 per share)</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net of tax</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June 30, 2025</w:t>
            </w:r>
          </w:p>
        </w:tc>
        <w:tc>
          <w:tcPr>
            <w:tcW w:w="57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75.3 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(88.7)</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2,929.1 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13:  Stock-Based Compensation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West Pharmaceutical Services, Inc. 2016 Omnibus Incentive Compensation Plan (the “2016 Plan”) provides for the granting of stock options, stock appreciation rights ("SARs"), restricted stock awards and performance awards to employees and non-employee directors. A committee of the Board of Directors determines the terms and conditions of awards to be granted. Vesting requirements vary by award. In March 2025, the Board of Directors approved, and our stockholders subsequently approved in May 2025, an amendment to the 2016 Plan ("the Amended and Restated 2016 Plan"), which, among other things, added 2.0 million shares of common stock to the maximum number of shares of common stock as to which awards may be granted. Following the approval of the Amended and Restated 2016 Plan, all stock options or SARs that are not forfeited or cancelled will reduce the number of shares available for issuance under the Amended and Restated 2016 Plan by one share for each share subject to the award. Awards issued following the amendment that are payable in common stock (other than stock options or SARs) will reduce the total number of shares available for grant under the Amended and Restated 2016 Plan by an amount equal to 2.0 times the number of shares subject to the award. The reduction was previously equal to 2.5 times the number of shares subject to the award under the 2016 Plan. At June 30, 2026, there were approximately 2.8 million shares remaining in the Amended and Restated 2016 Plan for future grants.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65,653 stock options at a weighted average exercise price of $254.78 per share based on the grant-date fair value of our stock to employees under the 2016 Plan. The weighted average grant date fair value of options granted was $107.29 per share as determined by the Black-Scholes option valuation model using the following weighted average assumptions: a risk-free interest rate of 3.7%; expected life of 6.8 years based on prior experience; stock volatility of 35.5% based on historical data; and a dividend yield of 0.4%. Stock option expense is recognized over the vesting period, net of forfeitures.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58,605 stock-settled performance share unit (“PSU”) awards at a weighted average grant-date fair value of $254.79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granted 38,299 stock-settled restricted share unit (“RSU”) awards at a weighted average grant-date fair value of $255.47 per share to eligible employees. These awards are earned over a specified performance period. The fair value of stock-settled RSU awards is based on the market price of our stock at the grant date and is recognized as expense over the vesting period, net of forfeitures.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$10.9 million and $17.5 million for the three and six months ended June 30, 2026. For the three and six months ended June 30, 2025, stock-based compensation expense was $7.4 million and $8.7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14:  Other Expense (Income)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consists of:</w:t>
      </w:r>
    </w:p>
    <w:tbl>
      <w:tblPr>
        <w:tblW w:w="7290" w:type="dxa"/>
        <w:jc w:val="left"/>
        <w:tblInd w:w="0" w:type="dxa"/>
        <w:tblLayout w:type="fixed"/>
        <w:tblCellMar>
          <w:top w:w="28" w:type="dxa"/>
          <w:left w:w="28" w:type="dxa"/>
          <w:bottom w:w="28" w:type="dxa"/>
          <w:right w:w="28" w:type="dxa"/>
        </w:tblCellMar>
      </w:tblPr>
      <w:tblGrid>
        <w:gridCol w:w="1102"/>
        <w:gridCol w:w="968"/>
        <w:gridCol w:w="975"/>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transaction losses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oil hedges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Restructuring and Related Charges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approved a restructuring plan to adjust our operating cost base to better respond to the macroeconomic factors influencing our business. These changes are expected to be implemented over a period of approximately twenty-four to thirty-six months from the date of approval. The plan is expected to require restructuring and related charges of approximately $28 million to $30 million, with annualized savings in the range of $35 million to $40 million. The following table presents activity related to our restructuring obligations related to our January 2025 restructuring plan:</w:t>
      </w:r>
    </w:p>
    <w:tbl>
      <w:tblPr>
        <w:tblW w:w="6996" w:type="dxa"/>
        <w:jc w:val="left"/>
        <w:tblInd w:w="0" w:type="dxa"/>
        <w:tblLayout w:type="fixed"/>
        <w:tblCellMar>
          <w:top w:w="28" w:type="dxa"/>
          <w:left w:w="28" w:type="dxa"/>
          <w:bottom w:w="28" w:type="dxa"/>
          <w:right w:w="28" w:type="dxa"/>
        </w:tblCellMar>
      </w:tblPr>
      <w:tblGrid>
        <w:gridCol w:w="885"/>
        <w:gridCol w:w="777"/>
        <w:gridCol w:w="783"/>
        <w:gridCol w:w="317"/>
        <w:gridCol w:w="612"/>
        <w:gridCol w:w="165"/>
        <w:gridCol w:w="109"/>
        <w:gridCol w:w="109"/>
        <w:gridCol w:w="109"/>
        <w:gridCol w:w="526"/>
        <w:gridCol w:w="1014"/>
        <w:gridCol w:w="274"/>
        <w:gridCol w:w="109"/>
        <w:gridCol w:w="109"/>
        <w:gridCol w:w="109"/>
        <w:gridCol w:w="109"/>
        <w:gridCol w:w="109"/>
        <w:gridCol w:w="211"/>
        <w:gridCol w:w="40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w:t>
              <w:br/>
              <w:t>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Asset-related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(Credits)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asset write downs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Company approved a restructuring plan related to a definitive agreement to sell all manufacturing and supply rights for the SmartDose® 3.5mL On-Body Delivery System and associated facilities to AbbVie. These changes are expected to be implemented over a period of approximately twelve to fifteen months from the date of approval. The plan is expected to require restructuring and related charges of $12 million to $16 million, with annualized savings in the range of $15 million to $20 million. The following table presents activity related to our restructuring obligations related to our December 2025 restructuring plan:</w:t>
      </w:r>
    </w:p>
    <w:tbl>
      <w:tblPr>
        <w:tblW w:w="5073" w:type="dxa"/>
        <w:jc w:val="left"/>
        <w:tblInd w:w="0" w:type="dxa"/>
        <w:tblLayout w:type="fixed"/>
        <w:tblCellMar>
          <w:top w:w="28" w:type="dxa"/>
          <w:left w:w="28" w:type="dxa"/>
          <w:bottom w:w="28" w:type="dxa"/>
          <w:right w:w="28" w:type="dxa"/>
        </w:tblCellMar>
      </w:tblPr>
      <w:tblGrid>
        <w:gridCol w:w="885"/>
        <w:gridCol w:w="777"/>
        <w:gridCol w:w="783"/>
        <w:gridCol w:w="317"/>
        <w:gridCol w:w="612"/>
        <w:gridCol w:w="165"/>
        <w:gridCol w:w="109"/>
        <w:gridCol w:w="109"/>
        <w:gridCol w:w="109"/>
        <w:gridCol w:w="109"/>
        <w:gridCol w:w="109"/>
        <w:gridCol w:w="109"/>
        <w:gridCol w:w="109"/>
        <w:gridCol w:w="211"/>
        <w:gridCol w:w="40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w:t>
              <w:br/>
              <w:t>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(Credits)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Contingent Consideration</w:t>
      </w:r>
    </w:p>
    <w:p>
      <w:pPr>
        <w:pStyle w:val="TextBody"/>
        <w:bidi w:val="0"/>
        <w:spacing w:lineRule="auto" w:line="288" w:before="0" w:after="120"/>
        <w:jc w:val="left"/>
        <w:rPr/>
      </w:pPr>
      <w:r>
        <w:rPr>
          <w:rFonts w:ascii="Times New Roman;serif" w:hAnsi="Times New Roman;serif"/>
          <w:b w:val="false"/>
          <w:color w:val="000000"/>
          <w:sz w:val="20"/>
        </w:rPr>
        <w:t xml:space="preserve">Contingent consideration represents changes in the fair value of the SmartDose® contingent consideration. Please refer to Note 10, </w:t>
      </w:r>
      <w:hyperlink w:anchor="i334e5af0cc974070b9320cc50a88c43c_103">
        <w:r>
          <w:rPr>
            <w:rStyle w:val="InternetLink"/>
            <w:rFonts w:ascii="Times New Roman;serif" w:hAnsi="Times New Roman;serif"/>
            <w:b w:val="false"/>
            <w:i/>
            <w:color w:val="0000FF"/>
            <w:sz w:val="20"/>
            <w:u w:val="single"/>
          </w:rPr>
          <w:t>Fair Value Measurements</w:t>
        </w:r>
      </w:hyperlink>
      <w:r>
        <w:rPr>
          <w:rFonts w:ascii="Times New Roman;serif" w:hAnsi="Times New Roman;serif"/>
          <w:b w:val="false"/>
          <w:color w:val="000000"/>
          <w:sz w:val="20"/>
        </w:rPr>
        <w:t>, for additional details.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Asset Impairments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asset impairment expense includes impairment charges to its cost-method investments and expense related to fixed assets impaired or taken out of service. During the periods ended June 30, asset impairments consisted of: </w:t>
      </w:r>
    </w:p>
    <w:tbl>
      <w:tblPr>
        <w:tblW w:w="7714" w:type="dxa"/>
        <w:jc w:val="left"/>
        <w:tblInd w:w="0" w:type="dxa"/>
        <w:tblLayout w:type="fixed"/>
        <w:tblCellMar>
          <w:top w:w="28" w:type="dxa"/>
          <w:left w:w="28" w:type="dxa"/>
          <w:bottom w:w="28" w:type="dxa"/>
          <w:right w:w="28" w:type="dxa"/>
        </w:tblCellMar>
      </w:tblPr>
      <w:tblGrid>
        <w:gridCol w:w="1357"/>
        <w:gridCol w:w="1192"/>
        <w:gridCol w:w="1201"/>
        <w:gridCol w:w="215"/>
        <w:gridCol w:w="414"/>
        <w:gridCol w:w="111"/>
        <w:gridCol w:w="111"/>
        <w:gridCol w:w="111"/>
        <w:gridCol w:w="111"/>
        <w:gridCol w:w="215"/>
        <w:gridCol w:w="414"/>
        <w:gridCol w:w="111"/>
        <w:gridCol w:w="109"/>
        <w:gridCol w:w="109"/>
        <w:gridCol w:w="109"/>
        <w:gridCol w:w="211"/>
        <w:gridCol w:w="406"/>
        <w:gridCol w:w="109"/>
        <w:gridCol w:w="109"/>
        <w:gridCol w:w="109"/>
        <w:gridCol w:w="109"/>
        <w:gridCol w:w="211"/>
        <w:gridCol w:w="406"/>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Cost-method investment impairment charges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 impairment expense</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impairments</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15:  Income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tax provision for interim periods is determined using the estimated annual effective consolidated tax rate, based on the current estimate of full-year earnings before taxes, adjusted for the impact of discrete quarterly items.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$32.2 million and $30.2 million for the three months ended June 30, 2026 and 2025, respectively, and the effective tax rate was 17.9% and 19.2%, respectively. The decrease in the effective tax rate for the three months ended June 30, 2026, as compared to the same period in 2025, primarily reflects the impact of favorable changes in our geographic mix of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$76.9 million and $54.3 million for the six months ended June 30, 2026 and 2025, respectively, and the effective tax rate was 21.3% and 20.3%, respectively. The increase in the effective tax rate for the six months ended June 30, 2026, as compared to the same period in 2025, is primarily due to a one-time tax cost of $12.0 million associated with an internal legal entity restructuring which occurred in the first quarter of 2026, partially offset by the impact of favorable changes in our geographic mix of earnings.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liability for unrecognized tax benefits was $67.5 million and $56.1 million as of June 30, 2026 and December 31, 2025, respectively, and is included within other long-term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16:  Commitments and Contingencies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proceedings, lawsuits, disputes and claims arising in the ordinary course of the Company’s business, whether that be matters involving commercial operations, product liability, intellectual property or employment actions, including class action lawsuits. We accrue for loss contingencies when it is probable that a liability has been incurred and the amount of the loss can be reasonably estimated based on circumstances and assumptions existing at the time. Unless otherwise disclosed below, while the outcome of such claims cannot be predicted with certainty, we believe their ultimate resolution is not expected to have a material adverse effect on our business, financial condition, results of operations or liquidity. However, if an unfavorable ruling were to occur in any specific case, a material impact on the results of operations could be possible for that period.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May 5, 2025, New England Teamsters Pension Fund filed a class action against us and certain of our current and former officers in the United States District Court for the Eastern District of Pennsylvania, purportedly on behalf of a class of the Company’s investors who purchased or otherwise acquired the Company’s common stock between February 16, 2023 and February 12, 2025. On July 23, 2025, the court appointed lead plaintiffs in the action. On October 15, 2025, the lead plaintiffs filed an amended complaint. The amended complaint alleges violations of Sections 10(b), 20(a) and 20A of the Securities Exchange Act of 1934 and Rule 10b-5 promulgated thereunder in connection with 1) various public statements made by the Company and certain current and former officers regarding its business, operations and prospects and 2) certain current and former officers' transactions in the Company's stock. The action seeks unspecified damages, costs and expenses, including attorneys’ fees. On December 18, 2025, the defendants filed their first motion to dismiss the amended complaint. Pursuant to the scheduling order entered by the court, the lead plaintiffs’ opposition to the motion to dismiss was filed on February 24, 2026, and the defendants filed their reply on March 31, 2026. We believe the claims in the amended complaint are without merit and we intend to vigorously defend against such claims. Given the nature of the case, including that the proceedings are in their early stages, we are unable at this time to reasonably estimate losses, if any, or form a judgment that an unfavorable outcome is either probable or remote.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commitments and contingencies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17:  Segment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business operations are organized into two reportable segments, Proprietary Products and West Vantage. Effective in the first quarter of 2026, the Company renamed its "Contract-Manufactured Products" reportable segment to "West Vantage™" to better align with its current strategic focus and offerings. This change in name does not affect the composition of the reportable segment, nor does it impact previously reported segment financial information. Our Proprietary Products reportable segment offers proprietary packaging, containment solutions and drug delivery products, along with analytical lab services and other integrated services and solutions, primarily to biologic, generic and pharmaceutical drug customers. Our West Vantage reportable segment serves as a fully integrated business, focused on the design, manufacture, and automated assembly of complex devices, primarily for pharmaceutical, diagnostic, and medical device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Chief Operating Decision Maker ("CODM") is the Chief Executive Officer. The CODM evaluates the performance of our segments based upon, among other things, segment net sales and segment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 identified income or expense items. The segment operating profit metric is what the CODM uses in evaluating our results of operations and the financial measure that provides a valuable insight into our overall performance and financial position. The CODM considers budget-to-actual variances and variances against prior years within segment operating profit when making decisions about allocating resources to the segments.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reportable segments, reconciled to consolidated totals:</w:t>
      </w:r>
    </w:p>
    <w:tbl>
      <w:tblPr>
        <w:tblW w:w="7019" w:type="dxa"/>
        <w:jc w:val="left"/>
        <w:tblInd w:w="0" w:type="dxa"/>
        <w:tblLayout w:type="fixed"/>
        <w:tblCellMar>
          <w:top w:w="28" w:type="dxa"/>
          <w:left w:w="28" w:type="dxa"/>
          <w:bottom w:w="28" w:type="dxa"/>
          <w:right w:w="28" w:type="dxa"/>
        </w:tblCellMar>
      </w:tblPr>
      <w:tblGrid>
        <w:gridCol w:w="705"/>
        <w:gridCol w:w="619"/>
        <w:gridCol w:w="625"/>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summarized financial information for our two reportable segments and corporate and unallocated:</w:t>
      </w:r>
    </w:p>
    <w:tbl>
      <w:tblPr>
        <w:tblW w:w="5193" w:type="dxa"/>
        <w:jc w:val="left"/>
        <w:tblInd w:w="0" w:type="dxa"/>
        <w:tblLayout w:type="fixed"/>
        <w:tblCellMar>
          <w:top w:w="28" w:type="dxa"/>
          <w:left w:w="28" w:type="dxa"/>
          <w:bottom w:w="28" w:type="dxa"/>
          <w:right w:w="28" w:type="dxa"/>
        </w:tblCellMar>
      </w:tblPr>
      <w:tblGrid>
        <w:gridCol w:w="912"/>
        <w:gridCol w:w="800"/>
        <w:gridCol w:w="808"/>
        <w:gridCol w:w="211"/>
        <w:gridCol w:w="766"/>
        <w:gridCol w:w="109"/>
        <w:gridCol w:w="109"/>
        <w:gridCol w:w="109"/>
        <w:gridCol w:w="109"/>
        <w:gridCol w:w="235"/>
        <w:gridCol w:w="854"/>
        <w:gridCol w:w="171"/>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Unallocated </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4,270.0 </w:t>
            </w:r>
          </w:p>
        </w:tc>
        <w:tc>
          <w:tcPr>
            <w:tcW w:w="1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Corporate and unallocated assets primarily include investments in affiliated companies, cash and cash equivalents, property, plant and equipment used in our corporate operations and deferred income taxes.</w:t>
      </w:r>
    </w:p>
    <w:tbl>
      <w:tblPr>
        <w:tblW w:w="7110" w:type="dxa"/>
        <w:jc w:val="left"/>
        <w:tblInd w:w="0" w:type="dxa"/>
        <w:tblLayout w:type="fixed"/>
        <w:tblCellMar>
          <w:top w:w="28" w:type="dxa"/>
          <w:left w:w="28" w:type="dxa"/>
          <w:bottom w:w="28" w:type="dxa"/>
          <w:right w:w="28" w:type="dxa"/>
        </w:tblCellMar>
      </w:tblPr>
      <w:tblGrid>
        <w:gridCol w:w="999"/>
        <w:gridCol w:w="877"/>
        <w:gridCol w:w="884"/>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Depreciation and Amortization</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65" w:type="dxa"/>
        <w:jc w:val="left"/>
        <w:tblInd w:w="0" w:type="dxa"/>
        <w:tblLayout w:type="fixed"/>
        <w:tblCellMar>
          <w:top w:w="28" w:type="dxa"/>
          <w:left w:w="28" w:type="dxa"/>
          <w:bottom w:w="28" w:type="dxa"/>
          <w:right w:w="28" w:type="dxa"/>
        </w:tblCellMar>
      </w:tblPr>
      <w:tblGrid>
        <w:gridCol w:w="836"/>
        <w:gridCol w:w="734"/>
        <w:gridCol w:w="740"/>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Capital Expenditures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summarized financial information for our segments:</w:t>
      </w:r>
    </w:p>
    <w:tbl>
      <w:tblPr>
        <w:tblW w:w="10205" w:type="dxa"/>
        <w:jc w:val="left"/>
        <w:tblInd w:w="0" w:type="dxa"/>
        <w:tblLayout w:type="fixed"/>
        <w:tblCellMar>
          <w:top w:w="28" w:type="dxa"/>
          <w:left w:w="28" w:type="dxa"/>
          <w:bottom w:w="28" w:type="dxa"/>
          <w:right w:w="28" w:type="dxa"/>
        </w:tblCellMar>
      </w:tblPr>
      <w:tblGrid>
        <w:gridCol w:w="1156"/>
        <w:gridCol w:w="772"/>
        <w:gridCol w:w="774"/>
        <w:gridCol w:w="254"/>
        <w:gridCol w:w="723"/>
        <w:gridCol w:w="142"/>
        <w:gridCol w:w="109"/>
        <w:gridCol w:w="109"/>
        <w:gridCol w:w="109"/>
        <w:gridCol w:w="211"/>
        <w:gridCol w:w="600"/>
        <w:gridCol w:w="117"/>
        <w:gridCol w:w="109"/>
        <w:gridCol w:w="109"/>
        <w:gridCol w:w="109"/>
        <w:gridCol w:w="196"/>
        <w:gridCol w:w="556"/>
        <w:gridCol w:w="109"/>
        <w:gridCol w:w="109"/>
        <w:gridCol w:w="109"/>
        <w:gridCol w:w="109"/>
        <w:gridCol w:w="254"/>
        <w:gridCol w:w="723"/>
        <w:gridCol w:w="142"/>
        <w:gridCol w:w="109"/>
        <w:gridCol w:w="109"/>
        <w:gridCol w:w="109"/>
        <w:gridCol w:w="211"/>
        <w:gridCol w:w="600"/>
        <w:gridCol w:w="117"/>
        <w:gridCol w:w="109"/>
        <w:gridCol w:w="109"/>
        <w:gridCol w:w="109"/>
        <w:gridCol w:w="196"/>
        <w:gridCol w:w="556"/>
        <w:gridCol w:w="161"/>
      </w:tblGrid>
      <w:tr>
        <w:trPr/>
        <w:tc>
          <w:tcPr>
            <w:tcW w:w="115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r>
      <w:tr>
        <w:trPr/>
        <w:tc>
          <w:tcPr>
            <w:tcW w:w="2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w:t>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Proprietary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West Vantage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Proprietary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West Vantage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722.6 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and services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expense (income)</w:t>
            </w:r>
            <w:r>
              <w:rPr>
                <w:rFonts w:ascii="Times New Roman;serif" w:hAnsi="Times New Roman;serif"/>
                <w:b w:val="false"/>
                <w:color w:val="000000"/>
                <w:sz w:val="10"/>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profit</w:t>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profit or loss: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Corporate general costs</w:t>
            </w:r>
            <w:r>
              <w:rPr>
                <w:rFonts w:ascii="Times New Roman;serif" w:hAnsi="Times New Roman;serif"/>
                <w:b w:val="false"/>
                <w:color w:val="000000"/>
                <w:sz w:val="10"/>
              </w:rPr>
              <w:t>(2)</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Unallocated items: </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and other charges</w:t>
            </w:r>
            <w:r>
              <w:rPr>
                <w:rFonts w:ascii="Times New Roman;serif" w:hAnsi="Times New Roman;serif"/>
                <w:b w:val="false"/>
                <w:color w:val="000000"/>
                <w:sz w:val="10"/>
              </w:rPr>
              <w:t>(3)</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M&amp;A activities, including SmartDose® 3.5mL sale</w:t>
            </w:r>
            <w:r>
              <w:rPr>
                <w:rFonts w:ascii="Times New Roman;serif" w:hAnsi="Times New Roman;serif"/>
                <w:b w:val="false"/>
                <w:color w:val="000000"/>
                <w:sz w:val="10"/>
              </w:rPr>
              <w:t>(4)</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Cost-method investment activity</w:t>
            </w:r>
            <w:r>
              <w:rPr>
                <w:rFonts w:ascii="Times New Roman;serif" w:hAnsi="Times New Roman;serif"/>
                <w:b w:val="false"/>
                <w:color w:val="000000"/>
                <w:sz w:val="10"/>
              </w:rPr>
              <w:t>(5)</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(7)</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consolidated operating profit</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expense and other nonoperating expense (income), net</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 and equity in net income of affiliated companies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28"/>
        <w:gridCol w:w="608"/>
        <w:gridCol w:w="610"/>
        <w:gridCol w:w="222"/>
        <w:gridCol w:w="786"/>
        <w:gridCol w:w="123"/>
        <w:gridCol w:w="109"/>
        <w:gridCol w:w="109"/>
        <w:gridCol w:w="109"/>
        <w:gridCol w:w="207"/>
        <w:gridCol w:w="587"/>
        <w:gridCol w:w="115"/>
        <w:gridCol w:w="109"/>
        <w:gridCol w:w="109"/>
        <w:gridCol w:w="109"/>
        <w:gridCol w:w="196"/>
        <w:gridCol w:w="691"/>
        <w:gridCol w:w="109"/>
        <w:gridCol w:w="109"/>
        <w:gridCol w:w="109"/>
        <w:gridCol w:w="109"/>
        <w:gridCol w:w="222"/>
        <w:gridCol w:w="786"/>
        <w:gridCol w:w="123"/>
        <w:gridCol w:w="109"/>
        <w:gridCol w:w="109"/>
        <w:gridCol w:w="109"/>
        <w:gridCol w:w="207"/>
        <w:gridCol w:w="587"/>
        <w:gridCol w:w="115"/>
        <w:gridCol w:w="109"/>
        <w:gridCol w:w="109"/>
        <w:gridCol w:w="109"/>
        <w:gridCol w:w="196"/>
        <w:gridCol w:w="691"/>
        <w:gridCol w:w="161"/>
      </w:tblGrid>
      <w:tr>
        <w:trPr/>
        <w:tc>
          <w:tcPr>
            <w:tcW w:w="122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Proprietary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West Vantage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Proprietary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West Vantage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and services sold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expense (income)</w:t>
            </w:r>
            <w:r>
              <w:rPr>
                <w:rFonts w:ascii="Times New Roman;serif" w:hAnsi="Times New Roman;serif"/>
                <w:b w:val="false"/>
                <w:color w:val="000000"/>
                <w:sz w:val="10"/>
              </w:rPr>
              <w:t>(1)</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profit</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profit or loss: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Corporate general costs</w:t>
            </w:r>
            <w:r>
              <w:rPr>
                <w:rFonts w:ascii="Times New Roman;serif" w:hAnsi="Times New Roman;serif"/>
                <w:b w:val="false"/>
                <w:color w:val="000000"/>
                <w:sz w:val="10"/>
              </w:rPr>
              <w:t>(2)</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Unallocated items: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and related charges</w:t>
            </w:r>
            <w:r>
              <w:rPr>
                <w:rFonts w:ascii="Times New Roman;serif" w:hAnsi="Times New Roman;serif"/>
                <w:b w:val="false"/>
                <w:color w:val="000000"/>
                <w:sz w:val="10"/>
              </w:rPr>
              <w:t>(3)</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M&amp;A activities, including SmartDose® 3.5mL sale</w:t>
            </w:r>
            <w:r>
              <w:rPr>
                <w:rFonts w:ascii="Times New Roman;serif" w:hAnsi="Times New Roman;serif"/>
                <w:b w:val="false"/>
                <w:color w:val="000000"/>
                <w:sz w:val="10"/>
              </w:rPr>
              <w:t>(4)</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Cost-method investment activity</w:t>
            </w:r>
            <w:r>
              <w:rPr>
                <w:rFonts w:ascii="Times New Roman;serif" w:hAnsi="Times New Roman;serif"/>
                <w:b w:val="false"/>
                <w:color w:val="000000"/>
                <w:sz w:val="10"/>
              </w:rPr>
              <w:t>(5)</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Amortization of acquisition-related intangible assets</w:t>
            </w:r>
            <w:r>
              <w:rPr>
                <w:rFonts w:ascii="Times New Roman;serif" w:hAnsi="Times New Roman;serif"/>
                <w:b w:val="false"/>
                <w:color w:val="000000"/>
                <w:sz w:val="10"/>
              </w:rPr>
              <w:t>(6)</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(7)</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consolidated operating profit</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expense and other nonoperating expense (income), net</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 and equity in net income of affiliated companies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Other segment expense (income) primarily includes foreign exchange transaction gains and losses, adjustments to contingent consideration and (gain) loss on oil hedges attributable to the segments during the three and six months ended June 30, 2026 and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(2) Corporate general costs include executive and director compensation, certain pension and other retirement benefit costs, and other corporate facilities and administrative expenses not allocated to the segments.</w:t>
      </w:r>
    </w:p>
    <w:p>
      <w:pPr>
        <w:pStyle w:val="TextBody"/>
        <w:bidi w:val="0"/>
        <w:spacing w:lineRule="auto" w:line="288" w:before="0" w:after="120"/>
        <w:jc w:val="left"/>
        <w:rPr/>
      </w:pPr>
      <w:r>
        <w:rPr>
          <w:rFonts w:ascii="Times New Roman;serif" w:hAnsi="Times New Roman;serif"/>
          <w:b w:val="false"/>
          <w:color w:val="000000"/>
          <w:sz w:val="20"/>
        </w:rPr>
        <w:t xml:space="preserve">(3) </w:t>
      </w:r>
      <w:r>
        <w:rPr>
          <w:rFonts w:ascii="Times New Roman;serif" w:hAnsi="Times New Roman;serif"/>
          <w:b w:val="false"/>
          <w:color w:val="252525"/>
          <w:sz w:val="20"/>
        </w:rPr>
        <w:t>During the</w:t>
      </w:r>
      <w:r>
        <w:rPr>
          <w:color w:val="000000"/>
        </w:rPr>
        <w:t xml:space="preserve"> </w:t>
      </w:r>
      <w:r>
        <w:rPr>
          <w:rFonts w:ascii="Times New Roman;serif" w:hAnsi="Times New Roman;serif"/>
          <w:b w:val="false"/>
          <w:color w:val="252525"/>
          <w:sz w:val="20"/>
        </w:rPr>
        <w:t>three and six months ended</w:t>
      </w:r>
      <w:r>
        <w:rPr>
          <w:color w:val="000000"/>
        </w:rPr>
        <w:t xml:space="preserve"> </w:t>
      </w:r>
      <w:r>
        <w:rPr>
          <w:rFonts w:ascii="Times New Roman;serif" w:hAnsi="Times New Roman;serif"/>
          <w:b w:val="false"/>
          <w:color w:val="000000"/>
          <w:sz w:val="20"/>
        </w:rPr>
        <w:t xml:space="preserve">June 30, 2026, the Company recorded pre-tax charges of $1.5 million and $2.9 million, respectively, related to our two existing restructuring programs: (i) $1.0 million and $1.9 million, respectively, within other expense (income), related to acceleration of depreciation and lease costs in connection with the Company's January 2025 restructuring plan and (ii) $0.5 million and $1.0 million, respectively, within selling, general and administrative expenses, for professional services relating to our 2024 plan to optimize the legal structure of the Company and its subsidiaries. During the </w:t>
      </w:r>
      <w:r>
        <w:rPr>
          <w:rFonts w:ascii="Times New Roman;serif" w:hAnsi="Times New Roman;serif"/>
          <w:b w:val="false"/>
          <w:color w:val="252525"/>
          <w:sz w:val="20"/>
        </w:rPr>
        <w:t>three and six months ended</w:t>
      </w:r>
      <w:r>
        <w:rPr>
          <w:color w:val="000000"/>
        </w:rPr>
        <w:t xml:space="preserve"> </w:t>
      </w:r>
      <w:r>
        <w:rPr>
          <w:rFonts w:ascii="Times New Roman;serif" w:hAnsi="Times New Roman;serif"/>
          <w:b w:val="false"/>
          <w:color w:val="000000"/>
          <w:sz w:val="20"/>
        </w:rPr>
        <w:t>June 30, 2025, the Company recorded pre-tax charges of $1.6 million and $19.4 million, respectively, related to our two existing restructuring programs: (i) $0.2 million and $16.6 million, respectively, within other expense (income), related to severance, acceleration of depreciation and lease costs in connection with the Company's January 2025 restructuring plan and (ii) $1.4 million and $2.8 million, respectively, within selling, general and administrative expenses, for professional services relating to our 2024 plan to optimize the legal structure of the Company and its subsidiaries.</w:t>
      </w:r>
    </w:p>
    <w:p>
      <w:pPr>
        <w:pStyle w:val="TextBody"/>
        <w:bidi w:val="0"/>
        <w:spacing w:lineRule="auto" w:line="288" w:before="0" w:after="120"/>
        <w:jc w:val="left"/>
        <w:rPr/>
      </w:pPr>
      <w:r>
        <w:rPr>
          <w:rFonts w:ascii="Times New Roman;serif" w:hAnsi="Times New Roman;serif"/>
          <w:b w:val="false"/>
          <w:color w:val="000000"/>
          <w:sz w:val="20"/>
        </w:rPr>
        <w:t xml:space="preserve">(4) </w:t>
      </w:r>
      <w:r>
        <w:rPr>
          <w:rFonts w:ascii="Times New Roman;serif" w:hAnsi="Times New Roman;serif"/>
          <w:b w:val="false"/>
          <w:color w:val="252525"/>
          <w:sz w:val="20"/>
        </w:rPr>
        <w:t>During the</w:t>
      </w:r>
      <w:r>
        <w:rPr>
          <w:color w:val="000000"/>
        </w:rPr>
        <w:t xml:space="preserve"> </w:t>
      </w:r>
      <w:r>
        <w:rPr>
          <w:rFonts w:ascii="Times New Roman;serif" w:hAnsi="Times New Roman;serif"/>
          <w:b w:val="false"/>
          <w:color w:val="252525"/>
          <w:sz w:val="20"/>
        </w:rPr>
        <w:t>three and six months ended</w:t>
      </w:r>
      <w:r>
        <w:rPr>
          <w:color w:val="000000"/>
        </w:rPr>
        <w:t xml:space="preserve"> </w:t>
      </w:r>
      <w:r>
        <w:rPr>
          <w:rFonts w:ascii="Times New Roman;serif" w:hAnsi="Times New Roman;serif"/>
          <w:b w:val="false"/>
          <w:color w:val="000000"/>
          <w:sz w:val="20"/>
        </w:rPr>
        <w:t>June 30, 2026, the Company recorded pre-tax charges of $6.4 million and $8.3 million, respectively, related to M&amp;A activities, including the Company's agreement to sell its SmartDose® 3.5mL On-Body Delivery System and associated facilities to AbbVie. The Company recorded $1.3 million and $2.2 million, respectively, of the charges within other expense (income), related to employee benefit costs in connection with the sale agreement. The Company recorded the remaining $5.1 million and $6.1 million, respectively, within selling, general and administrative expenses, relating to professional services in connection with the sale agreement and other M&amp;A activities.</w:t>
      </w:r>
    </w:p>
    <w:p>
      <w:pPr>
        <w:pStyle w:val="TextBody"/>
        <w:bidi w:val="0"/>
        <w:spacing w:lineRule="auto" w:line="288" w:before="0" w:after="120"/>
        <w:jc w:val="left"/>
        <w:rPr/>
      </w:pPr>
      <w:r>
        <w:rPr>
          <w:rFonts w:ascii="Times New Roman;serif" w:hAnsi="Times New Roman;serif"/>
          <w:b w:val="false"/>
          <w:color w:val="000000"/>
          <w:sz w:val="20"/>
        </w:rPr>
        <w:t xml:space="preserve">(5) During the </w:t>
      </w:r>
      <w:r>
        <w:rPr>
          <w:rFonts w:ascii="Times New Roman;serif" w:hAnsi="Times New Roman;serif"/>
          <w:b w:val="false"/>
          <w:color w:val="252525"/>
          <w:sz w:val="20"/>
        </w:rPr>
        <w:t>three and six months ended</w:t>
      </w:r>
      <w:r>
        <w:rPr>
          <w:color w:val="000000"/>
        </w:rPr>
        <w:t xml:space="preserve"> </w:t>
      </w:r>
      <w:r>
        <w:rPr>
          <w:rFonts w:ascii="Times New Roman;serif" w:hAnsi="Times New Roman;serif"/>
          <w:b w:val="false"/>
          <w:color w:val="000000"/>
          <w:sz w:val="20"/>
        </w:rPr>
        <w:t>June 30, 2026, the Company recorded cost-method investment impairment charges of $3.5 million within other expense (income).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(6) During the three and six months ended June 30, 2025, we recorded $0.0 million and $0.2 million, respectively, of amortization expense within selling, general and administrative expenses associated with an intangible asset acquired during the second quarter of 2020.</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(7) Other includes nonrecurring professional fees associated with various items including certain legal matters and our cybersecurity incident from May 2026. These charges are recorded within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2025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2025 Annual Report and in Part II, Item 1A of this Form 10-Q.</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Throughout this section, references to “Notes” refer to the notes to our condensed consolidated financial statements (unaudited) in Part I, Item 1 of this Form 10-Q, unless otherwise indicated.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Non-U.S. GAAP Financial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 identified income or expense items. The re-measured results excluding effects from currency translation, the impact from acquisitions and/or divestitures, and excluding the effects of unallocated items are not in conformity with U.S.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business operations are organized into two global segments, Proprietary Products and West Vantage. Effective in the first quarter of 2026, the Company renamed its "Contract-Manufactured Products" reportable segment to "West Vantage™" to better align with its current strategic focus and offerings. This change in name does not affect the composition of the reportable segment, nor does it impact previously reported segment financial information. Our Proprietary Products reportable segment offers proprietary packaging, containment solutions and drug delivery systems, along with analytical lab services and other integrated services and solutions, primarily to biologic, generic and pharmaceutical drug customers. Our West Vantage reportable segment serves as a fully integrated business, focused on the design, manufacture, and automated assembly of complex devices, as well as combination product assembly and packaging, primarily for pharmaceutical, diagnostic, and medical device customers. We also maintain collaborations to share technologies and market products with affiliates in Japan and Mexico.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Macroeconomic Factors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Beginning in 2025, the U.S. government imposed additional tariffs and trade restrictions on certain goods produced outside of the United States, and certain jurisdictions in which we operate have imposed or are considering imposing tariffs and restrictions on certain goods produced in the United States. In February 2026, the U.S. Supreme Court issued a ruling that certain tariffs imposed under the International Emergency Economics Power Act (“IEEPA”) were unauthorized. During the second quarter of 2026, the Company began applying for and receiving certain refunds for tariffs previously collected under the IEEPA. We continue to monitor this dynamic trade-policy environment, including the potential impact of existing or future tariffs, trade restrictions, retaliatory measures, available refund processes and mitigation actions. Based on information currently available, we do not expect these matters to have a material impact on our 2026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continue to monitor the conflict in the Middle East and related macroeconomic developments, including potential impacts on our operations, supply chain, transportation costs, energy costs and petroleum-based raw material inputs. While escalation or prolongation of the conflict could contribute to volatility or inflationary pressure in certain of these costs, based on information currently available and our corresponding mitigation efforts, we do not expect these matters to have a material impact on our results of operations, financial condition or liquidity. During the first six months of 2026, our Israel-based facilities continued to operate without material disruption.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Performance Summary</w:t>
      </w:r>
    </w:p>
    <w:p>
      <w:pPr>
        <w:pStyle w:val="TextBody"/>
        <w:bidi w:val="0"/>
        <w:spacing w:lineRule="auto" w:line="288" w:before="0" w:after="0"/>
        <w:jc w:val="left"/>
        <w:rPr/>
      </w:pPr>
      <w:r>
        <w:rPr>
          <w:rFonts w:ascii="Times New Roman;serif" w:hAnsi="Times New Roman;serif"/>
          <w:b w:val="false"/>
          <w:color w:val="252525"/>
          <w:sz w:val="20"/>
        </w:rPr>
        <w:t xml:space="preserve">The following tables present a reconciliation from U.S. GAAP to non-U.S. GAAP financial measures for the three and six months ended </w:t>
      </w:r>
      <w:r>
        <w:rPr>
          <w:rFonts w:ascii="Times New Roman;serif" w:hAnsi="Times New Roman;serif"/>
          <w:b w:val="false"/>
          <w:color w:val="000000"/>
          <w:sz w:val="20"/>
        </w:rPr>
        <w:t>June 30, 2026:</w:t>
      </w:r>
    </w:p>
    <w:tbl>
      <w:tblPr>
        <w:tblW w:w="10205" w:type="dxa"/>
        <w:jc w:val="left"/>
        <w:tblInd w:w="0" w:type="dxa"/>
        <w:tblLayout w:type="fixed"/>
        <w:tblCellMar>
          <w:top w:w="28" w:type="dxa"/>
          <w:left w:w="28" w:type="dxa"/>
          <w:bottom w:w="28" w:type="dxa"/>
          <w:right w:w="28" w:type="dxa"/>
        </w:tblCellMar>
      </w:tblPr>
      <w:tblGrid>
        <w:gridCol w:w="1789"/>
        <w:gridCol w:w="1346"/>
        <w:gridCol w:w="1351"/>
        <w:gridCol w:w="283"/>
        <w:gridCol w:w="826"/>
        <w:gridCol w:w="146"/>
        <w:gridCol w:w="109"/>
        <w:gridCol w:w="109"/>
        <w:gridCol w:w="109"/>
        <w:gridCol w:w="361"/>
        <w:gridCol w:w="876"/>
        <w:gridCol w:w="186"/>
        <w:gridCol w:w="109"/>
        <w:gridCol w:w="109"/>
        <w:gridCol w:w="109"/>
        <w:gridCol w:w="225"/>
        <w:gridCol w:w="659"/>
        <w:gridCol w:w="116"/>
        <w:gridCol w:w="109"/>
        <w:gridCol w:w="109"/>
        <w:gridCol w:w="109"/>
        <w:gridCol w:w="253"/>
        <w:gridCol w:w="615"/>
        <w:gridCol w:w="192"/>
      </w:tblGrid>
      <w:tr>
        <w:trPr/>
        <w:tc>
          <w:tcPr>
            <w:tcW w:w="178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 except per share data)</w:t>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 EPS</w:t>
            </w:r>
          </w:p>
        </w:tc>
      </w:tr>
      <w:tr>
        <w:trPr/>
        <w:tc>
          <w:tcPr>
            <w:tcW w:w="44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2026 U.S. GAAP</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M&amp;A activities, including SmartDose® 3.5mL sale</w:t>
            </w:r>
            <w:r>
              <w:rPr>
                <w:rFonts w:ascii="Times New Roman;serif" w:hAnsi="Times New Roman;serif"/>
                <w:b w:val="false"/>
                <w:color w:val="000000"/>
                <w:sz w:val="13"/>
              </w:rPr>
              <w:t>(2)</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Cost-method investment activity</w:t>
            </w:r>
            <w:r>
              <w:rPr>
                <w:rFonts w:ascii="Times New Roman;serif" w:hAnsi="Times New Roman;serif"/>
                <w:b w:val="false"/>
                <w:color w:val="000000"/>
                <w:sz w:val="13"/>
              </w:rPr>
              <w:t>(3)</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(4)</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(5)</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2026 adjusted amounts (non-U.S. GAAP)</w:t>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64"/>
        <w:gridCol w:w="1339"/>
        <w:gridCol w:w="1343"/>
        <w:gridCol w:w="285"/>
        <w:gridCol w:w="833"/>
        <w:gridCol w:w="147"/>
        <w:gridCol w:w="109"/>
        <w:gridCol w:w="109"/>
        <w:gridCol w:w="109"/>
        <w:gridCol w:w="366"/>
        <w:gridCol w:w="888"/>
        <w:gridCol w:w="189"/>
        <w:gridCol w:w="109"/>
        <w:gridCol w:w="109"/>
        <w:gridCol w:w="109"/>
        <w:gridCol w:w="226"/>
        <w:gridCol w:w="661"/>
        <w:gridCol w:w="116"/>
        <w:gridCol w:w="109"/>
        <w:gridCol w:w="109"/>
        <w:gridCol w:w="109"/>
        <w:gridCol w:w="255"/>
        <w:gridCol w:w="618"/>
        <w:gridCol w:w="194"/>
      </w:tblGrid>
      <w:tr>
        <w:trPr/>
        <w:tc>
          <w:tcPr>
            <w:tcW w:w="1764"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 except per share data)</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 EPS</w:t>
            </w:r>
          </w:p>
        </w:tc>
      </w:tr>
      <w:tr>
        <w:trPr/>
        <w:tc>
          <w:tcPr>
            <w:tcW w:w="44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 U.S. GAAP</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M&amp;A activities, including SmartDose® 3.5mL sale</w:t>
            </w:r>
            <w:r>
              <w:rPr>
                <w:rFonts w:ascii="Times New Roman;serif" w:hAnsi="Times New Roman;serif"/>
                <w:b w:val="false"/>
                <w:color w:val="000000"/>
                <w:sz w:val="13"/>
              </w:rPr>
              <w:t>(2)</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Cost-method investment activity</w:t>
            </w:r>
            <w:r>
              <w:rPr>
                <w:rFonts w:ascii="Times New Roman;serif" w:hAnsi="Times New Roman;serif"/>
                <w:b w:val="false"/>
                <w:color w:val="000000"/>
                <w:sz w:val="13"/>
              </w:rPr>
              <w:t>(3)</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(4)</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(5)</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 adjusted amounts (non-U.S. GAAP)</w:t>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0"/>
        <w:jc w:val="left"/>
        <w:rPr/>
      </w:pPr>
      <w:r>
        <w:rPr>
          <w:rFonts w:ascii="Times New Roman;serif" w:hAnsi="Times New Roman;serif"/>
          <w:b w:val="false"/>
          <w:color w:val="252525"/>
          <w:sz w:val="20"/>
        </w:rPr>
        <w:t xml:space="preserve">The following tables present a reconciliation from U.S. GAAP to non-U.S. GAAP financial measures for the three and six months ended </w:t>
      </w:r>
      <w:r>
        <w:rPr>
          <w:rFonts w:ascii="Times New Roman;serif" w:hAnsi="Times New Roman;serif"/>
          <w:b w:val="false"/>
          <w:color w:val="000000"/>
          <w:sz w:val="20"/>
        </w:rPr>
        <w:t>June 30, 2025:</w:t>
      </w:r>
    </w:p>
    <w:tbl>
      <w:tblPr>
        <w:tblW w:w="10205" w:type="dxa"/>
        <w:jc w:val="left"/>
        <w:tblInd w:w="0" w:type="dxa"/>
        <w:tblLayout w:type="fixed"/>
        <w:tblCellMar>
          <w:top w:w="28" w:type="dxa"/>
          <w:left w:w="28" w:type="dxa"/>
          <w:bottom w:w="28" w:type="dxa"/>
          <w:right w:w="28" w:type="dxa"/>
        </w:tblCellMar>
      </w:tblPr>
      <w:tblGrid>
        <w:gridCol w:w="1789"/>
        <w:gridCol w:w="1346"/>
        <w:gridCol w:w="1351"/>
        <w:gridCol w:w="283"/>
        <w:gridCol w:w="826"/>
        <w:gridCol w:w="146"/>
        <w:gridCol w:w="109"/>
        <w:gridCol w:w="109"/>
        <w:gridCol w:w="109"/>
        <w:gridCol w:w="361"/>
        <w:gridCol w:w="876"/>
        <w:gridCol w:w="186"/>
        <w:gridCol w:w="109"/>
        <w:gridCol w:w="109"/>
        <w:gridCol w:w="109"/>
        <w:gridCol w:w="225"/>
        <w:gridCol w:w="659"/>
        <w:gridCol w:w="116"/>
        <w:gridCol w:w="109"/>
        <w:gridCol w:w="109"/>
        <w:gridCol w:w="109"/>
        <w:gridCol w:w="253"/>
        <w:gridCol w:w="615"/>
        <w:gridCol w:w="192"/>
      </w:tblGrid>
      <w:tr>
        <w:trPr/>
        <w:tc>
          <w:tcPr>
            <w:tcW w:w="178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 except per share data)</w:t>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 EPS</w:t>
            </w:r>
          </w:p>
        </w:tc>
      </w:tr>
      <w:tr>
        <w:trPr/>
        <w:tc>
          <w:tcPr>
            <w:tcW w:w="44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2025 U.S. GAAP</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(4)</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2025 adjusted amounts (non-U.S. GAAP)</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64"/>
        <w:gridCol w:w="1339"/>
        <w:gridCol w:w="1343"/>
        <w:gridCol w:w="285"/>
        <w:gridCol w:w="833"/>
        <w:gridCol w:w="147"/>
        <w:gridCol w:w="109"/>
        <w:gridCol w:w="109"/>
        <w:gridCol w:w="109"/>
        <w:gridCol w:w="366"/>
        <w:gridCol w:w="888"/>
        <w:gridCol w:w="189"/>
        <w:gridCol w:w="109"/>
        <w:gridCol w:w="109"/>
        <w:gridCol w:w="109"/>
        <w:gridCol w:w="226"/>
        <w:gridCol w:w="661"/>
        <w:gridCol w:w="116"/>
        <w:gridCol w:w="109"/>
        <w:gridCol w:w="109"/>
        <w:gridCol w:w="109"/>
        <w:gridCol w:w="255"/>
        <w:gridCol w:w="618"/>
        <w:gridCol w:w="194"/>
      </w:tblGrid>
      <w:tr>
        <w:trPr/>
        <w:tc>
          <w:tcPr>
            <w:tcW w:w="1764"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 except per share data)</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 EPS</w:t>
            </w:r>
          </w:p>
        </w:tc>
      </w:tr>
      <w:tr>
        <w:trPr/>
        <w:tc>
          <w:tcPr>
            <w:tcW w:w="44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 U.S. GAAP</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(4)</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 adjusted amounts (non-U.S. GAAP)</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val="false"/>
          <w:color w:val="252525"/>
          <w:sz w:val="20"/>
        </w:rPr>
        <w:t>(1)During the</w:t>
      </w:r>
      <w:r>
        <w:rPr>
          <w:color w:val="000000"/>
        </w:rPr>
        <w:t xml:space="preserve"> </w:t>
      </w:r>
      <w:r>
        <w:rPr>
          <w:rFonts w:ascii="Times New Roman;serif" w:hAnsi="Times New Roman;serif"/>
          <w:b w:val="false"/>
          <w:color w:val="252525"/>
          <w:sz w:val="20"/>
        </w:rPr>
        <w:t>three and six months ended</w:t>
      </w:r>
      <w:r>
        <w:rPr>
          <w:color w:val="000000"/>
        </w:rPr>
        <w:t xml:space="preserve"> </w:t>
      </w:r>
      <w:r>
        <w:rPr>
          <w:rFonts w:ascii="Times New Roman;serif" w:hAnsi="Times New Roman;serif"/>
          <w:b w:val="false"/>
          <w:color w:val="000000"/>
          <w:sz w:val="20"/>
        </w:rPr>
        <w:t xml:space="preserve">June 30, 2026, the Company recorded pre-tax charges of $1.5 million and $2.9 million, respectively, related to our two existing restructuring programs: (i) $1.0 million and $1.9 million, respectively, within other expense (income), related to acceleration of depreciation and lease costs in connection with the Company's January 2025 restructuring plan and (ii) $0.5 million and $1.0 million, respectively, within selling, general and administrative expenses, for professional services relating to our 2024 plan to optimize the legal structure of the Company and its subsidiaries. In addition, we recorded a one-time tax cost of $12.0 million associated with an internal legal entity restructuring which occurred in the first quarter of 2026. During the </w:t>
      </w:r>
      <w:r>
        <w:rPr>
          <w:rFonts w:ascii="Times New Roman;serif" w:hAnsi="Times New Roman;serif"/>
          <w:b w:val="false"/>
          <w:color w:val="252525"/>
          <w:sz w:val="20"/>
        </w:rPr>
        <w:t>three and six months ended</w:t>
      </w:r>
      <w:r>
        <w:rPr>
          <w:color w:val="000000"/>
        </w:rPr>
        <w:t xml:space="preserve"> </w:t>
      </w:r>
      <w:r>
        <w:rPr>
          <w:rFonts w:ascii="Times New Roman;serif" w:hAnsi="Times New Roman;serif"/>
          <w:b w:val="false"/>
          <w:color w:val="000000"/>
          <w:sz w:val="20"/>
        </w:rPr>
        <w:t>June 30, 2025, the Company recorded pre-tax charges of $1.6 million and $19.4 million, respectively, related to our two existing restructuring programs: (i) $0.2 million and $16.6 million, respectively, within other expense (income), related to severance, acceleration of depreciation and lease costs in connection with the Company's January 2025 restructuring plan and (ii) $1.4 million and $2.8 million, respectively, within selling, general and administrative expenses, for professional services relating to our 2024 plan to optimize the legal structure of the Company and its subsidiaries. In addition, we recorded income tax charges of $2.0 million in the first quarter of 2025, related primarily to withholding tax and capital gains incurred in executing our plan to optimize our legal structure.</w:t>
      </w:r>
    </w:p>
    <w:p>
      <w:pPr>
        <w:pStyle w:val="TextBody"/>
        <w:bidi w:val="0"/>
        <w:spacing w:lineRule="auto" w:line="288" w:before="0" w:after="120"/>
        <w:ind w:left="0" w:right="0" w:hanging="360"/>
        <w:jc w:val="left"/>
        <w:rPr/>
      </w:pPr>
      <w:r>
        <w:rPr>
          <w:rFonts w:ascii="Times New Roman;serif" w:hAnsi="Times New Roman;serif"/>
          <w:b w:val="false"/>
          <w:color w:val="252525"/>
          <w:sz w:val="20"/>
        </w:rPr>
        <w:t>(2)During the</w:t>
      </w:r>
      <w:r>
        <w:rPr>
          <w:color w:val="000000"/>
        </w:rPr>
        <w:t xml:space="preserve"> </w:t>
      </w:r>
      <w:r>
        <w:rPr>
          <w:rFonts w:ascii="Times New Roman;serif" w:hAnsi="Times New Roman;serif"/>
          <w:b w:val="false"/>
          <w:color w:val="252525"/>
          <w:sz w:val="20"/>
        </w:rPr>
        <w:t>three and six months ended</w:t>
      </w:r>
      <w:r>
        <w:rPr>
          <w:color w:val="000000"/>
        </w:rPr>
        <w:t xml:space="preserve"> </w:t>
      </w:r>
      <w:r>
        <w:rPr>
          <w:rFonts w:ascii="Times New Roman;serif" w:hAnsi="Times New Roman;serif"/>
          <w:b w:val="false"/>
          <w:color w:val="000000"/>
          <w:sz w:val="20"/>
        </w:rPr>
        <w:t>June 30, 2026, the Company recorded pre-tax charges of $6.4 million and $8.3 million, respectively, related to M&amp;A activities, including the Company's agreement to sell its SmartDose® 3.5mL On-Body Delivery System and associated facilities to AbbVie. The Company recorded $1.3 million and $2.2 million, respectively, of the charges within other expense (income), related to employee benefit costs in connection with the sale agreement. The Company recorded the remaining $5.1 million and $6.1 million, respectively, within selling, general and administrative expenses, relating to professional services in connection with the sale agreement and other M&amp;A activities.</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(3)During the </w:t>
      </w:r>
      <w:r>
        <w:rPr>
          <w:rFonts w:ascii="Times New Roman;serif" w:hAnsi="Times New Roman;serif"/>
          <w:b w:val="false"/>
          <w:color w:val="252525"/>
          <w:sz w:val="20"/>
        </w:rPr>
        <w:t>three and six months ended</w:t>
      </w:r>
      <w:r>
        <w:rPr>
          <w:color w:val="000000"/>
        </w:rPr>
        <w:t xml:space="preserve"> </w:t>
      </w:r>
      <w:r>
        <w:rPr>
          <w:rFonts w:ascii="Times New Roman;serif" w:hAnsi="Times New Roman;serif"/>
          <w:b w:val="false"/>
          <w:color w:val="000000"/>
          <w:sz w:val="20"/>
        </w:rPr>
        <w:t>June 30, 2026, the Company recorded cost-method investment impairment charges of $3.5 million within other expense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(4)During the </w:t>
      </w:r>
      <w:r>
        <w:rPr>
          <w:rFonts w:ascii="Times New Roman;serif" w:hAnsi="Times New Roman;serif"/>
          <w:b w:val="false"/>
          <w:color w:val="252525"/>
          <w:sz w:val="20"/>
        </w:rPr>
        <w:t>three and six months ended</w:t>
      </w:r>
      <w:r>
        <w:rPr>
          <w:color w:val="000000"/>
        </w:rPr>
        <w:t xml:space="preserve"> </w:t>
      </w:r>
      <w:r>
        <w:rPr>
          <w:rFonts w:ascii="Times New Roman;serif" w:hAnsi="Times New Roman;serif"/>
          <w:b w:val="false"/>
          <w:color w:val="000000"/>
          <w:sz w:val="20"/>
        </w:rPr>
        <w:t xml:space="preserve">June 30, 2026, the Company recorded $0.4 million and $0.9 million, respectively, of amortization expense in association with an acquisition of increased ownership interest in Daikyo. </w:t>
      </w:r>
      <w:r>
        <w:rPr>
          <w:rFonts w:ascii="Times New Roman;serif" w:hAnsi="Times New Roman;serif"/>
          <w:b w:val="false"/>
          <w:color w:val="252525"/>
          <w:sz w:val="20"/>
        </w:rPr>
        <w:t>During the</w:t>
      </w:r>
      <w:r>
        <w:rPr>
          <w:color w:val="000000"/>
        </w:rPr>
        <w:t xml:space="preserve"> </w:t>
      </w:r>
      <w:r>
        <w:rPr>
          <w:rFonts w:ascii="Times New Roman;serif" w:hAnsi="Times New Roman;serif"/>
          <w:b w:val="false"/>
          <w:color w:val="252525"/>
          <w:sz w:val="20"/>
        </w:rPr>
        <w:t>three and six months ended</w:t>
      </w:r>
      <w:r>
        <w:rPr>
          <w:color w:val="000000"/>
        </w:rPr>
        <w:t xml:space="preserve"> </w:t>
      </w:r>
      <w:r>
        <w:rPr>
          <w:rFonts w:ascii="Times New Roman;serif" w:hAnsi="Times New Roman;serif"/>
          <w:b w:val="false"/>
          <w:color w:val="000000"/>
          <w:sz w:val="20"/>
        </w:rPr>
        <w:t>June 30, 2025,</w:t>
      </w:r>
      <w:r>
        <w:rPr>
          <w:color w:val="252525"/>
        </w:rPr>
        <w:t xml:space="preserve"> </w:t>
      </w:r>
      <w:r>
        <w:rPr>
          <w:rFonts w:ascii="Times New Roman;serif" w:hAnsi="Times New Roman;serif"/>
          <w:b w:val="false"/>
          <w:color w:val="252525"/>
          <w:sz w:val="20"/>
        </w:rPr>
        <w:t>the Company recorded</w:t>
      </w:r>
      <w:r>
        <w:rPr>
          <w:color w:val="000000"/>
        </w:rPr>
        <w:t xml:space="preserve"> </w:t>
      </w:r>
      <w:r>
        <w:rPr>
          <w:rFonts w:ascii="Times New Roman;serif" w:hAnsi="Times New Roman;serif"/>
          <w:b w:val="false"/>
          <w:color w:val="000000"/>
          <w:sz w:val="20"/>
        </w:rPr>
        <w:t xml:space="preserve">$0.0 million and $0.2 million, respectively, </w:t>
      </w:r>
      <w:r>
        <w:rPr>
          <w:rFonts w:ascii="Times New Roman;serif" w:hAnsi="Times New Roman;serif"/>
          <w:b w:val="false"/>
          <w:color w:val="252525"/>
          <w:sz w:val="20"/>
        </w:rPr>
        <w:t xml:space="preserve">of amortization expense </w:t>
      </w:r>
      <w:r>
        <w:rPr>
          <w:rFonts w:ascii="Times New Roman;serif" w:hAnsi="Times New Roman;serif"/>
          <w:b w:val="false"/>
          <w:color w:val="000000"/>
          <w:sz w:val="20"/>
        </w:rPr>
        <w:t>within selling, general and administrative expenses</w:t>
      </w:r>
      <w:r>
        <w:rPr>
          <w:color w:val="252525"/>
        </w:rPr>
        <w:t xml:space="preserve"> </w:t>
      </w:r>
      <w:r>
        <w:rPr>
          <w:rFonts w:ascii="Times New Roman;serif" w:hAnsi="Times New Roman;serif"/>
          <w:b w:val="false"/>
          <w:color w:val="252525"/>
          <w:sz w:val="20"/>
        </w:rPr>
        <w:t xml:space="preserve">associated with an intangible asset acquired during </w:t>
      </w:r>
      <w:r>
        <w:rPr>
          <w:rFonts w:ascii="Times New Roman;serif" w:hAnsi="Times New Roman;serif"/>
          <w:b w:val="false"/>
          <w:color w:val="000000"/>
          <w:sz w:val="20"/>
        </w:rPr>
        <w:t xml:space="preserve">the second quarter of 2020. During the </w:t>
      </w:r>
      <w:r>
        <w:rPr>
          <w:rFonts w:ascii="Times New Roman;serif" w:hAnsi="Times New Roman;serif"/>
          <w:b w:val="false"/>
          <w:color w:val="252525"/>
          <w:sz w:val="20"/>
        </w:rPr>
        <w:t>three and six months ended</w:t>
      </w:r>
      <w:r>
        <w:rPr>
          <w:color w:val="000000"/>
        </w:rPr>
        <w:t xml:space="preserve"> </w:t>
      </w:r>
      <w:r>
        <w:rPr>
          <w:rFonts w:ascii="Times New Roman;serif" w:hAnsi="Times New Roman;serif"/>
          <w:b w:val="false"/>
          <w:color w:val="000000"/>
          <w:sz w:val="20"/>
        </w:rPr>
        <w:t>June 30, 2025, the Company recorded $0.5 million and $0.9 million, respectively, of amortization expense in association with an acquisition of increased ownership interest in Daikyo.</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(5)Other includes nonrecurring professional fees associated with various items including certain legal matters and our cybersecurity incident from May 2026. These charges are recorded within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pStyle w:val="TextBody"/>
        <w:bidi w:val="0"/>
        <w:spacing w:lineRule="auto" w:line="288" w:before="0" w:after="120"/>
        <w:jc w:val="left"/>
        <w:rPr/>
      </w:pPr>
      <w:r>
        <w:rPr>
          <w:rFonts w:ascii="Times New Roman;serif" w:hAnsi="Times New Roman;serif"/>
          <w:b w:val="false"/>
          <w:color w:val="000000"/>
          <w:sz w:val="20"/>
        </w:rPr>
        <w:t xml:space="preserve">Percentages in the following tables and throughout the </w:t>
      </w:r>
      <w:r>
        <w:rPr>
          <w:rFonts w:ascii="Times New Roman;serif" w:hAnsi="Times New Roman;serif"/>
          <w:b w:val="false"/>
          <w:i/>
          <w:color w:val="000000"/>
          <w:sz w:val="20"/>
        </w:rPr>
        <w:t xml:space="preserve">Results of Operations </w:t>
      </w:r>
      <w:r>
        <w:rPr>
          <w:rFonts w:ascii="Times New Roman;serif" w:hAnsi="Times New Roman;serif"/>
          <w:b w:val="false"/>
          <w:color w:val="000000"/>
          <w:sz w:val="20"/>
        </w:rPr>
        <w:t>section may reflect rounding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0" w:after="0"/>
        <w:jc w:val="left"/>
        <w:rPr/>
      </w:pPr>
      <w:r>
        <w:rPr>
          <w:rFonts w:ascii="Times New Roman;serif" w:hAnsi="Times New Roman;serif"/>
          <w:b w:val="false"/>
          <w:color w:val="000000"/>
          <w:sz w:val="20"/>
        </w:rPr>
        <w:t xml:space="preserve">The following table presents net sales, consolidated and by reportable segment, for the </w:t>
      </w:r>
      <w:r>
        <w:rPr>
          <w:rFonts w:ascii="Times New Roman;serif" w:hAnsi="Times New Roman;serif"/>
          <w:b w:val="false"/>
          <w:color w:val="000000"/>
          <w:sz w:val="20"/>
          <w:shd w:fill="FFFFFF" w:val="clear"/>
        </w:rPr>
        <w:t>three and six months ended</w:t>
      </w:r>
      <w:r>
        <w:rPr>
          <w:color w:val="000000"/>
        </w:rPr>
        <w:t xml:space="preserve"> </w:t>
      </w:r>
      <w:r>
        <w:rPr>
          <w:rFonts w:ascii="Times New Roman;serif" w:hAnsi="Times New Roman;serif"/>
          <w:b w:val="false"/>
          <w:color w:val="000000"/>
          <w:sz w:val="20"/>
        </w:rPr>
        <w:t>June 30, 2026 and 2025:</w:t>
      </w:r>
    </w:p>
    <w:tbl>
      <w:tblPr>
        <w:tblW w:w="7009" w:type="dxa"/>
        <w:jc w:val="left"/>
        <w:tblInd w:w="0" w:type="dxa"/>
        <w:tblLayout w:type="fixed"/>
        <w:tblCellMar>
          <w:top w:w="28" w:type="dxa"/>
          <w:left w:w="28" w:type="dxa"/>
          <w:bottom w:w="28" w:type="dxa"/>
          <w:right w:w="28" w:type="dxa"/>
        </w:tblCellMar>
      </w:tblPr>
      <w:tblGrid>
        <w:gridCol w:w="705"/>
        <w:gridCol w:w="619"/>
        <w:gridCol w:w="625"/>
        <w:gridCol w:w="211"/>
        <w:gridCol w:w="616"/>
        <w:gridCol w:w="109"/>
        <w:gridCol w:w="109"/>
        <w:gridCol w:w="109"/>
        <w:gridCol w:w="109"/>
        <w:gridCol w:w="211"/>
        <w:gridCol w:w="616"/>
        <w:gridCol w:w="109"/>
        <w:gridCol w:w="109"/>
        <w:gridCol w:w="109"/>
        <w:gridCol w:w="109"/>
        <w:gridCol w:w="255"/>
        <w:gridCol w:w="256"/>
        <w:gridCol w:w="626"/>
        <w:gridCol w:w="138"/>
        <w:gridCol w:w="138"/>
        <w:gridCol w:w="138"/>
        <w:gridCol w:w="255"/>
        <w:gridCol w:w="256"/>
        <w:gridCol w:w="472"/>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As-Reported</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Organic</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Consolidated net sales increased by $105.8 million, or 13.8%, for the three months ended June 30, 2026, as compared to the same period in 2025, including a favorable foreign currency translation impact of $8.5 million. Excluding foreign currency translation effects, consolidated net sales for the three months ended June 30, 2026 increased by $97.3 million, or 12.7%, as compared to the same period in 2025. Volume and mix and sales price increases contributed $67.0 million and $30.3 million, respectively, of growth in the three months ended June 30, 2026.</w:t>
      </w:r>
    </w:p>
    <w:p>
      <w:pPr>
        <w:pStyle w:val="TextBody"/>
        <w:bidi w:val="0"/>
        <w:spacing w:lineRule="auto" w:line="288" w:before="0" w:after="120"/>
        <w:jc w:val="left"/>
        <w:rPr/>
      </w:pPr>
      <w:r>
        <w:rPr>
          <w:rFonts w:ascii="Times New Roman;serif" w:hAnsi="Times New Roman;serif"/>
          <w:b/>
          <w:color w:val="000000"/>
          <w:sz w:val="20"/>
        </w:rPr>
        <w:t>Proprietary Products –</w:t>
      </w:r>
      <w:r>
        <w:rPr>
          <w:color w:val="000000"/>
        </w:rPr>
        <w:t xml:space="preserve"> </w:t>
      </w:r>
      <w:r>
        <w:rPr>
          <w:rFonts w:ascii="Times New Roman;serif" w:hAnsi="Times New Roman;serif"/>
          <w:b w:val="false"/>
          <w:color w:val="000000"/>
          <w:sz w:val="20"/>
        </w:rPr>
        <w:t xml:space="preserve">Proprietary Products net sales increased by $102.8 million, or 16.6%, for the three months ended June 30, 2026, as compared to the same period in 2025, including a favorable foreign currency translation impact of $6.7 million. Excluding foreign currency translation effects, net sales for the three months ended June 30, 2026 increased by $96.1 million, or 15.5%, as compared to the same period in 2025. Increased sales of HVP components and HVP delivery devices products contributed approximately 11 percentage points and 5 percentage points, respectively, of organic sales growth. Sales of HVP components increased $65.5 million, or 18.4%, excluding foreign currency translation effects. This increase in HVP components sales was driven by continued strong customer demand for both Biologics and GLP-1 products as well as sales price increases. Sales of HVP delivery devices increased $29.5 million, or 29.2%, excluding foreign currency translation effects. The increase in HVP delivery devices was driven primarily by customer demand for our self-injection devices, in particular SmartDose 3.5mL in advance of the July 2026 transaction closing, and sales price increases. Sales of Standard Products increased by $1.1 million, or 0.7%, excluding foreign currency translation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pPr>
      <w:r>
        <w:rPr>
          <w:rFonts w:ascii="Times New Roman;serif" w:hAnsi="Times New Roman;serif"/>
          <w:b/>
          <w:color w:val="000000"/>
          <w:sz w:val="20"/>
        </w:rPr>
        <w:t>West Vantage –</w:t>
      </w:r>
      <w:r>
        <w:rPr>
          <w:color w:val="000000"/>
        </w:rPr>
        <w:t xml:space="preserve"> </w:t>
      </w:r>
      <w:r>
        <w:rPr>
          <w:rFonts w:ascii="Times New Roman;serif" w:hAnsi="Times New Roman;serif"/>
          <w:b w:val="false"/>
          <w:color w:val="000000"/>
          <w:sz w:val="20"/>
        </w:rPr>
        <w:t>West Vantage net sales increased by $3.0 million, or 2.0%, for the three months ended June 30, 2026, as compared to the same period in 2025, including a favorable foreign currency translation impact of $1.8 million. Excluding foreign currency translation effects, net sales for the three months ended June 30, 2026 increased by $1.2 million, or 0.8%, as compared to the same period in 2025. The increase was driven by sales price increases and increased production volumes at certain West Vantage sites. These increases were partially offset by our revenue growth being negatively impacted by approximately $7 million from production downtime associated with the Company’s May 2026 cyber incident.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sales, consolidated and by reportable segment, for the six months ended June 30, 2026 and 2025:</w:t>
      </w:r>
    </w:p>
    <w:tbl>
      <w:tblPr>
        <w:tblW w:w="7309" w:type="dxa"/>
        <w:jc w:val="left"/>
        <w:tblInd w:w="0" w:type="dxa"/>
        <w:tblLayout w:type="fixed"/>
        <w:tblCellMar>
          <w:top w:w="28" w:type="dxa"/>
          <w:left w:w="28" w:type="dxa"/>
          <w:bottom w:w="28" w:type="dxa"/>
          <w:right w:w="28" w:type="dxa"/>
        </w:tblCellMar>
      </w:tblPr>
      <w:tblGrid>
        <w:gridCol w:w="705"/>
        <w:gridCol w:w="619"/>
        <w:gridCol w:w="625"/>
        <w:gridCol w:w="211"/>
        <w:gridCol w:w="766"/>
        <w:gridCol w:w="109"/>
        <w:gridCol w:w="109"/>
        <w:gridCol w:w="109"/>
        <w:gridCol w:w="109"/>
        <w:gridCol w:w="211"/>
        <w:gridCol w:w="766"/>
        <w:gridCol w:w="109"/>
        <w:gridCol w:w="109"/>
        <w:gridCol w:w="109"/>
        <w:gridCol w:w="109"/>
        <w:gridCol w:w="255"/>
        <w:gridCol w:w="256"/>
        <w:gridCol w:w="626"/>
        <w:gridCol w:w="138"/>
        <w:gridCol w:w="138"/>
        <w:gridCol w:w="138"/>
        <w:gridCol w:w="255"/>
        <w:gridCol w:w="256"/>
        <w:gridCol w:w="472"/>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As-Reported</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Organic</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4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Consolidated net sales increased by $252.7 million, or 17.3%, for the six months ended June 30, 2026, as compared to the same period in 2025, including a favorable foreign currency translation impact of $48.5 million. Excluding foreign currency translation effects, consolidated net sales for the six months ended June 30, 2026 increased by $204.2 million, or 13.9%, as compared to the same period in 2025. Volume and mix and sales price increases contributed $149.7 million and $54.5 million, respectively, of growth in the six months ended June 30, 2026.</w:t>
      </w:r>
    </w:p>
    <w:p>
      <w:pPr>
        <w:pStyle w:val="TextBody"/>
        <w:bidi w:val="0"/>
        <w:spacing w:lineRule="auto" w:line="288" w:before="0" w:after="120"/>
        <w:jc w:val="left"/>
        <w:rPr/>
      </w:pPr>
      <w:r>
        <w:rPr>
          <w:rFonts w:ascii="Times New Roman;serif" w:hAnsi="Times New Roman;serif"/>
          <w:b/>
          <w:color w:val="000000"/>
          <w:sz w:val="20"/>
        </w:rPr>
        <w:t>Proprietary Products –</w:t>
      </w:r>
      <w:r>
        <w:rPr>
          <w:color w:val="000000"/>
        </w:rPr>
        <w:t xml:space="preserve"> </w:t>
      </w:r>
      <w:r>
        <w:rPr>
          <w:rFonts w:ascii="Times New Roman;serif" w:hAnsi="Times New Roman;serif"/>
          <w:b w:val="false"/>
          <w:color w:val="000000"/>
          <w:sz w:val="20"/>
        </w:rPr>
        <w:t>Proprietary Products net sales increased by $234.1 million, or 19.8%, for the six months ended June 30, 2026, as compared to the same period in 2025, including a favorable foreign currency translation impact of $39.5 million. Excluding foreign currency translation effects, net sales for the six months ended June 30, 2026 increased by $194.6 million, or 16.5%, as compared to the same period in 2025. Sales of HVP components increased $136.9 million, or 20.4%, excluding foreign currency translation effects. The increase in HVP components sales was driven by continued strong customer demand for Biologics products and GLP-1 products as well as sales price increases. Sales of HVP delivery devices increased $55.8 million, or 28.3%, excluding foreign currency translation effects. The increase in HVP delivery devices was driven by higher market demand for self-injection devices and sales price increases. Sales of Standard Products increased by $1.9 million, or 0.6%, excluding foreign currency translation adjustments.</w:t>
      </w:r>
    </w:p>
    <w:p>
      <w:pPr>
        <w:pStyle w:val="TextBody"/>
        <w:bidi w:val="0"/>
        <w:spacing w:lineRule="auto" w:line="288" w:before="0" w:after="120"/>
        <w:jc w:val="left"/>
        <w:rPr/>
      </w:pPr>
      <w:r>
        <w:rPr>
          <w:rFonts w:ascii="Times New Roman;serif" w:hAnsi="Times New Roman;serif"/>
          <w:b/>
          <w:color w:val="000000"/>
          <w:sz w:val="20"/>
        </w:rPr>
        <w:t>West Vantage –</w:t>
      </w:r>
      <w:r>
        <w:rPr>
          <w:color w:val="000000"/>
        </w:rPr>
        <w:t xml:space="preserve"> </w:t>
      </w:r>
      <w:r>
        <w:rPr>
          <w:rFonts w:ascii="Times New Roman;serif" w:hAnsi="Times New Roman;serif"/>
          <w:b w:val="false"/>
          <w:color w:val="000000"/>
          <w:sz w:val="20"/>
        </w:rPr>
        <w:t>West Vantage net sales increased by $18.6 million, or 6.6%, for the six months ended June 30, 2026, as compared to the same period in 2025, including a favorable foreign currency translation impact of $9.0 million. Excluding foreign currency translation effects, net sales for the six months ended June 30, 2026 increased by $9.6 million, or 3.4%, as compared to the same period in 2025. The increase was driven by sales price increases, partially offset by our revenue growth being negatively impacted by approximately $7 million from production downtime associated with the Company’s May 2026 cyber incident.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profit and related gross profit margins, consolidated and by reportable segment:</w:t>
      </w:r>
    </w:p>
    <w:tbl>
      <w:tblPr>
        <w:tblW w:w="8207" w:type="dxa"/>
        <w:jc w:val="left"/>
        <w:tblInd w:w="0" w:type="dxa"/>
        <w:tblLayout w:type="fixed"/>
        <w:tblCellMar>
          <w:top w:w="28" w:type="dxa"/>
          <w:left w:w="28" w:type="dxa"/>
          <w:bottom w:w="28" w:type="dxa"/>
          <w:right w:w="28" w:type="dxa"/>
        </w:tblCellMar>
      </w:tblPr>
      <w:tblGrid>
        <w:gridCol w:w="1009"/>
        <w:gridCol w:w="887"/>
        <w:gridCol w:w="893"/>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gross profit margin</w:t>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3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pPr>
      <w:r>
        <w:rPr>
          <w:rFonts w:ascii="Times New Roman;serif" w:hAnsi="Times New Roman;serif"/>
          <w:b/>
          <w:color w:val="000000"/>
          <w:sz w:val="20"/>
        </w:rPr>
        <w:t xml:space="preserve">Consolidated - </w:t>
      </w:r>
      <w:r>
        <w:rPr>
          <w:rFonts w:ascii="Times New Roman;serif" w:hAnsi="Times New Roman;serif"/>
          <w:b w:val="false"/>
          <w:color w:val="000000"/>
          <w:sz w:val="20"/>
        </w:rPr>
        <w:t>Consolidated gross profit increased by $55.3 million, or 20.2%, for the three months ended June 30, 2026, as compared to the same period in 2025, including a favorable foreign currency translation impact of $2.9 million for the three months ended June 30, 2026, as compared to the same period in 2025. Consolidated gross profit margin increased by 2.0 percentage points for the three months ended June 30, 2026, as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Consolidated gross profit increased by $119.8 million, or 23.7%, for the six months ended June 30, 2026, as compared to the same period in 2025, including a favorable foreign currency translation impact of $19.1 million for the six months ended June 30, 2026, as compared to the same period in 2025. Consolidated gross profit margin increased by 1.9 percentage points for the six months ended June 30, 2026, as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Proprietary Products - </w:t>
      </w:r>
      <w:r>
        <w:rPr>
          <w:rFonts w:ascii="Times New Roman;serif" w:hAnsi="Times New Roman;serif"/>
          <w:b w:val="false"/>
          <w:color w:val="000000"/>
          <w:sz w:val="20"/>
        </w:rPr>
        <w:t>Proprietary Products gross profit increased by $59.7 million, or 24.0%, for the three months ended June 30, 2026, as compared to the same period in 2025, including a favorable foreign currency translation impact of $2.8 million</w:t>
      </w:r>
      <w:r>
        <w:rPr>
          <w:rFonts w:ascii="Times New Roman;serif" w:hAnsi="Times New Roman;serif"/>
          <w:b w:val="false"/>
          <w:color w:val="000000"/>
          <w:sz w:val="20"/>
          <w:shd w:fill="FFFFFF" w:val="clear"/>
        </w:rPr>
        <w:t xml:space="preserve">. Proprietary Products gross profit margin increased by 2.5 </w:t>
      </w:r>
      <w:r>
        <w:rPr>
          <w:rFonts w:ascii="Times New Roman;serif" w:hAnsi="Times New Roman;serif"/>
          <w:b w:val="false"/>
          <w:color w:val="000000"/>
          <w:sz w:val="20"/>
        </w:rPr>
        <w:t>percentage</w:t>
      </w:r>
      <w:r>
        <w:rPr>
          <w:color w:val="000000"/>
          <w:shd w:fill="FFFFFF" w:val="clear"/>
        </w:rPr>
        <w:t xml:space="preserve"> </w:t>
      </w:r>
      <w:r>
        <w:rPr>
          <w:rFonts w:ascii="Times New Roman;serif" w:hAnsi="Times New Roman;serif"/>
          <w:b w:val="false"/>
          <w:color w:val="000000"/>
          <w:sz w:val="20"/>
          <w:shd w:fill="FFFFFF" w:val="clear"/>
        </w:rPr>
        <w:t xml:space="preserve">points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2026, as compared to the same periods in 2025, </w:t>
      </w:r>
      <w:r>
        <w:rPr>
          <w:rFonts w:ascii="Times New Roman;serif" w:hAnsi="Times New Roman;serif"/>
          <w:b w:val="false"/>
          <w:color w:val="000000"/>
          <w:sz w:val="20"/>
        </w:rPr>
        <w:t>due primaril</w:t>
      </w:r>
      <w:r>
        <w:rPr>
          <w:rFonts w:ascii="Times New Roman;serif" w:hAnsi="Times New Roman;serif"/>
          <w:b w:val="false"/>
          <w:color w:val="000000"/>
          <w:sz w:val="20"/>
          <w:shd w:fill="FFFFFF" w:val="clear"/>
        </w:rPr>
        <w:t>y to favorable sales mix of HVP components, including GLP-1 products, as well as sales price increases. These were partially offset by inflationary pressures and plant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val="false"/>
          <w:color w:val="000000"/>
          <w:sz w:val="20"/>
        </w:rPr>
        <w:t>Proprietary Products gross profit increased by $122.6 million, or 26.7%, for the six months ended June 30, 2026, as compared to the same period in 2025, including a favorable foreign currency translation impact of $17.7 million</w:t>
      </w:r>
      <w:r>
        <w:rPr>
          <w:rFonts w:ascii="Times New Roman;serif" w:hAnsi="Times New Roman;serif"/>
          <w:b w:val="false"/>
          <w:color w:val="000000"/>
          <w:sz w:val="20"/>
          <w:shd w:fill="FFFFFF" w:val="clear"/>
        </w:rPr>
        <w:t xml:space="preserve">. Proprietary Products gross profit margin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2.2</w:t>
      </w:r>
      <w:r>
        <w:rPr>
          <w:color w:val="000000"/>
          <w:shd w:fill="FFFFFF" w:val="clear"/>
        </w:rPr>
        <w:t xml:space="preserve"> </w:t>
      </w:r>
      <w:r>
        <w:rPr>
          <w:rFonts w:ascii="Times New Roman;serif" w:hAnsi="Times New Roman;serif"/>
          <w:b w:val="false"/>
          <w:color w:val="000000"/>
          <w:sz w:val="20"/>
          <w:shd w:fill="FFFFFF" w:val="clear"/>
        </w:rPr>
        <w:t xml:space="preserve">percentage points for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June 30, 2026, as compared to the same periods in 2025,</w:t>
      </w:r>
      <w:r>
        <w:rPr>
          <w:color w:val="000000"/>
        </w:rPr>
        <w:t xml:space="preserve"> </w:t>
      </w:r>
      <w:r>
        <w:rPr>
          <w:rFonts w:ascii="Times New Roman;serif" w:hAnsi="Times New Roman;serif"/>
          <w:b w:val="false"/>
          <w:color w:val="000000"/>
          <w:sz w:val="20"/>
        </w:rPr>
        <w:t>due primaril</w:t>
      </w:r>
      <w:r>
        <w:rPr>
          <w:rFonts w:ascii="Times New Roman;serif" w:hAnsi="Times New Roman;serif"/>
          <w:b w:val="false"/>
          <w:color w:val="000000"/>
          <w:sz w:val="20"/>
          <w:shd w:fill="FFFFFF" w:val="clear"/>
        </w:rPr>
        <w:t>y to favorable sales mix of HVP, including GLP-1 products, and sales price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West Vantage - </w:t>
      </w:r>
      <w:r>
        <w:rPr>
          <w:rFonts w:ascii="Times New Roman;serif" w:hAnsi="Times New Roman;serif"/>
          <w:b w:val="false"/>
          <w:color w:val="000000"/>
          <w:sz w:val="20"/>
        </w:rPr>
        <w:t>West Vantage gross profit decreased by $4.4 million, or 17.2%, for the three months ended June 30, 2026</w:t>
      </w:r>
      <w:r>
        <w:rPr>
          <w:rFonts w:ascii="Times New Roman;serif" w:hAnsi="Times New Roman;serif"/>
          <w:b w:val="false"/>
          <w:color w:val="000000"/>
          <w:sz w:val="20"/>
          <w:shd w:fill="FFFFFF" w:val="clear"/>
        </w:rPr>
        <w:t xml:space="preserve">, as compared to the same period in 2025, including a </w:t>
      </w:r>
      <w:r>
        <w:rPr>
          <w:rFonts w:ascii="Times New Roman;serif" w:hAnsi="Times New Roman;serif"/>
          <w:b w:val="false"/>
          <w:color w:val="000000"/>
          <w:sz w:val="20"/>
        </w:rPr>
        <w:t>favorable f</w:t>
      </w:r>
      <w:r>
        <w:rPr>
          <w:rFonts w:ascii="Times New Roman;serif" w:hAnsi="Times New Roman;serif"/>
          <w:b w:val="false"/>
          <w:color w:val="000000"/>
          <w:sz w:val="20"/>
          <w:shd w:fill="FFFFFF" w:val="clear"/>
        </w:rPr>
        <w:t xml:space="preserve">oreign currency translation impact of $0.1 million. West Vantage gross profit margin decreased by 3.3 percentage points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2026, as compared to the same period in 2025, </w:t>
      </w:r>
      <w:r>
        <w:rPr>
          <w:rFonts w:ascii="Times New Roman;serif" w:hAnsi="Times New Roman;serif"/>
          <w:b w:val="false"/>
          <w:color w:val="000000"/>
          <w:sz w:val="20"/>
        </w:rPr>
        <w:t>due to inefficiencies associated with production downtime related to the Company’s May 2026 cyber incident, as well as inflationary pressures on our plant spend, partially offset by sales price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val="false"/>
          <w:color w:val="000000"/>
          <w:sz w:val="20"/>
        </w:rPr>
        <w:t>West Vantage gross profit decreased by $2.8 million, or 5.9%, for the six months ended June 30, 2026</w:t>
      </w:r>
      <w:r>
        <w:rPr>
          <w:rFonts w:ascii="Times New Roman;serif" w:hAnsi="Times New Roman;serif"/>
          <w:b w:val="false"/>
          <w:color w:val="000000"/>
          <w:sz w:val="20"/>
          <w:shd w:fill="FFFFFF" w:val="clear"/>
        </w:rPr>
        <w:t>, as compared to the same period in 2025, including a</w:t>
      </w:r>
      <w:r>
        <w:rPr>
          <w:color w:val="000000"/>
        </w:rPr>
        <w:t xml:space="preserve"> </w:t>
      </w:r>
      <w:r>
        <w:rPr>
          <w:rFonts w:ascii="Times New Roman;serif" w:hAnsi="Times New Roman;serif"/>
          <w:b w:val="false"/>
          <w:color w:val="000000"/>
          <w:sz w:val="20"/>
        </w:rPr>
        <w:t>favorable fo</w:t>
      </w:r>
      <w:r>
        <w:rPr>
          <w:rFonts w:ascii="Times New Roman;serif" w:hAnsi="Times New Roman;serif"/>
          <w:b w:val="false"/>
          <w:color w:val="000000"/>
          <w:sz w:val="20"/>
          <w:shd w:fill="FFFFFF" w:val="clear"/>
        </w:rPr>
        <w:t>reign currency translation impact of $1.4 million. West Vantage g</w:t>
      </w:r>
      <w:r>
        <w:rPr>
          <w:rFonts w:ascii="Times New Roman;serif" w:hAnsi="Times New Roman;serif"/>
          <w:b w:val="false"/>
          <w:color w:val="000000"/>
          <w:sz w:val="20"/>
        </w:rPr>
        <w:t>ross profit margin decreased by 2.0 percentage points for the six months ended June 30, 2026, as compared to the same period in 2025, due to inefficiencies associated with production downtime related to the Company’s May 2026 cyber incident, as well as inflationary pressures on our plant spend, partially offset by sales price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Research and Development (“R&amp;D”) Costs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consolidated R&amp;D costs:</w:t>
      </w:r>
    </w:p>
    <w:tbl>
      <w:tblPr>
        <w:tblW w:w="6480" w:type="dxa"/>
        <w:jc w:val="left"/>
        <w:tblInd w:w="0" w:type="dxa"/>
        <w:tblLayout w:type="fixed"/>
        <w:tblCellMar>
          <w:top w:w="28" w:type="dxa"/>
          <w:left w:w="28" w:type="dxa"/>
          <w:bottom w:w="28" w:type="dxa"/>
          <w:right w:w="28" w:type="dxa"/>
        </w:tblCellMar>
      </w:tblPr>
      <w:tblGrid>
        <w:gridCol w:w="771"/>
        <w:gridCol w:w="677"/>
        <w:gridCol w:w="682"/>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R&amp;D costs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20"/>
        </w:rPr>
        <w:t xml:space="preserve">Consolidated R&amp;D costs increased by $0.6 million, </w:t>
      </w:r>
      <w:r>
        <w:rPr>
          <w:rFonts w:ascii="Times New Roman;serif" w:hAnsi="Times New Roman;serif"/>
          <w:b w:val="false"/>
          <w:color w:val="000000"/>
          <w:sz w:val="20"/>
          <w:shd w:fill="FFFFFF" w:val="clear"/>
        </w:rPr>
        <w:t xml:space="preserve">or 3.1%, and </w:t>
      </w:r>
      <w:r>
        <w:rPr>
          <w:rFonts w:ascii="Times New Roman;serif" w:hAnsi="Times New Roman;serif"/>
          <w:b w:val="false"/>
          <w:color w:val="000000"/>
          <w:sz w:val="20"/>
        </w:rPr>
        <w:t xml:space="preserve">$0.1 million, or 0.3%, </w:t>
      </w:r>
      <w:r>
        <w:rPr>
          <w:rFonts w:ascii="Times New Roman;serif" w:hAnsi="Times New Roman;serif"/>
          <w:b w:val="false"/>
          <w:color w:val="000000"/>
          <w:sz w:val="20"/>
          <w:shd w:fill="FFFFFF" w:val="clear"/>
        </w:rPr>
        <w:t xml:space="preserve">for the three and six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respectively, as compared to the three and six months ended June 30, 2025</w:t>
      </w:r>
      <w:r>
        <w:rPr>
          <w:rFonts w:ascii="Times New Roman;serif" w:hAnsi="Times New Roman;serif"/>
          <w:b w:val="false"/>
          <w:color w:val="000000"/>
          <w:sz w:val="20"/>
        </w:rPr>
        <w:t>. The increase in R&amp;D spend is associated with our investment in (1) primary injectables in elastomeric components, formulation development &amp; packaging and (2) drug containment systems, self-injection systems, and drug administration consumables.</w:t>
      </w:r>
    </w:p>
    <w:p>
      <w:pPr>
        <w:pStyle w:val="TextBody"/>
        <w:bidi w:val="0"/>
        <w:spacing w:lineRule="auto" w:line="288" w:before="0" w:after="120"/>
        <w:jc w:val="left"/>
        <w:rPr/>
      </w:pPr>
      <w:r>
        <w:rPr>
          <w:rFonts w:ascii="Times New Roman;serif" w:hAnsi="Times New Roman;serif"/>
          <w:b w:val="false"/>
          <w:color w:val="000000"/>
          <w:sz w:val="20"/>
        </w:rPr>
        <w:t xml:space="preserve">All of the R&amp;D costs incurred in the </w:t>
      </w:r>
      <w:r>
        <w:rPr>
          <w:rFonts w:ascii="Times New Roman;serif" w:hAnsi="Times New Roman;serif"/>
          <w:b w:val="false"/>
          <w:color w:val="000000"/>
          <w:sz w:val="20"/>
          <w:shd w:fill="FFFFFF" w:val="clear"/>
        </w:rPr>
        <w:t xml:space="preserve">three and six months ended </w:t>
      </w:r>
      <w:r>
        <w:rPr>
          <w:rFonts w:ascii="Times New Roman;serif" w:hAnsi="Times New Roman;serif"/>
          <w:b w:val="false"/>
          <w:color w:val="000000"/>
          <w:sz w:val="20"/>
        </w:rPr>
        <w:t xml:space="preserve">June 30, 2026 and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related to Proprietary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Selling, General and Administrative (“SG&amp;A”) Costs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SG&amp;A costs, consolidated and by reportable segment and corporate and unallocated items:</w:t>
      </w:r>
    </w:p>
    <w:tbl>
      <w:tblPr>
        <w:tblW w:w="8072" w:type="dxa"/>
        <w:jc w:val="left"/>
        <w:tblInd w:w="0" w:type="dxa"/>
        <w:tblLayout w:type="fixed"/>
        <w:tblCellMar>
          <w:top w:w="28" w:type="dxa"/>
          <w:left w:w="28" w:type="dxa"/>
          <w:bottom w:w="28" w:type="dxa"/>
          <w:right w:w="28" w:type="dxa"/>
        </w:tblCellMar>
      </w:tblPr>
      <w:tblGrid>
        <w:gridCol w:w="998"/>
        <w:gridCol w:w="877"/>
        <w:gridCol w:w="884"/>
        <w:gridCol w:w="211"/>
        <w:gridCol w:w="616"/>
        <w:gridCol w:w="271"/>
        <w:gridCol w:w="109"/>
        <w:gridCol w:w="109"/>
        <w:gridCol w:w="109"/>
        <w:gridCol w:w="211"/>
        <w:gridCol w:w="511"/>
        <w:gridCol w:w="271"/>
        <w:gridCol w:w="109"/>
        <w:gridCol w:w="109"/>
        <w:gridCol w:w="109"/>
        <w:gridCol w:w="211"/>
        <w:gridCol w:w="616"/>
        <w:gridCol w:w="271"/>
        <w:gridCol w:w="109"/>
        <w:gridCol w:w="109"/>
        <w:gridCol w:w="109"/>
        <w:gridCol w:w="211"/>
        <w:gridCol w:w="616"/>
        <w:gridCol w:w="316"/>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SG&amp;A costs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as a % of net sales</w:t>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pPr>
      <w:r>
        <w:rPr>
          <w:rFonts w:ascii="Times New Roman;serif" w:hAnsi="Times New Roman;serif"/>
          <w:b/>
          <w:color w:val="000000"/>
          <w:sz w:val="20"/>
        </w:rPr>
        <w:t>Consolidated</w:t>
      </w:r>
      <w:r>
        <w:rPr>
          <w:color w:val="000000"/>
        </w:rPr>
        <w:t xml:space="preserve"> </w:t>
      </w:r>
      <w:r>
        <w:rPr>
          <w:rFonts w:ascii="Times New Roman;serif" w:hAnsi="Times New Roman;serif"/>
          <w:b w:val="false"/>
          <w:color w:val="000000"/>
          <w:sz w:val="20"/>
        </w:rPr>
        <w:t>- Consolidated SG&amp;A costs increased by $21.7 million, or 22.6%</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June 30, 2026, as compared to the same period in 2025,</w:t>
      </w:r>
      <w:r>
        <w:rPr>
          <w:color w:val="000000"/>
        </w:rPr>
        <w:t xml:space="preserve"> </w:t>
      </w:r>
      <w:r>
        <w:rPr>
          <w:rFonts w:ascii="Times New Roman;serif" w:hAnsi="Times New Roman;serif"/>
          <w:b w:val="false"/>
          <w:color w:val="000000"/>
          <w:sz w:val="20"/>
        </w:rPr>
        <w:t xml:space="preserve">including an unfavorable foreign currency translation impact of </w:t>
      </w:r>
      <w:r>
        <w:rPr>
          <w:rFonts w:ascii="Times New Roman;serif" w:hAnsi="Times New Roman;serif"/>
          <w:b w:val="false"/>
          <w:color w:val="000000"/>
          <w:sz w:val="20"/>
          <w:shd w:fill="FFFFFF" w:val="clear"/>
        </w:rPr>
        <w:t>$0.6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val="false"/>
          <w:color w:val="000000"/>
          <w:sz w:val="20"/>
        </w:rPr>
        <w:t>Consolidated SG&amp;A costs increased by $33.2 million, or 18.1%</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shd w:fill="FFFFFF" w:val="clear"/>
        </w:rPr>
        <w:t>June 30, 2026, as compared to the same period in 2025,</w:t>
      </w:r>
      <w:r>
        <w:rPr>
          <w:color w:val="000000"/>
        </w:rPr>
        <w:t xml:space="preserve"> </w:t>
      </w:r>
      <w:r>
        <w:rPr>
          <w:rFonts w:ascii="Times New Roman;serif" w:hAnsi="Times New Roman;serif"/>
          <w:b w:val="false"/>
          <w:color w:val="000000"/>
          <w:sz w:val="20"/>
        </w:rPr>
        <w:t xml:space="preserve">including an unfavorable foreign currency translation impact of </w:t>
      </w:r>
      <w:r>
        <w:rPr>
          <w:rFonts w:ascii="Times New Roman;serif" w:hAnsi="Times New Roman;serif"/>
          <w:b w:val="false"/>
          <w:color w:val="000000"/>
          <w:sz w:val="20"/>
          <w:shd w:fill="FFFFFF" w:val="clear"/>
        </w:rPr>
        <w:t>$2.8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shd w:fill="FFFFFF" w:val="clear"/>
        </w:rPr>
        <w:t xml:space="preserve">Proprietary Products - </w:t>
      </w:r>
      <w:r>
        <w:rPr>
          <w:rFonts w:ascii="Times New Roman;serif" w:hAnsi="Times New Roman;serif"/>
          <w:b w:val="false"/>
          <w:color w:val="000000"/>
          <w:sz w:val="20"/>
          <w:shd w:fill="FFFFFF" w:val="clear"/>
        </w:rPr>
        <w:t xml:space="preserve">Proprietary Products SG&amp;A costs increased by </w:t>
      </w:r>
      <w:r>
        <w:rPr>
          <w:rFonts w:ascii="Times New Roman;serif" w:hAnsi="Times New Roman;serif"/>
          <w:b w:val="false"/>
          <w:color w:val="000000"/>
          <w:sz w:val="20"/>
        </w:rPr>
        <w:t>$8.0 million</w:t>
      </w:r>
      <w:r>
        <w:rPr>
          <w:rFonts w:ascii="Times New Roman;serif" w:hAnsi="Times New Roman;serif"/>
          <w:b w:val="false"/>
          <w:color w:val="000000"/>
          <w:sz w:val="20"/>
          <w:shd w:fill="FFFFFF" w:val="clear"/>
        </w:rPr>
        <w:t xml:space="preserve">, or 13.0%,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2026, as compared to the same period in 2025, </w:t>
      </w:r>
      <w:r>
        <w:rPr>
          <w:rFonts w:ascii="Times New Roman;serif" w:hAnsi="Times New Roman;serif"/>
          <w:b w:val="false"/>
          <w:color w:val="000000"/>
          <w:sz w:val="20"/>
        </w:rPr>
        <w:t xml:space="preserve">including an unfavorable foreign currency translation impact of </w:t>
      </w:r>
      <w:r>
        <w:rPr>
          <w:rFonts w:ascii="Times New Roman;serif" w:hAnsi="Times New Roman;serif"/>
          <w:b w:val="false"/>
          <w:color w:val="000000"/>
          <w:sz w:val="20"/>
          <w:shd w:fill="FFFFFF" w:val="clear"/>
        </w:rPr>
        <w:t>$0.6 million</w:t>
      </w:r>
      <w:r>
        <w:rPr>
          <w:rFonts w:ascii="Times New Roman;serif" w:hAnsi="Times New Roman;serif"/>
          <w:b w:val="false"/>
          <w:color w:val="000000"/>
          <w:sz w:val="20"/>
        </w:rPr>
        <w:t xml:space="preserve">, due primarily to increased salary and wages due to headcount increases and annual inflationary increases, higher annual incentive compensation from a higher projected incentive payout compared to the same period in 2025 and increased software license and IT costs, which contributed approximately 7%, 4% and 2%, respectively, of the SG&amp;A cost increases.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Proprietary Products SG&amp;A costs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$12.7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10.4%</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2026, as compared </w:t>
      </w:r>
      <w:r>
        <w:rPr>
          <w:rFonts w:ascii="Times New Roman;serif" w:hAnsi="Times New Roman;serif"/>
          <w:b w:val="false"/>
          <w:color w:val="000000"/>
          <w:sz w:val="20"/>
        </w:rPr>
        <w:t>to the same period in 2025, including an unfavorable foreign currency translation impact of $2.6 million. Proprietary Products SG&amp;A costs increased due primarily to increased salary and wages due to headcount increases and annual inflationary increases and higher annual incentive compensation from a higher projected incentive payout compared to the same period in 2025, which contributed approximately 6% and 3%, respectively, of the SG&amp;A cost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shd w:fill="FFFFFF" w:val="clear"/>
        </w:rPr>
        <w:t xml:space="preserve">West Vantage - </w:t>
      </w:r>
      <w:r>
        <w:rPr>
          <w:rFonts w:ascii="Times New Roman;serif" w:hAnsi="Times New Roman;serif"/>
          <w:b w:val="false"/>
          <w:color w:val="000000"/>
          <w:sz w:val="20"/>
          <w:shd w:fill="FFFFFF" w:val="clear"/>
        </w:rPr>
        <w:t xml:space="preserve">West Vantage SG&amp;A costs increased by </w:t>
      </w:r>
      <w:r>
        <w:rPr>
          <w:rFonts w:ascii="Times New Roman;serif" w:hAnsi="Times New Roman;serif"/>
          <w:b w:val="false"/>
          <w:color w:val="000000"/>
          <w:sz w:val="20"/>
        </w:rPr>
        <w:t>$1.3 million</w:t>
      </w:r>
      <w:r>
        <w:rPr>
          <w:rFonts w:ascii="Times New Roman;serif" w:hAnsi="Times New Roman;serif"/>
          <w:b w:val="false"/>
          <w:color w:val="000000"/>
          <w:sz w:val="20"/>
          <w:shd w:fill="FFFFFF" w:val="clear"/>
        </w:rPr>
        <w:t xml:space="preserve">, or 18.6%,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2026, as compared to the same period in 2025, </w:t>
      </w:r>
      <w:r>
        <w:rPr>
          <w:rFonts w:ascii="Times New Roman;serif" w:hAnsi="Times New Roman;serif"/>
          <w:b w:val="false"/>
          <w:color w:val="000000"/>
          <w:sz w:val="20"/>
        </w:rPr>
        <w:t>including an unfavorable foreign currency translation impact of less than $0.1 million, due primarily to higher annual incentive compensation from a higher projected incentive payout compared to the same period in 2025, increased charges related to computer hardware and increased salary and wages due to annual inflationary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West Vantage SG&amp;A costs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$1.5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10.3%</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2026, as </w:t>
      </w:r>
      <w:r>
        <w:rPr>
          <w:rFonts w:ascii="Times New Roman;serif" w:hAnsi="Times New Roman;serif"/>
          <w:b w:val="false"/>
          <w:color w:val="000000"/>
          <w:sz w:val="20"/>
        </w:rPr>
        <w:t>compared to the same period in 2025, including an unfavorable foreign currency translation impact of $0.2 million, due primarily to higher annual incentive compensation from a higher projected incentive payout compared to the same period in 2025 and increased salary and wages due to annual inflationary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shd w:fill="FFFFFF" w:val="clear"/>
        </w:rPr>
        <w:t xml:space="preserve">Corporate and unallocated items - </w:t>
      </w:r>
      <w:r>
        <w:rPr>
          <w:rFonts w:ascii="Times New Roman;serif" w:hAnsi="Times New Roman;serif"/>
          <w:b w:val="false"/>
          <w:color w:val="000000"/>
          <w:sz w:val="20"/>
          <w:shd w:fill="FFFFFF" w:val="clear"/>
        </w:rPr>
        <w:t xml:space="preserve">Corporate and unallocated SG&amp;A costs increased by </w:t>
      </w:r>
      <w:r>
        <w:rPr>
          <w:rFonts w:ascii="Times New Roman;serif" w:hAnsi="Times New Roman;serif"/>
          <w:b w:val="false"/>
          <w:color w:val="000000"/>
          <w:sz w:val="20"/>
        </w:rPr>
        <w:t>$12.4 million</w:t>
      </w:r>
      <w:r>
        <w:rPr>
          <w:rFonts w:ascii="Times New Roman;serif" w:hAnsi="Times New Roman;serif"/>
          <w:b w:val="false"/>
          <w:color w:val="000000"/>
          <w:sz w:val="20"/>
          <w:shd w:fill="FFFFFF" w:val="clear"/>
        </w:rPr>
        <w:t xml:space="preserve">, or 45.3%,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2026, as </w:t>
      </w:r>
      <w:r>
        <w:rPr>
          <w:rFonts w:ascii="Times New Roman;serif" w:hAnsi="Times New Roman;serif"/>
          <w:b w:val="false"/>
          <w:color w:val="000000"/>
          <w:sz w:val="20"/>
        </w:rPr>
        <w:t>compared to the same period in 2025. During the 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2026, the Company recorded expense within SG&amp;A on the following unallocated items: (i) expense of </w:t>
      </w:r>
      <w:r>
        <w:rPr>
          <w:rFonts w:ascii="Times New Roman;serif" w:hAnsi="Times New Roman;serif"/>
          <w:b w:val="false"/>
          <w:color w:val="000000"/>
          <w:sz w:val="20"/>
        </w:rPr>
        <w:t xml:space="preserve">$6.9 million related to nonrecurring professional fees associated with various items including certain legal matters and our cybersecurity incident from May 2026 and (ii) expense of $5.1 million relating to professional services in connection with the Company's agreement to sell its SmartDose® 3.5mL On-Body Delivery System and other M&amp;A activities, which were not recorded during the same period in </w:t>
      </w:r>
      <w:r>
        <w:rPr>
          <w:rFonts w:ascii="Times New Roman;serif" w:hAnsi="Times New Roman;serif"/>
          <w:b w:val="false"/>
          <w:color w:val="000000"/>
          <w:sz w:val="20"/>
          <w:shd w:fill="FFFFFF" w:val="clear"/>
        </w:rPr>
        <w:t xml:space="preserve">2025. Additionally, the Company recorded additional charges related to stock-based compensation in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June 30, 2026, as compared to the same period in 2025, of approximately $3.5 million related to improved financial performance metrics and increased mark to market charges. See the Financial Performance Summary section above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Corporate and unallocated SG&amp;A costs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$19.0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40.0%</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shd w:fill="FFFFFF" w:val="clear"/>
        </w:rPr>
        <w:t>June 30, 2026, as compared to the same period in 2025. During</w:t>
      </w:r>
      <w:r>
        <w:rPr>
          <w:color w:val="000000"/>
        </w:rPr>
        <w:t xml:space="preserve"> </w:t>
      </w:r>
      <w:r>
        <w:rPr>
          <w:rFonts w:ascii="Times New Roman;serif" w:hAnsi="Times New Roman;serif"/>
          <w:b w:val="false"/>
          <w:color w:val="000000"/>
          <w:sz w:val="20"/>
        </w:rPr>
        <w:t>the 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2026, the Company recorded expense within SG&amp;A on the following unallocated items: (i) expense of </w:t>
      </w:r>
      <w:r>
        <w:rPr>
          <w:rFonts w:ascii="Times New Roman;serif" w:hAnsi="Times New Roman;serif"/>
          <w:b w:val="false"/>
          <w:color w:val="000000"/>
          <w:sz w:val="20"/>
        </w:rPr>
        <w:t xml:space="preserve">$7.5 million related to nonrecurring professional fees associated with various items including certain legal matters and our cybersecurity incident from May 2026 and (ii) expense of $6.1 million relating to professional services in connection with the Company's agreement to sell its SmartDose® 3.5mL On-Body Delivery System and other M&amp;A activities, which were not recorded during the same period </w:t>
      </w:r>
      <w:r>
        <w:rPr>
          <w:rFonts w:ascii="Times New Roman;serif" w:hAnsi="Times New Roman;serif"/>
          <w:b w:val="false"/>
          <w:color w:val="000000"/>
          <w:sz w:val="20"/>
          <w:shd w:fill="FFFFFF" w:val="clear"/>
        </w:rPr>
        <w:t xml:space="preserve">2025. Additionally, the Company recorded additional charges related to stock-based compensation in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shd w:fill="FFFFFF" w:val="clear"/>
        </w:rPr>
        <w:t>June 30, 2026, as compared to the same period in 2025, of approximately $9 million related to improved financial performance metrics and increased mark to market charges. See the Financial Performance Summary section above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Other Expense (Income)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other income and expense items, consolidated and by reportable segment, corporate and unallocated items:</w:t>
      </w:r>
    </w:p>
    <w:tbl>
      <w:tblPr>
        <w:tblW w:w="7394" w:type="dxa"/>
        <w:jc w:val="left"/>
        <w:tblInd w:w="0" w:type="dxa"/>
        <w:tblLayout w:type="fixed"/>
        <w:tblCellMar>
          <w:top w:w="28" w:type="dxa"/>
          <w:left w:w="28" w:type="dxa"/>
          <w:bottom w:w="28" w:type="dxa"/>
          <w:right w:w="28" w:type="dxa"/>
        </w:tblCellMar>
      </w:tblPr>
      <w:tblGrid>
        <w:gridCol w:w="1142"/>
        <w:gridCol w:w="1001"/>
        <w:gridCol w:w="1006"/>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Expense (Income) </w:t>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expense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expense and income items consist of restructuring and related charges, foreign exchange transaction gains and losses, contingent consideration, gains and losses on oil hedges, asset impairments and miscellaneous income and charges.</w:t>
      </w:r>
    </w:p>
    <w:p>
      <w:pPr>
        <w:pStyle w:val="TextBody"/>
        <w:bidi w:val="0"/>
        <w:spacing w:lineRule="auto" w:line="288" w:before="0" w:after="120"/>
        <w:jc w:val="left"/>
        <w:rPr/>
      </w:pPr>
      <w:r>
        <w:rPr>
          <w:rFonts w:ascii="Times New Roman;serif" w:hAnsi="Times New Roman;serif"/>
          <w:b/>
          <w:color w:val="000000"/>
          <w:sz w:val="20"/>
          <w:shd w:fill="FFFFFF" w:val="clear"/>
        </w:rPr>
        <w:t>Consolidated</w:t>
      </w:r>
      <w:r>
        <w:rPr>
          <w:color w:val="000000"/>
          <w:shd w:fill="FFFFFF" w:val="clear"/>
        </w:rPr>
        <w:t xml:space="preserve"> </w:t>
      </w:r>
      <w:r>
        <w:rPr>
          <w:rFonts w:ascii="Times New Roman;serif" w:hAnsi="Times New Roman;serif"/>
          <w:b w:val="false"/>
          <w:color w:val="000000"/>
          <w:sz w:val="20"/>
          <w:shd w:fill="FFFFFF" w:val="clear"/>
        </w:rPr>
        <w:t xml:space="preserve">- Consolidated other expense (income) changed by $7.6 million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June 30, 2026, as compared to the same period in 2025</w:t>
      </w:r>
      <w:r>
        <w:rPr>
          <w:rFonts w:ascii="Times New Roman;serif" w:hAnsi="Times New Roman;serif"/>
          <w:b w:val="false"/>
          <w:color w:val="000000"/>
          <w:sz w:val="20"/>
        </w:rPr>
        <w:t>, due to the factors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val="false"/>
          <w:color w:val="000000"/>
          <w:sz w:val="20"/>
          <w:shd w:fill="FFFFFF" w:val="clear"/>
        </w:rPr>
        <w:t>Consolidated other expense (incom</w:t>
      </w:r>
      <w:r>
        <w:rPr>
          <w:rFonts w:ascii="Times New Roman;serif" w:hAnsi="Times New Roman;serif"/>
          <w:b w:val="false"/>
          <w:color w:val="000000"/>
          <w:sz w:val="20"/>
        </w:rPr>
        <w:t>e) changed by $9.0 million for the six months ended June 30, 2026, as compared to the same period in 2025, due to the factors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Proprietary Products -</w:t>
      </w:r>
      <w:r>
        <w:rPr>
          <w:color w:val="000000"/>
          <w:shd w:fill="FFFFFF" w:val="clear"/>
        </w:rPr>
        <w:t xml:space="preserve"> </w:t>
      </w:r>
      <w:r>
        <w:rPr>
          <w:rFonts w:ascii="Times New Roman;serif" w:hAnsi="Times New Roman;serif"/>
          <w:b w:val="false"/>
          <w:color w:val="000000"/>
          <w:sz w:val="20"/>
          <w:shd w:fill="FFFFFF" w:val="clear"/>
        </w:rPr>
        <w:t>Proprietary Products other expense (income)</w:t>
      </w:r>
      <w:r>
        <w:rPr>
          <w:color w:val="000000"/>
        </w:rPr>
        <w:t xml:space="preserve"> </w:t>
      </w:r>
      <w:r>
        <w:rPr>
          <w:rFonts w:ascii="Times New Roman;serif" w:hAnsi="Times New Roman;serif"/>
          <w:b w:val="false"/>
          <w:color w:val="000000"/>
          <w:sz w:val="20"/>
        </w:rPr>
        <w:t>changed by $0.9 million for the three months ended June 30, 2026, as compared to the same period in 2025, due primarily to increased contingent consideration expense and increased losses on oil hedges recorded in the three months ended June 30, 2026, as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pPr>
      <w:r>
        <w:rPr>
          <w:rFonts w:ascii="Times New Roman;serif" w:hAnsi="Times New Roman;serif"/>
          <w:b w:val="false"/>
          <w:color w:val="000000"/>
          <w:sz w:val="20"/>
          <w:shd w:fill="FFFFFF" w:val="clear"/>
        </w:rPr>
        <w:t>Proprietary Products other expense (income)</w:t>
      </w:r>
      <w:r>
        <w:rPr>
          <w:color w:val="000000"/>
        </w:rPr>
        <w:t xml:space="preserve"> </w:t>
      </w:r>
      <w:r>
        <w:rPr>
          <w:rFonts w:ascii="Times New Roman;serif" w:hAnsi="Times New Roman;serif"/>
          <w:b w:val="false"/>
          <w:color w:val="000000"/>
          <w:sz w:val="20"/>
        </w:rPr>
        <w:t>changed by $1.0 million for the six months ended June 30, 2026, as compared to the same period in 2025, due primarily to increased contingent consideration expense in the six months ended June 30, 2026, as compared to the same period in 2025, partially offset by gains on oil hedges being recorded in the six months ended June 30, 2026, as compared losses on oil hedges being recorded in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shd w:fill="FFFFFF" w:val="clear"/>
        </w:rPr>
        <w:t>West Vantage</w:t>
      </w:r>
      <w:r>
        <w:rPr>
          <w:color w:val="000000"/>
        </w:rPr>
        <w:t xml:space="preserve"> </w:t>
      </w:r>
      <w:r>
        <w:rPr>
          <w:rFonts w:ascii="Times New Roman;serif" w:hAnsi="Times New Roman;serif"/>
          <w:b/>
          <w:color w:val="000000"/>
          <w:sz w:val="20"/>
        </w:rPr>
        <w:t xml:space="preserve">- </w:t>
      </w:r>
      <w:r>
        <w:rPr>
          <w:rFonts w:ascii="Times New Roman;serif" w:hAnsi="Times New Roman;serif"/>
          <w:b w:val="false"/>
          <w:color w:val="000000"/>
          <w:sz w:val="20"/>
        </w:rPr>
        <w:t xml:space="preserve">West Vantage </w:t>
      </w:r>
      <w:r>
        <w:rPr>
          <w:rFonts w:ascii="Times New Roman;serif" w:hAnsi="Times New Roman;serif"/>
          <w:b w:val="false"/>
          <w:color w:val="000000"/>
          <w:sz w:val="20"/>
          <w:shd w:fill="FFFFFF" w:val="clear"/>
        </w:rPr>
        <w:t>other expense (income</w:t>
      </w:r>
      <w:r>
        <w:rPr>
          <w:rFonts w:ascii="Times New Roman;serif" w:hAnsi="Times New Roman;serif"/>
          <w:b w:val="false"/>
          <w:color w:val="000000"/>
          <w:sz w:val="20"/>
        </w:rPr>
        <w:t xml:space="preserve">) changed by $0.8 million for the three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as compared to the same period in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due primarily to foreign exchange gains being recorded in the three months ended June 30, 2026, as compared to foreign exchange losses being recorded in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West Vantage other expense (income) changed by $1.5 million for the six months ended June 30, 2026, as compared to the same period in 2025, due primarily to foreign exchange gains being recorded in the six months ended June 30, 2026, as compared to foreign exchange losses being recorded in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Corporate and unallocated items - </w:t>
      </w:r>
      <w:r>
        <w:rPr>
          <w:rFonts w:ascii="Times New Roman;serif" w:hAnsi="Times New Roman;serif"/>
          <w:b w:val="false"/>
          <w:color w:val="000000"/>
          <w:sz w:val="20"/>
        </w:rPr>
        <w:t xml:space="preserve">Corporate and unallocated items changed by $7.5 million for the three months ended June 30, 2026, as compared to the same period in 2025, due primarily to the Company recording restructuring and other charges of $2.3 million within the three months ended June 30, 2026, as compared to $0.2 million being recorded during the same period in 2025. The Company's 2026 restructuring and other charges within other expense (income) were (i) $1.0 million related to acceleration of depreciation and lease costs in connection with the Company's January 2025 restructuring plan and (ii) $1.3 million related to employee benefit costs in connection with the Company's agreement to sell its SmartDose® 3.5mL On-Body Delivery System and associated facilities to AbbVie. The Company's 2025 restructuring and other charges within other expense (income) were $0.2 million related to severance, acceleration of depreciation and lease costs in connection with the Company's January 2025 restructuring plan. Additionally, the Company recorded cost-method investment impairment charges of $3.5 million during the three months ended June 30, 2026 that did not occur in the same period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 changed by $8.5 million for the six months ended June 30, 2026, as compared to the same period in 2025, due primarily to the decrease of recorded restructuring and other charges within other expense. The Company's 2025 restructuring and other charges within other expense (income) were $16.6 million related to severance, acceleration of depreciation and lease costs in connection with the Company's January 2025 restructuring plan. The Company's 2026 restructuring and other charges within other expense (income) were (i) $1.9 million related to severance, acceleration of depreciation and lease costs in connection with the Company's January 2025 restructuring plan and (ii) $2.2 million related to employee benefit costs in connection with the Company's agreement to sell its SmartDose® 3.5mL On-Body Delivery System and associated facilities to AbbVie. The decrease in restructuring and other charges was partially offset by the Company recording cost-method investment impairment charges of $3.5 million during the six months ended June 30, 2026 that did not occur in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Operating Profit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adjusted operating profit, consolidated and by reportable segment, corporate and unallocated items:</w:t>
      </w:r>
    </w:p>
    <w:tbl>
      <w:tblPr>
        <w:tblW w:w="9302" w:type="dxa"/>
        <w:jc w:val="left"/>
        <w:tblInd w:w="0" w:type="dxa"/>
        <w:tblLayout w:type="fixed"/>
        <w:tblCellMar>
          <w:top w:w="28" w:type="dxa"/>
          <w:left w:w="28" w:type="dxa"/>
          <w:bottom w:w="28" w:type="dxa"/>
          <w:right w:w="28" w:type="dxa"/>
        </w:tblCellMar>
      </w:tblPr>
      <w:tblGrid>
        <w:gridCol w:w="1405"/>
        <w:gridCol w:w="1234"/>
        <w:gridCol w:w="1245"/>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40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profit margin</w:t>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1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consolidated operating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consolidated operating profit margin</w:t>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pPr>
      <w:r>
        <w:rPr>
          <w:rFonts w:ascii="Times New Roman;serif" w:hAnsi="Times New Roman;serif"/>
          <w:b/>
          <w:color w:val="000000"/>
          <w:sz w:val="20"/>
        </w:rPr>
        <w:t>Consolidated</w:t>
      </w:r>
      <w:r>
        <w:rPr>
          <w:color w:val="000000"/>
        </w:rPr>
        <w:t xml:space="preserve"> </w:t>
      </w:r>
      <w:r>
        <w:rPr>
          <w:rFonts w:ascii="Times New Roman;serif" w:hAnsi="Times New Roman;serif"/>
          <w:b w:val="false"/>
          <w:color w:val="000000"/>
          <w:sz w:val="20"/>
        </w:rPr>
        <w:t>- Consolidated operating profit increased by $25.4 million, or 16.5%, for the three months ended June 30, 2026, as compared to the same period in 2025, including a favorable foreign currency translation impact of $2.1 million for the three months ended June 30, 2026, as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Consolidated operating profit increased by $95.5 million, or 36.6%, for the six months ended June 30, 2026, as compared to the same period in 2025, including a favorable foreign currency translation impact of $15.5 million for the six months ended June 30, 2026, as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Proprietary Products - </w:t>
      </w:r>
      <w:r>
        <w:rPr>
          <w:rFonts w:ascii="Times New Roman;serif" w:hAnsi="Times New Roman;serif"/>
          <w:b w:val="false"/>
          <w:color w:val="000000"/>
          <w:sz w:val="20"/>
        </w:rPr>
        <w:t>Proprietary Products operating profit increased by $50.2 million, or 31.0%, for the three months ended June 30, 2026, as compared to the same period in 2025, including a favorable foreign currency translation impa</w:t>
      </w:r>
      <w:r>
        <w:rPr>
          <w:rFonts w:ascii="Times New Roman;serif" w:hAnsi="Times New Roman;serif"/>
          <w:b w:val="false"/>
          <w:color w:val="000000"/>
          <w:sz w:val="20"/>
          <w:shd w:fill="FFFFFF" w:val="clear"/>
        </w:rPr>
        <w:t xml:space="preserve">ct of </w:t>
      </w:r>
      <w:r>
        <w:rPr>
          <w:rFonts w:ascii="Times New Roman;serif" w:hAnsi="Times New Roman;serif"/>
          <w:b w:val="false"/>
          <w:color w:val="000000"/>
          <w:sz w:val="20"/>
        </w:rPr>
        <w:t>$2.0 million, due to the factors described above, most notably favorable sales mix of HVP components, including GLP-1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Proprietary Products operating profit increased by $108.8 million, or 37.2%, for the six months ended June 30, 2026, as compared to the same period in 2025, including a favorable foreign currency translation impact of $14.4 million, due to the factors described above, most notably favorable sales mix of HVP components, including GLP-1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West Vantage</w:t>
      </w:r>
      <w:r>
        <w:rPr>
          <w:color w:val="000000"/>
          <w:shd w:fill="FFFFFF" w:val="clear"/>
        </w:rPr>
        <w:t xml:space="preserve"> </w:t>
      </w:r>
      <w:r>
        <w:rPr>
          <w:rFonts w:ascii="Times New Roman;serif" w:hAnsi="Times New Roman;serif"/>
          <w:b/>
          <w:color w:val="000000"/>
          <w:sz w:val="20"/>
          <w:shd w:fill="FFFFFF" w:val="clear"/>
        </w:rPr>
        <w:t xml:space="preserve">- </w:t>
      </w:r>
      <w:r>
        <w:rPr>
          <w:rFonts w:ascii="Times New Roman;serif" w:hAnsi="Times New Roman;serif"/>
          <w:b w:val="false"/>
          <w:color w:val="000000"/>
          <w:sz w:val="20"/>
          <w:shd w:fill="FFFFFF" w:val="clear"/>
        </w:rPr>
        <w:t xml:space="preserve">West Vantage operating profit decreased by </w:t>
      </w:r>
      <w:r>
        <w:rPr>
          <w:rFonts w:ascii="Times New Roman;serif" w:hAnsi="Times New Roman;serif"/>
          <w:b w:val="false"/>
          <w:color w:val="000000"/>
          <w:sz w:val="20"/>
        </w:rPr>
        <w:t>$4.9 million</w:t>
      </w:r>
      <w:r>
        <w:rPr>
          <w:rFonts w:ascii="Times New Roman;serif" w:hAnsi="Times New Roman;serif"/>
          <w:b w:val="false"/>
          <w:color w:val="000000"/>
          <w:sz w:val="20"/>
          <w:shd w:fill="FFFFFF" w:val="clear"/>
        </w:rPr>
        <w:t xml:space="preserve">, or 27.5%,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June 30, 2026, as compared to the same period in 2025, including</w:t>
      </w:r>
      <w:r>
        <w:rPr>
          <w:color w:val="000000"/>
        </w:rPr>
        <w:t xml:space="preserve"> </w:t>
      </w:r>
      <w:r>
        <w:rPr>
          <w:rFonts w:ascii="Times New Roman;serif" w:hAnsi="Times New Roman;serif"/>
          <w:b w:val="false"/>
          <w:color w:val="000000"/>
          <w:sz w:val="20"/>
        </w:rPr>
        <w:t>a favorable</w:t>
      </w:r>
      <w:r>
        <w:rPr>
          <w:color w:val="000000"/>
          <w:shd w:fill="FFFFFF" w:val="clear"/>
        </w:rPr>
        <w:t xml:space="preserve"> </w:t>
      </w:r>
      <w:r>
        <w:rPr>
          <w:rFonts w:ascii="Times New Roman;serif" w:hAnsi="Times New Roman;serif"/>
          <w:b w:val="false"/>
          <w:color w:val="000000"/>
          <w:sz w:val="20"/>
          <w:shd w:fill="FFFFFF" w:val="clear"/>
        </w:rPr>
        <w:t xml:space="preserve">foreign currency translation impact of </w:t>
      </w:r>
      <w:r>
        <w:rPr>
          <w:rFonts w:ascii="Times New Roman;serif" w:hAnsi="Times New Roman;serif"/>
          <w:b w:val="false"/>
          <w:color w:val="000000"/>
          <w:sz w:val="20"/>
        </w:rPr>
        <w:t>$0.1 million, due to the factors described above, most notably inefficiencies associated with production downtime related to the Company’s May 2026 cyber incident, as well as inflationary pressures on our plant spend.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West Vantage operating profit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$2.8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8.9%</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June 30, 2026, as compared to the same period in 2025, including a favorable fore</w:t>
      </w:r>
      <w:r>
        <w:rPr>
          <w:rFonts w:ascii="Times New Roman;serif" w:hAnsi="Times New Roman;serif"/>
          <w:b w:val="false"/>
          <w:color w:val="000000"/>
          <w:sz w:val="20"/>
        </w:rPr>
        <w:t>ign currency translation impact of $1.1 million, due to the factors described above, most notably inefficiencies associated with production downtime related to the Company’s May 2026 cyber incident, as well as inflationary pressures on our plant spend.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Corporate and unallocated - </w:t>
      </w:r>
      <w:r>
        <w:rPr>
          <w:rFonts w:ascii="Times New Roman;serif" w:hAnsi="Times New Roman;serif"/>
          <w:b w:val="false"/>
          <w:color w:val="000000"/>
          <w:sz w:val="20"/>
        </w:rPr>
        <w:t xml:space="preserve">Excluding the unallocated items, Corporate costs increased by $3.2 million, or 13.2%, for the three months ended June 30, 2026, as compared </w:t>
      </w:r>
      <w:r>
        <w:rPr>
          <w:rFonts w:ascii="Times New Roman;serif" w:hAnsi="Times New Roman;serif"/>
          <w:b w:val="false"/>
          <w:color w:val="000000"/>
          <w:sz w:val="20"/>
          <w:shd w:fill="FFFFFF" w:val="clear"/>
        </w:rPr>
        <w:t>to the same period in 2025</w:t>
      </w:r>
      <w:r>
        <w:rPr>
          <w:rFonts w:ascii="Times New Roman;serif" w:hAnsi="Times New Roman;serif"/>
          <w:b w:val="false"/>
          <w:color w:val="000000"/>
          <w:sz w:val="20"/>
        </w:rPr>
        <w:t>, due to the factors described above, most notably the increase in expense related to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Excluding the unallocated items, Corporate costs increased by $7.9 million, or 18.2%, for the six months ended June 30, 2026, as compared to the same period in 2025, due to the factors described above, most notably the increase in expense related to stock-based compensation.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unallocated items, please refer to the Financial Performance Summary section above for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Interest Expense, Net and Interest Income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interest expense, net, by significant component:</w:t>
      </w:r>
    </w:p>
    <w:tbl>
      <w:tblPr>
        <w:tblW w:w="5999" w:type="dxa"/>
        <w:jc w:val="left"/>
        <w:tblInd w:w="0" w:type="dxa"/>
        <w:tblLayout w:type="fixed"/>
        <w:tblCellMar>
          <w:top w:w="28" w:type="dxa"/>
          <w:left w:w="28" w:type="dxa"/>
          <w:bottom w:w="28" w:type="dxa"/>
          <w:right w:w="28" w:type="dxa"/>
        </w:tblCellMar>
      </w:tblPr>
      <w:tblGrid>
        <w:gridCol w:w="641"/>
        <w:gridCol w:w="562"/>
        <w:gridCol w:w="566"/>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by $2.5 million and $4.0 million for the three and six months ended June 30, 2026, respectively, as compared to the same periods in 2025, due primarily to a decrease in capitalized interest, partially offset by a decline in interest rates on the Company's Term Loan in the three and six months ended June 30, 2026, as compared to the same periods in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income increased by $0.2 million and $1.2 million for the three and six months ended June 30, 2026, respectively, as compared to the same periods in 2025, due primarily to the Company having a higher average cash balance in three and six months ended June 30, 2026, as compared to the same periods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Other Nonoperating Expense (Income)</w:t>
      </w:r>
    </w:p>
    <w:p>
      <w:pPr>
        <w:pStyle w:val="TextBody"/>
        <w:bidi w:val="0"/>
        <w:spacing w:lineRule="auto" w:line="288" w:before="0" w:after="120"/>
        <w:jc w:val="left"/>
        <w:rPr/>
      </w:pPr>
      <w:r>
        <w:rPr>
          <w:rFonts w:ascii="Times New Roman;serif" w:hAnsi="Times New Roman;serif"/>
          <w:b w:val="false"/>
          <w:color w:val="000000"/>
          <w:sz w:val="20"/>
        </w:rPr>
        <w:t xml:space="preserve">Other nonoperating expense (income) was $0.2 million and $0.4 million for the </w:t>
      </w:r>
      <w:r>
        <w:rPr>
          <w:rFonts w:ascii="Times New Roman;serif" w:hAnsi="Times New Roman;serif"/>
          <w:b w:val="false"/>
          <w:color w:val="000000"/>
          <w:sz w:val="20"/>
          <w:shd w:fill="FFFFFF" w:val="clear"/>
        </w:rPr>
        <w:t>three and six months ended</w:t>
      </w:r>
      <w:r>
        <w:rPr>
          <w:color w:val="000000"/>
        </w:rPr>
        <w:t xml:space="preserve"> </w:t>
      </w:r>
      <w:r>
        <w:rPr>
          <w:rFonts w:ascii="Times New Roman;serif" w:hAnsi="Times New Roman;serif"/>
          <w:b w:val="false"/>
          <w:color w:val="000000"/>
          <w:sz w:val="20"/>
        </w:rPr>
        <w:t>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$32.2 million and $30.2 million for the three months ended June 30, 2026 and 2025, respectively, and the effective tax rate was 17.9% and 19.2%, respectively. The decrease in the effective tax rate for the three months ended June 30, 2026, as compared to the same period in 2025, primarily reflects the impact of favorable changes in our geographic mix of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was $76.9 million and $54.3 million for the six months ended June 30, 2026 and 2025, respectively, and the effective tax rate was 21.3% and 20.3%, respectively. The increase in the effective tax rate for the six months ended June 30, 2026, as compared to the same period in 2025, is primarily due to a one-time tax cost of $12.0 million associated with an internal legal entity restructuring which occurred in the first quarter of 2026, partially offset by the impact of favorable changes in our geographic mix of earnings.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Equity in Net Income of Affiliated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Equity in net income of affiliated companies was $6.1 million and $5.0 million for the three months ended June 30, 2026 and 2025, respectively. Equity in net income of affiliated companies increased by $1.1 million for the three months ended June 30, 2026, as compared to the same period in 2025, due primarily to favorable operating results at Daikyo, partially offset by unfavorable operating results at the Mexico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Equity in net income of affiliated companies was $9.5 million and $8.4 million for the six months ended June 30, 2026 and 2025, respectively. Equity in net income of affiliated companies increased by $1.1 million for the six months ended June 30, 2026, as compared to the same period in 2025, due primarily to favorable operating results at Daikyo, partially offset by unfavorable operating results at the Mexico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cash flow data for the six months ended June 30:</w:t>
      </w:r>
    </w:p>
    <w:tbl>
      <w:tblPr>
        <w:tblW w:w="5858" w:type="dxa"/>
        <w:jc w:val="left"/>
        <w:tblInd w:w="0" w:type="dxa"/>
        <w:tblLayout w:type="fixed"/>
        <w:tblCellMar>
          <w:top w:w="28" w:type="dxa"/>
          <w:left w:w="28" w:type="dxa"/>
          <w:bottom w:w="28" w:type="dxa"/>
          <w:right w:w="28" w:type="dxa"/>
        </w:tblCellMar>
      </w:tblPr>
      <w:tblGrid>
        <w:gridCol w:w="1254"/>
        <w:gridCol w:w="1101"/>
        <w:gridCol w:w="1109"/>
        <w:gridCol w:w="211"/>
        <w:gridCol w:w="691"/>
        <w:gridCol w:w="109"/>
        <w:gridCol w:w="109"/>
        <w:gridCol w:w="109"/>
        <w:gridCol w:w="109"/>
        <w:gridCol w:w="211"/>
        <w:gridCol w:w="69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color w:val="000000"/>
          <w:sz w:val="20"/>
        </w:rPr>
        <w:t>Net Cash Provided by Operating Activities –</w:t>
      </w:r>
      <w:r>
        <w:rPr>
          <w:color w:val="000000"/>
        </w:rPr>
        <w:t xml:space="preserve"> </w:t>
      </w:r>
      <w:r>
        <w:rPr>
          <w:rFonts w:ascii="Times New Roman;serif" w:hAnsi="Times New Roman;serif"/>
          <w:b w:val="false"/>
          <w:color w:val="000000"/>
          <w:sz w:val="20"/>
        </w:rPr>
        <w:t>Net cash provided by operating activities decreased by $92.6 million for the six months ended June 30, 2026, as compared to the same period in 2025, due primarily to fluctuations in working capital and increased incentive payments, partially offset by improved operating results.</w:t>
      </w:r>
    </w:p>
    <w:p>
      <w:pPr>
        <w:pStyle w:val="TextBody"/>
        <w:bidi w:val="0"/>
        <w:spacing w:lineRule="auto" w:line="288" w:before="0" w:after="120"/>
        <w:jc w:val="left"/>
        <w:rPr/>
      </w:pPr>
      <w:r>
        <w:rPr>
          <w:rFonts w:ascii="Times New Roman;serif" w:hAnsi="Times New Roman;serif"/>
          <w:b/>
          <w:color w:val="000000"/>
          <w:sz w:val="20"/>
        </w:rPr>
        <w:t>Net Cash Used in Investing Activities –</w:t>
      </w:r>
      <w:r>
        <w:rPr>
          <w:color w:val="000000"/>
        </w:rPr>
        <w:t xml:space="preserve"> </w:t>
      </w:r>
      <w:r>
        <w:rPr>
          <w:rFonts w:ascii="Times New Roman;serif" w:hAnsi="Times New Roman;serif"/>
          <w:b w:val="false"/>
          <w:color w:val="000000"/>
          <w:sz w:val="20"/>
        </w:rPr>
        <w:t>Net cash used in investing activities decreased by $60.6 million for the six months ended June 30, 2026, as compared to the same period in 2025, due to a decrease in capital expenditures.</w:t>
      </w:r>
    </w:p>
    <w:p>
      <w:pPr>
        <w:pStyle w:val="TextBody"/>
        <w:bidi w:val="0"/>
        <w:spacing w:lineRule="auto" w:line="288" w:before="0" w:after="120"/>
        <w:jc w:val="left"/>
        <w:rPr/>
      </w:pPr>
      <w:r>
        <w:rPr>
          <w:rFonts w:ascii="Times New Roman;serif" w:hAnsi="Times New Roman;serif"/>
          <w:b/>
          <w:color w:val="000000"/>
          <w:sz w:val="20"/>
        </w:rPr>
        <w:t>Net Cash Used in Financing Activities –</w:t>
      </w:r>
      <w:r>
        <w:rPr>
          <w:color w:val="000000"/>
        </w:rPr>
        <w:t xml:space="preserve"> </w:t>
      </w:r>
      <w:r>
        <w:rPr>
          <w:rFonts w:ascii="Times New Roman;serif" w:hAnsi="Times New Roman;serif"/>
          <w:b w:val="false"/>
          <w:color w:val="000000"/>
          <w:sz w:val="20"/>
        </w:rPr>
        <w:t>Net cash used in financing activities increased by $311.6 million for the six months ended June 30, 2026, as compared to the same period in 2025, due primarily to an increase in purchases under our share repurchase programs.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presents selected liquidity and capital measures:</w:t>
      </w:r>
    </w:p>
    <w:tbl>
      <w:tblPr>
        <w:tblW w:w="4937" w:type="dxa"/>
        <w:jc w:val="left"/>
        <w:tblInd w:w="0" w:type="dxa"/>
        <w:tblLayout w:type="fixed"/>
        <w:tblCellMar>
          <w:top w:w="28" w:type="dxa"/>
          <w:left w:w="28" w:type="dxa"/>
          <w:bottom w:w="28" w:type="dxa"/>
          <w:right w:w="28" w:type="dxa"/>
        </w:tblCellMar>
      </w:tblPr>
      <w:tblGrid>
        <w:gridCol w:w="819"/>
        <w:gridCol w:w="720"/>
        <w:gridCol w:w="725"/>
        <w:gridCol w:w="211"/>
        <w:gridCol w:w="766"/>
        <w:gridCol w:w="109"/>
        <w:gridCol w:w="109"/>
        <w:gridCol w:w="109"/>
        <w:gridCol w:w="109"/>
        <w:gridCol w:w="235"/>
        <w:gridCol w:w="854"/>
        <w:gridCol w:w="171"/>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all instruments that have maturities of ninety days or less when purchased. Working capital is defined as current assets less current liabilities. </w:t>
      </w:r>
    </w:p>
    <w:p>
      <w:pPr>
        <w:pStyle w:val="TextBody"/>
        <w:bidi w:val="0"/>
        <w:spacing w:lineRule="auto" w:line="288" w:before="0" w:after="120"/>
        <w:jc w:val="left"/>
        <w:rPr/>
      </w:pPr>
      <w:r>
        <w:rPr>
          <w:rFonts w:ascii="Times New Roman;serif" w:hAnsi="Times New Roman;serif"/>
          <w:b/>
          <w:color w:val="000000"/>
          <w:sz w:val="20"/>
        </w:rPr>
        <w:t>Cash and cash equivalents –</w:t>
      </w:r>
      <w:r>
        <w:rPr>
          <w:color w:val="000000"/>
        </w:rPr>
        <w:t xml:space="preserve"> </w:t>
      </w:r>
      <w:r>
        <w:rPr>
          <w:rFonts w:ascii="Times New Roman;serif" w:hAnsi="Times New Roman;serif"/>
          <w:b w:val="false"/>
          <w:color w:val="000000"/>
          <w:sz w:val="20"/>
        </w:rPr>
        <w:t>Our cash and cash equivalents balance at June 30, 2026 consisted of cash held in depository accounts with banks around the world and cash invested in high-quality, short-term investments. The cash and cash equivalents balance at June 30, 2026 included $73.9 million of cash held by subsidiaries within the U.S., and $361.9 million of cash held by subsidiaries outside of the U.S. During the six months ended June 30, 2026, we purchased 1,760,610 shares of our common stock under the share repurchase program at a cost of $454.3 million, or an average price of $258.03 per share.</w:t>
      </w:r>
    </w:p>
    <w:p>
      <w:pPr>
        <w:pStyle w:val="TextBody"/>
        <w:bidi w:val="0"/>
        <w:spacing w:lineRule="auto" w:line="288" w:before="0" w:after="120"/>
        <w:jc w:val="left"/>
        <w:rPr/>
      </w:pPr>
      <w:r>
        <w:rPr>
          <w:rFonts w:ascii="Times New Roman;serif" w:hAnsi="Times New Roman;serif"/>
          <w:b/>
          <w:color w:val="000000"/>
          <w:sz w:val="20"/>
          <w:shd w:fill="FFFFFF" w:val="clear"/>
        </w:rPr>
        <w:t>Working capital –</w:t>
      </w:r>
      <w:r>
        <w:rPr>
          <w:color w:val="000000"/>
          <w:shd w:fill="FFFFFF" w:val="clear"/>
        </w:rPr>
        <w:t xml:space="preserve"> </w:t>
      </w:r>
      <w:r>
        <w:rPr>
          <w:rFonts w:ascii="Times New Roman;serif" w:hAnsi="Times New Roman;serif"/>
          <w:b w:val="false"/>
          <w:color w:val="000000"/>
          <w:sz w:val="20"/>
          <w:shd w:fill="FFFFFF" w:val="clear"/>
        </w:rPr>
        <w:t xml:space="preserve">Working capital at June 30, 2026 decreased by $156.3 million, or 11.8%, as compared to December 31, 2025, which includes a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$7.2 million due to foreign currency translation. Excluding the impact of currency exchange rates, cash and cash equivalents decreased by $345.6 million, while accounts receivable increased by $144.5 million.</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in cash and cash equivalents was</w:t>
      </w:r>
      <w:r>
        <w:rPr>
          <w:color w:val="000000"/>
        </w:rPr>
        <w:t xml:space="preserve"> </w:t>
      </w:r>
      <w:r>
        <w:rPr>
          <w:rFonts w:ascii="Times New Roman;serif" w:hAnsi="Times New Roman;serif"/>
          <w:b w:val="false"/>
          <w:color w:val="000000"/>
          <w:sz w:val="20"/>
        </w:rPr>
        <w:t>due to share repurchases and capital expenditures during the six months ended June 30, 2026, partially offset by cash from operations. The increase in accounts receivable was due to increased net sales leading up to the June 30, 2026 balance sheet date as compared to the December 31, 2025 balance sheet date.</w:t>
      </w:r>
    </w:p>
    <w:p>
      <w:pPr>
        <w:pStyle w:val="TextBody"/>
        <w:bidi w:val="0"/>
        <w:spacing w:lineRule="auto" w:line="288" w:before="0" w:after="120"/>
        <w:jc w:val="left"/>
        <w:rPr/>
      </w:pPr>
      <w:r>
        <w:rPr>
          <w:rFonts w:ascii="Times New Roman;serif" w:hAnsi="Times New Roman;serif"/>
          <w:b/>
          <w:color w:val="000000"/>
          <w:sz w:val="20"/>
        </w:rPr>
        <w:t>Debt and credit facilities –</w:t>
      </w:r>
      <w:r>
        <w:rPr>
          <w:color w:val="000000"/>
        </w:rPr>
        <w:t xml:space="preserve"> </w:t>
      </w:r>
      <w:r>
        <w:rPr>
          <w:rFonts w:ascii="Times New Roman;serif" w:hAnsi="Times New Roman;serif"/>
          <w:b w:val="false"/>
          <w:color w:val="000000"/>
          <w:sz w:val="20"/>
        </w:rPr>
        <w:t>The total debt balance of $202.9 million at June 30, 2026 is consistent with the total debt balance of $202.8 million at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sources of liquidity include our multi-currency revolving credit facility. At June 30, 2026, we had no outstanding borrowings under the multi-currency revolving credit facility. At June 30, 2026, the borrowing capacity available under the multi-currency revolving credit facility, including outstanding letters of credit of $2.3 million, was $497.7 million. We do not expect any significant limitations on our ability to access this source of funds.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June 30, 2026, we were in compliance with all of our debt covenants.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believe that cash on hand and cash generated from operations, together with availability under our multi-currency revolving credit facility, will be adequate to address our foreseeable liquidity needs based on our current expectations of our business operations, capital expenditures and scheduled payments of debt obligations.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Commitments and Contractual Obligations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summary of future material cash payments resulting from commitments and contractual obligations was provided in our 2025 Annual Report. During the three months ended June 30, 2026, there were no material changes outside of the ordinary course of business to our commitments and contractual obligations.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June 30, 2026, we had no off-balance sheet financing arrangements other than unconditional purchase obligations incurred in the ordinary course of business and outstanding letters of credit related to various insurance programs, as noted in our 2025 Annual Report.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the Critical Accounting Policies and Estimates disclosed in Part II, Item 7 of our 2025 Annual Report.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0" w:after="120"/>
        <w:jc w:val="left"/>
        <w:rPr/>
      </w:pPr>
      <w:r>
        <w:rPr>
          <w:rFonts w:ascii="Times New Roman;serif" w:hAnsi="Times New Roman;serif"/>
          <w:b w:val="false"/>
          <w:color w:val="000000"/>
          <w:sz w:val="20"/>
        </w:rPr>
        <w:t xml:space="preserve">For information on new accounting standards see Note 2, </w:t>
      </w:r>
      <w:hyperlink w:anchor="i334e5af0cc974070b9320cc50a88c43c_37">
        <w:r>
          <w:rPr>
            <w:rStyle w:val="InternetLink"/>
            <w:rFonts w:ascii="Times New Roman;serif" w:hAnsi="Times New Roman;serif"/>
            <w:b w:val="false"/>
            <w:i/>
            <w:color w:val="0000FF"/>
            <w:sz w:val="20"/>
            <w:u w:val="single"/>
          </w:rPr>
          <w:t>New Accounting Standards</w:t>
        </w:r>
      </w:hyperlink>
      <w:r>
        <w:rPr>
          <w:rFonts w:ascii="Times New Roman;serif" w:hAnsi="Times New Roman;serif"/>
          <w:b w:val="false"/>
          <w:color w:val="000000"/>
          <w:sz w:val="20"/>
        </w:rPr>
        <w:t>, within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CAUTIONARY STATEMENT REGARDING FORWARD-LOOKING STATEMENTS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are some important factors that could cause our actual results to differ from our expectations in any forward-looking statements: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sales demand and our ability to meet that demand;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competition from other providers in our businesses, including customers’ in-house operations, and from lower-cost producers in emerging markets, which can impact unit volume, price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customers’ changing inventory requirements and manufacturing plans that alter existing orders or ordering patterns for the products we supply to them;</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timing, regulatory approval and commercial success of customer products that incorporate our products and systems;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timely and adequate availability of filling capacity, which is essential to conducting definitive stability trials and the timing of first commercialization of customers’ products in Crystal Zenith prefilled syringes;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profitability, or mix, of the products sold in any reporting period, including lower-than-expected sales growth of our high-value proprietary product offerings;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maintaining or improving production efficiencies and overhead absorption;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dependence on third-party suppliers and partners, some of which are single-source suppliers of critical materials and products, including our Japanese partner and affiliate, Daikyo;</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loss of key personnel or highly skilled employees;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availability and cost of skilled employees required to meet increased production, managerial, research and other needs, including professional employees and persons employed under collective bargaining agreements;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successful and timely implementation of price increases necessary to offset rising production costs, including raw material prices, particularly petroleum-based raw materials;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cost and progress of development, regulatory approval and marketing of new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obtain and maintain licenses in any jurisdiction in which we do business;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relative strength of USD in relation to other currencies, particularly the Euro, SGD, the Danish Krone, Yen, Colombian Peso, Brazilian Real, and the South Korean Won;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potential adverse effects of global healthcare legislation on customer demand, product pricing and profitability.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2025 Annual Report as well as Part II, section 1A of this quarterly report.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Except as required by law or regulation, we undertake no obligation to publicly update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exposure to market risk or the information provided in Part II, Item 7A of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pPr>
      <w:r>
        <w:rPr>
          <w:rFonts w:ascii="Times New Roman;serif" w:hAnsi="Times New Roman;serif"/>
          <w:b/>
          <w:color w:val="000000"/>
          <w:sz w:val="20"/>
        </w:rPr>
        <w:t>ITEM 4</w:t>
      </w:r>
      <w:r>
        <w:rPr>
          <w:rFonts w:ascii="Times New Roman;serif" w:hAnsi="Times New Roman;serif"/>
          <w:b w:val="false"/>
          <w:color w:val="000000"/>
          <w:sz w:val="20"/>
        </w:rPr>
        <w:t>.  </w:t>
      </w:r>
      <w:r>
        <w:rPr>
          <w:rFonts w:ascii="Times New Roman;serif" w:hAnsi="Times New Roman;serif"/>
          <w:b/>
          <w:color w:val="000000"/>
          <w:sz w:val="20"/>
        </w:rPr>
        <w:t>CONTROLS AND PROCEDURES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June 30, 2026, our disclosure controls and procedures are effective.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there have been no changes to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proceedings, lawsuits, disputes and claims arising in the ordinary course of the Company’s business, whether that be matters involving commercial operations, product liability, intellectual property or employment actions, including class action lawsuits. We accrue for loss contingencies when it is probable that a liability has been incurred and the amount of the loss can be reasonably estimated based on circumstances and assumptions existing at the time. Unless otherwise disclosed below, while the outcome of such claims cannot be predicted with certainty, we believe their ultimate resolution is not expected to have a material adverse effect on our business, financial condition, results of operations or liquidity. However, if an unfavorable ruling were to occur in any specific case, a material impact on the results of operations could be possible for that period.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May 5, 2025, New England Teamsters Pension Fund filed a class action against us and certain of our current and former officers in the United States District Court for the Eastern District of Pennsylvania, purportedly on behalf of a class of the Company’s investors who purchased or otherwise acquired the Company’s common stock between February 16, 2023 and February 12, 2025. On July 23, 2025, the court appointed lead plaintiffs in the action. On October 15, 2025, the lead plaintiffs filed an amended complaint. The amended complaint alleges violations of Sections 10(b), 20(a) and 20A of the Securities Exchange Act of 1934 and Rule 10b-5 promulgated thereunder in connection with 1) various public statements made by the Company and certain current and former officers regarding its business, operations and prospects and 2) certain current and former officers' transactions in the Company's stock. The action seeks unspecified damages, costs and expenses, including attorneys’ fees. On December 18, 2025, the defendants filed their first motion to dismiss the amended complaint. Pursuant to the scheduling order entered by the court, the lead plaintiffs’ opposition to the motion to dismiss was filed on February 24, 2026, and the defendants filed their reply on March 31, 2026. We believe the claims in the amended complaint are without merit and we intend to vigorously defend against such claims. Given the nature of the case, including that the proceedings are in their early stages, we are unable at this time to reasonably estimate losses, if any, or form a judgment that an unfavorable outcome is either probable or remote.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than the risk factor listed below, there have been no material changes to the risk factors disclosed in Part I, Item 1A of our 2025 Annual Report.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Unauthorized access to our or our customers’ information and systems could negatively impact our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systems and networks, as well as those of our customers, suppliers, service providers, and banks, have been, or may in the future become the target of cyberattacks or information security breaches which, in turn, could result in the unauthorized release and misuse of confidential or proprietary information about our company, our employees or our customers, as well as disrupt our operations or damage our facilities or those of third parties. Attacks on information systems and networks are increasing in their frequency, levels of persistence, sophistication, and intensity, and they are being conducted by increasingly sophisticated and organized groups and individuals, including state-sponsored organizations, with a wide range of motives and expertise.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May 2026, we experienced a material cybersecurity attack in which certain data was exfiltrated by an unauthorized party and certain systems were encrypted. Upon initial detection of an intrusion, we promptly activated our incident response protocols (including proactively taking systems offline globally for containment purposes), notified law enforcement, and engaged external cyber-forensic experts. The incident and our response temporarily disrupted our global operations. We have taken steps intended to mitigate the risk of dissemination of the exfiltrated data. This incident has been contained and our operations have fully recovered.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Techniques used to gain unauthorized access to or to acquire data and systems, disable or degrade service, or sabotage systems, are constantly evolving (including through the use of artificial intelligence), and we are unable to anticipate all techniques or comprehensively avoid unauthorized access, acquisition of, or other adverse impacts to our data or our systems or the networks and systems of third parties upon which we rely. We may not discover all such incidents or activities or be able to respond or otherwise address them promptly, in sufficient respects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our systems are subject to regulations to preserve the privacy of certain data held on those systems. We maintain an extensive network of technical security controls, policy enforcement mechanisms and monitoring systems, in order to address these threats. While these measures are designed to prevent, detect and respond to unauthorized activity in our systems, certain types of attacks could result in financial or information losses and/or reputational harm. If we cannot comply with regulations or prevent the unauthorized access, release and/or corruption of our or our customers’ confidential, classified or personally identifiable information, our reputation could be damaged, and/or we could face financial losses.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 adverse impact to the availability, integrity, or confidentiality of our information technology systems or data, or the information technology systems or data of third parties upon which we rely, could require us to incur additional costs to modify or enhance our systems, or to try to prevent or remediate any such attacks. Modifying or enhancing our systems may result in unanticipated or prolonged disruption events, which could have a material adverse effect on our business and/or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costs of mitigating data security risks could be significant and are likely to increase in the future. Although we carry cybersecurity insurance, there can be no assurance that our limits are sufficient to cover us against all potential losses for damages or fines in an amount exceeding our policy limits, or that applicable insurance will be available to us in the future on economically reasonable terms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information with respect to purchases of our common stock made during the three months ended June 30, 2026 by us or any of our “affiliated purchasers” as defined in Rule 10b-18(a)(3) under the Exchange Act: </w:t>
      </w:r>
    </w:p>
    <w:tbl>
      <w:tblPr>
        <w:tblW w:w="10205" w:type="dxa"/>
        <w:jc w:val="left"/>
        <w:tblInd w:w="0" w:type="dxa"/>
        <w:tblLayout w:type="fixed"/>
        <w:tblCellMar>
          <w:top w:w="28" w:type="dxa"/>
          <w:left w:w="28" w:type="dxa"/>
          <w:bottom w:w="28" w:type="dxa"/>
          <w:right w:w="28" w:type="dxa"/>
        </w:tblCellMar>
      </w:tblPr>
      <w:tblGrid>
        <w:gridCol w:w="301"/>
        <w:gridCol w:w="263"/>
        <w:gridCol w:w="266"/>
        <w:gridCol w:w="109"/>
        <w:gridCol w:w="109"/>
        <w:gridCol w:w="109"/>
        <w:gridCol w:w="620"/>
        <w:gridCol w:w="456"/>
        <w:gridCol w:w="457"/>
        <w:gridCol w:w="109"/>
        <w:gridCol w:w="109"/>
        <w:gridCol w:w="109"/>
        <w:gridCol w:w="278"/>
        <w:gridCol w:w="950"/>
        <w:gridCol w:w="143"/>
        <w:gridCol w:w="109"/>
        <w:gridCol w:w="109"/>
        <w:gridCol w:w="109"/>
        <w:gridCol w:w="867"/>
        <w:gridCol w:w="743"/>
        <w:gridCol w:w="745"/>
        <w:gridCol w:w="109"/>
        <w:gridCol w:w="109"/>
        <w:gridCol w:w="109"/>
        <w:gridCol w:w="381"/>
        <w:gridCol w:w="2143"/>
        <w:gridCol w:w="284"/>
      </w:tblGrid>
      <w:tr>
        <w:trPr/>
        <w:tc>
          <w:tcPr>
            <w:tcW w:w="30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 publicly announced plans or 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 dollar value of shares that may yet be purchased under the plans or programs (1)</w:t>
            </w:r>
          </w:p>
        </w:tc>
      </w:tr>
      <w:tr>
        <w:trPr/>
        <w:tc>
          <w:tcPr>
            <w:tcW w:w="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273,854 </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269.93 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273,854 </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630,070,000 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134,771 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134,771 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588,360,000 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129,966 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129,966 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545,720,000 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538,591 </w:t>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290.82 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538,591 </w:t>
            </w:r>
          </w:p>
        </w:tc>
        <w:tc>
          <w:tcPr>
            <w:tcW w:w="7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545,720,000 </w:t>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 February 2026, the Company’s Board of Directors authorized a new share repurchase program for the purchase of up to $1.0 billion of the Company’s common stock in open-market transactions, block transactions, through derivative transactions, privately negotiated transactions, or otherwise, including pursuant to any trading plan entered into by the Company under Rule 10b5-1 of the Exchange Act. This share repurchase program has no expiration date and it may be suspended or terminated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no director or officer (as defined in Rule 16a-1(f) promulgated under the Exchange Act) of the Company adopted or terminated any Rule 10b5-1 trading arrangement or any non-Rule 10b5-1 trading arrangement (as such terms are defined in Item 408 of Regulation S-K) during the period covered by this Report, except as follows: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2, 2026, Annette F. Favorite, our Senior Vice President &amp; Chief Human Resources Officer, adopted a Rule 10b5-1 trading arrangement, which is intended to satisfy the affirmative defense of Rule 10b5-1(c). The Rule 10b5-1 trading arrangement provides for the exercise of vested stock options and the sale of up to an aggregate of 15,659 shares of our common stock, subject to the terms and conditions specified in the arrangement. Transactions under the arrangement may occur beginning September 8, 2026 and the arrangement is scheduled to terminate on October 29, 2027, unless earlier terminated in accordance with its terms. Any transactions under the arrangement will be disclosed publicly in filings with the SEC to the extent required by applicable securities laws, rules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410"/>
        <w:gridCol w:w="359"/>
        <w:gridCol w:w="361"/>
        <w:gridCol w:w="2691"/>
        <w:gridCol w:w="2628"/>
        <w:gridCol w:w="3756"/>
      </w:tblGrid>
      <w:tr>
        <w:trPr/>
        <w:tc>
          <w:tcPr>
            <w:tcW w:w="4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Our Amended and Restated Articles of Incorporation, effective May 6, 2025 (incorporated by reference to Exhibit 5.7 to the Company's Form 8-K, filed May 8, 2025).</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Our Amended and Restated Bylaws, effective October 23, 2023 (incorporated by reference to Exhibit 3.2 to the Company's Form 10-Q report for the quarter ended September 30, 2023, filed October 26, 2023).</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Articles 5, 8(c) and 9 of our Amended and Restated Articles of Incorporation, effective May 6, 2025 (incorporated by reference to Exhibit 5.7 to the Company's Form 8-K, filed May 8, 2025).</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Articles I and IV of our Bylaws, as amended through October 23, 2023 (incorporated by reference to Exhibit 3.2 to the Company's Form 10-Q report for the quarter ended September 30, 2023, filed October 26, 2023).</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Description of Registered Securities (incorporated by reference to Exhibit 4.3 to the Company's Form 10-K report for the year ended December 31, 2025, filed February 17, 2026)</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4.4 </w:t>
            </w:r>
            <w:r>
              <w:rPr>
                <w:rFonts w:ascii="Times New Roman;serif" w:hAnsi="Times New Roman;serif"/>
                <w:b w:val="false"/>
                <w:color w:val="000000"/>
                <w:sz w:val="13"/>
              </w:rPr>
              <w:t>(1)</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defining the rights of holders of long-term debt securities of West and its subsidiaries have been omitted.</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 xml:space="preserve">Executive Employment Agreement between West Pharmaceutical Services, Inc. and Michel Lagarde, dated May 31, 2026 (incorporated by reference to Exhibit 10.1 to the Company’s Form 8-K filed June 1, 2026). </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q22026.htm">
              <w:r>
                <w:rPr>
                  <w:rStyle w:val="InternetLink"/>
                  <w:rFonts w:ascii="Times New Roman;serif" w:hAnsi="Times New Roman;serif"/>
                  <w:b w:val="false"/>
                  <w:color w:val="0000FF"/>
                  <w:sz w:val="20"/>
                  <w:u w:val="single"/>
                </w:rPr>
                <w:t>Certification by the Chief Executive Officer Pursuant to Section 302 of the Sarbanes-Oxley Act of 2002.</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q22026.htm">
              <w:r>
                <w:rPr>
                  <w:rStyle w:val="InternetLink"/>
                  <w:rFonts w:ascii="Times New Roman;serif" w:hAnsi="Times New Roman;serif"/>
                  <w:b w:val="false"/>
                  <w:color w:val="0000FF"/>
                  <w:sz w:val="20"/>
                  <w:u w:val="single"/>
                </w:rPr>
                <w:t>Certification by the Chief Financial Officer Pursuant to Section 302 of the Sarbanes-Oxley Act of 2002.</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q22026.htm">
              <w:r>
                <w:rPr>
                  <w:rStyle w:val="InternetLink"/>
                  <w:rFonts w:ascii="Times New Roman;serif" w:hAnsi="Times New Roman;serif"/>
                  <w:b w:val="false"/>
                  <w:color w:val="0000FF"/>
                  <w:sz w:val="20"/>
                  <w:u w:val="single"/>
                </w:rPr>
                <w:t>Certification by the Chief Executive Officer Pursuant to 18 U.S.C. Section 1350, as Adopted Pursuant to Section 906 of the Sarbanes-Oxley Act of 2002.</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2q22026.htm">
              <w:r>
                <w:rPr>
                  <w:rStyle w:val="InternetLink"/>
                  <w:rFonts w:ascii="Times New Roman;serif" w:hAnsi="Times New Roman;serif"/>
                  <w:b w:val="false"/>
                  <w:color w:val="0000FF"/>
                  <w:sz w:val="20"/>
                  <w:u w:val="single"/>
                </w:rPr>
                <w:t>Certification by the Chief Financial Officer Pursuant to 18 U.S.C. Section 1350, as Adopted Pursuant to Section 906 of the Sarbanes-Oxley Act of 2002.</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for the cover page of this Quarterly Report on Form 10-Q, included in the Exhibit 101 Inline XBRL Document Set.</w:t>
            </w:r>
          </w:p>
        </w:tc>
      </w:tr>
    </w:tbl>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 agree to furnish to the SEC, upon request, a copy of each instrument with respect to issuances of long-term debt of the Company and its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not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34e5af0cc974070b9320cc50a88c43c_7">
        <w:r>
          <w:rPr>
            <w:rStyle w:val="InternetLink"/>
          </w:rPr>
          <w:t>Table of Content</w:t>
        </w:r>
      </w:hyperlink>
      <w:hyperlink w:anchor="i334e5af0cc974070b9320cc50a88c43c_7">
        <w:r>
          <w:rPr>
            <w:rStyle w:val="InternetLink"/>
          </w:rPr>
          <w: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West Pharmaceutical Services, Inc.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Robert W. McMahon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W. McMahon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July 23,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Eric M. Green,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West Pharmaceutical Services,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Eric M. Green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Eric M. Green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Chair of the Board of Directors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23,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Robert W. McMahon,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West Pharmaceutical Services,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Robert W. McMahon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W. McMahon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23,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West Pharmaceutical Services, Inc. (the “Company”) for the period ended June 30, 2026,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Eric M. Green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Eric M. Green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Chair of the Board of Directors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July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West Pharmaceutical Services, Inc. (the “Company”) for the period ended June 30, 2026, as filed with the Securities and Exchange Commission on the date hereof (the “Report”), I, Robert W. McMahon, Senior Vice President, Chief Financial Officer of the Company, certify, pursuant to 18 U.S.C. Section 1350, as adopted pursuant to Section 906 of the Sarbanes-Oxley Act of 2002, that: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Robert W. McMahon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W. McMahon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105770/000010577026000010/wst-20251231.htm" TargetMode="External"/><Relationship Id="rId4" Type="http://schemas.openxmlformats.org/officeDocument/2006/relationships/hyperlink" Target="https://www.sec.gov/Archives/edgar/data/105770/000010577025000039/finalmay2025articlesofin.htm" TargetMode="External"/><Relationship Id="rId5" Type="http://schemas.openxmlformats.org/officeDocument/2006/relationships/hyperlink" Target="https://www.sec.gov/Archives/edgar/data/105770/000010577023000068/amendedrestatedbylawsoct20.htm" TargetMode="External"/><Relationship Id="rId6" Type="http://schemas.openxmlformats.org/officeDocument/2006/relationships/hyperlink" Target="https://www.sec.gov/Archives/edgar/data/105770/000010577025000039/finalmay2025articlesofin.htm" TargetMode="External"/><Relationship Id="rId7" Type="http://schemas.openxmlformats.org/officeDocument/2006/relationships/hyperlink" Target="https://www.sec.gov/Archives/edgar/data/105770/000010577023000068/amendedrestatedbylawsoct20.htm" TargetMode="External"/><Relationship Id="rId8" Type="http://schemas.openxmlformats.org/officeDocument/2006/relationships/hyperlink" Target="https://www.sec.gov/Archives/edgar/data/105770/000010577026000010/ex43descriptionofsecurities.htm" TargetMode="External"/><Relationship Id="rId9" Type="http://schemas.openxmlformats.org/officeDocument/2006/relationships/hyperlink" Target="https://www.sec.gov/Archives/edgar/data/105770/000010577026000080/ceoemploymentagreementco.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21572</Words>
  <Characters>117344</Characters>
  <CharactersWithSpaces>137185</CharactersWithSpaces>
  <Paragraphs>3469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