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202565</wp:posOffset>
            </wp:positionH>
            <wp:positionV relativeFrom="page">
              <wp:posOffset>506095</wp:posOffset>
            </wp:positionV>
            <wp:extent cx="708660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6600" cy="5715"/>
                    </a:xfrm>
                    <a:prstGeom prst="rect">
                      <a:avLst/>
                    </a:prstGeom>
                    <a:noFill/>
                  </pic:spPr>
                </pic:pic>
              </a:graphicData>
            </a:graphic>
          </wp:anchor>
        </w:drawing>
        <w:drawing>
          <wp:anchor simplePos="0" relativeHeight="251657728" behindDoc="1" locked="0" layoutInCell="0" allowOverlap="1">
            <wp:simplePos x="0" y="0"/>
            <wp:positionH relativeFrom="page">
              <wp:posOffset>202565</wp:posOffset>
            </wp:positionH>
            <wp:positionV relativeFrom="page">
              <wp:posOffset>523240</wp:posOffset>
            </wp:positionV>
            <wp:extent cx="708660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6600" cy="5715"/>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8-K</w:t>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 Securities Exchange Act of 1934</w: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 October 23,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2961005</wp:posOffset>
            </wp:positionH>
            <wp:positionV relativeFrom="paragraph">
              <wp:posOffset>13335</wp:posOffset>
            </wp:positionV>
            <wp:extent cx="1245870" cy="502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5870" cy="5029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WEST PHARMACEUTICAL SERVICES,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27940</wp:posOffset>
            </wp:positionV>
            <wp:extent cx="710374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3745" cy="5715"/>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41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Pennsylvania</w:t>
            </w:r>
          </w:p>
        </w:tc>
        <w:tc>
          <w:tcPr>
            <w:tcW w:w="3480" w:type="dxa"/>
            <w:vAlign w:val="bottom"/>
            <w:gridSpan w:val="2"/>
          </w:tcPr>
          <w:p>
            <w:pPr>
              <w:jc w:val="right"/>
              <w:ind w:right="1380"/>
              <w:spacing w:after="0"/>
              <w:rPr>
                <w:sz w:val="20"/>
                <w:szCs w:val="20"/>
                <w:color w:val="auto"/>
              </w:rPr>
            </w:pPr>
            <w:r>
              <w:rPr>
                <w:rFonts w:ascii="Times New Roman" w:cs="Times New Roman" w:eastAsia="Times New Roman" w:hAnsi="Times New Roman"/>
                <w:sz w:val="12"/>
                <w:szCs w:val="12"/>
                <w:color w:val="auto"/>
              </w:rPr>
              <w:t>1-8036</w:t>
            </w:r>
          </w:p>
        </w:tc>
        <w:tc>
          <w:tcPr>
            <w:tcW w:w="280" w:type="dxa"/>
            <w:vAlign w:val="bottom"/>
          </w:tcPr>
          <w:p>
            <w:pPr>
              <w:spacing w:after="0"/>
              <w:rPr>
                <w:sz w:val="13"/>
                <w:szCs w:val="13"/>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23-1210010</w:t>
            </w:r>
          </w:p>
        </w:tc>
      </w:tr>
      <w:tr>
        <w:trPr>
          <w:trHeight w:val="27"/>
        </w:trPr>
        <w:tc>
          <w:tcPr>
            <w:tcW w:w="41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r>
      <w:tr>
        <w:trPr>
          <w:trHeight w:val="133"/>
        </w:trPr>
        <w:tc>
          <w:tcPr>
            <w:tcW w:w="41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(State or other jurisdiction</w:t>
            </w:r>
          </w:p>
        </w:tc>
        <w:tc>
          <w:tcPr>
            <w:tcW w:w="260" w:type="dxa"/>
            <w:vAlign w:val="bottom"/>
          </w:tcPr>
          <w:p>
            <w:pPr>
              <w:spacing w:after="0"/>
              <w:rPr>
                <w:sz w:val="11"/>
                <w:szCs w:val="11"/>
                <w:color w:val="auto"/>
              </w:rPr>
            </w:pPr>
          </w:p>
        </w:tc>
        <w:tc>
          <w:tcPr>
            <w:tcW w:w="32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(Commission File Number)</w:t>
            </w:r>
          </w:p>
        </w:tc>
        <w:tc>
          <w:tcPr>
            <w:tcW w:w="280" w:type="dxa"/>
            <w:vAlign w:val="bottom"/>
          </w:tcPr>
          <w:p>
            <w:pPr>
              <w:spacing w:after="0"/>
              <w:rPr>
                <w:sz w:val="11"/>
                <w:szCs w:val="11"/>
                <w:color w:val="auto"/>
              </w:rPr>
            </w:pPr>
          </w:p>
        </w:tc>
        <w:tc>
          <w:tcPr>
            <w:tcW w:w="34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(IRS Employer</w:t>
            </w:r>
          </w:p>
        </w:tc>
      </w:tr>
      <w:tr>
        <w:trPr>
          <w:trHeight w:val="155"/>
        </w:trPr>
        <w:tc>
          <w:tcPr>
            <w:tcW w:w="41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of incorporation)</w:t>
            </w:r>
          </w:p>
        </w:tc>
        <w:tc>
          <w:tcPr>
            <w:tcW w:w="26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Identification No.)</w:t>
            </w:r>
          </w:p>
        </w:tc>
      </w:tr>
      <w:tr>
        <w:trPr>
          <w:trHeight w:val="349"/>
        </w:trPr>
        <w:tc>
          <w:tcPr>
            <w:tcW w:w="41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530 Herman O. West Drive, Exton, PA</w:t>
            </w:r>
          </w:p>
        </w:tc>
        <w:tc>
          <w:tcPr>
            <w:tcW w:w="2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19341-1147</w:t>
            </w:r>
          </w:p>
        </w:tc>
      </w:tr>
      <w:tr>
        <w:trPr>
          <w:trHeight w:val="27"/>
        </w:trPr>
        <w:tc>
          <w:tcPr>
            <w:tcW w:w="41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r>
      <w:tr>
        <w:trPr>
          <w:trHeight w:val="144"/>
        </w:trPr>
        <w:tc>
          <w:tcPr>
            <w:tcW w:w="41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(Address of principal executive offices)</w:t>
            </w:r>
          </w:p>
        </w:tc>
        <w:tc>
          <w:tcPr>
            <w:tcW w:w="2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(Zip Code)</w:t>
            </w:r>
          </w:p>
        </w:tc>
      </w:tr>
    </w:tbl>
    <w:p>
      <w:pPr>
        <w:spacing w:after="0" w:line="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2"/>
          <w:szCs w:val="12"/>
          <w:b w:val="1"/>
          <w:bCs w:val="1"/>
          <w:color w:val="auto"/>
        </w:rPr>
        <w:t>610-594-2900</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27940</wp:posOffset>
            </wp:positionV>
            <wp:extent cx="710374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3745" cy="5715"/>
                    </a:xfrm>
                    <a:prstGeom prst="rect">
                      <a:avLst/>
                    </a:prstGeom>
                    <a:noFill/>
                  </pic:spPr>
                </pic:pic>
              </a:graphicData>
            </a:graphic>
          </wp:anchor>
        </w:drawing>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(Former name or address, if changed since last report.)</w:t>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33" w:lineRule="exact"/>
        <w:rPr>
          <w:sz w:val="24"/>
          <w:szCs w:val="24"/>
          <w:color w:val="auto"/>
        </w:rPr>
      </w:pPr>
    </w:p>
    <w:p>
      <w:pPr>
        <w:ind w:left="580" w:hanging="549"/>
        <w:spacing w:after="0"/>
        <w:tabs>
          <w:tab w:leader="none" w:pos="5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23" w:lineRule="exact"/>
        <w:rPr>
          <w:rFonts w:ascii="MS PGothic" w:cs="MS PGothic" w:eastAsia="MS PGothic" w:hAnsi="MS PGothic"/>
          <w:sz w:val="12"/>
          <w:szCs w:val="12"/>
          <w:color w:val="auto"/>
        </w:rPr>
      </w:pPr>
    </w:p>
    <w:p>
      <w:pPr>
        <w:ind w:left="580" w:hanging="549"/>
        <w:spacing w:after="0"/>
        <w:tabs>
          <w:tab w:leader="none" w:pos="5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14" w:lineRule="exact"/>
        <w:rPr>
          <w:rFonts w:ascii="MS PGothic" w:cs="MS PGothic" w:eastAsia="MS PGothic" w:hAnsi="MS PGothic"/>
          <w:sz w:val="12"/>
          <w:szCs w:val="12"/>
          <w:color w:val="auto"/>
        </w:rPr>
      </w:pPr>
    </w:p>
    <w:p>
      <w:pPr>
        <w:ind w:left="580" w:hanging="549"/>
        <w:spacing w:after="0"/>
        <w:tabs>
          <w:tab w:leader="none" w:pos="5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23" w:lineRule="exact"/>
        <w:rPr>
          <w:rFonts w:ascii="MS PGothic" w:cs="MS PGothic" w:eastAsia="MS PGothic" w:hAnsi="MS PGothic"/>
          <w:sz w:val="12"/>
          <w:szCs w:val="12"/>
          <w:color w:val="auto"/>
        </w:rPr>
      </w:pPr>
    </w:p>
    <w:p>
      <w:pPr>
        <w:ind w:left="580" w:hanging="549"/>
        <w:spacing w:after="0"/>
        <w:tabs>
          <w:tab w:leader="none" w:pos="5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35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29" w:lineRule="exact"/>
        <w:rPr>
          <w:sz w:val="24"/>
          <w:szCs w:val="24"/>
          <w:color w:val="auto"/>
        </w:rPr>
      </w:pPr>
    </w:p>
    <w:p>
      <w:pPr>
        <w:ind w:left="1260" w:right="1320" w:firstLine="559"/>
        <w:spacing w:after="0" w:line="271" w:lineRule="auto"/>
        <w:rPr>
          <w:sz w:val="20"/>
          <w:szCs w:val="20"/>
          <w:color w:val="auto"/>
        </w:rPr>
      </w:pPr>
      <w:r>
        <w:rPr>
          <w:rFonts w:ascii="Times New Roman" w:cs="Times New Roman" w:eastAsia="Times New Roman" w:hAnsi="Times New Roman"/>
          <w:sz w:val="12"/>
          <w:szCs w:val="12"/>
          <w:b w:val="1"/>
          <w:bCs w:val="1"/>
          <w:color w:val="auto"/>
        </w:rPr>
        <w:t xml:space="preserve">Title of each class Trading Symbol Name of each exchange on which registered </w:t>
      </w:r>
      <w:r>
        <w:rPr>
          <w:rFonts w:ascii="Times New Roman" w:cs="Times New Roman" w:eastAsia="Times New Roman" w:hAnsi="Times New Roman"/>
          <w:sz w:val="12"/>
          <w:szCs w:val="12"/>
          <w:color w:val="auto"/>
        </w:rPr>
        <w:t>Common Stock, par value $0.25 per share WST New York Stock Exchange</w:t>
      </w:r>
    </w:p>
    <w:p>
      <w:pPr>
        <w:spacing w:after="0" w:line="199" w:lineRule="exact"/>
        <w:rPr>
          <w:sz w:val="24"/>
          <w:szCs w:val="24"/>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06" w:lineRule="exact"/>
        <w:rPr>
          <w:sz w:val="24"/>
          <w:szCs w:val="24"/>
          <w:color w:val="auto"/>
        </w:rPr>
      </w:pPr>
    </w:p>
    <w:p>
      <w:pPr>
        <w:ind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0374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374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29210</wp:posOffset>
            </wp:positionV>
            <wp:extent cx="710374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3745" cy="57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49530</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29"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2.02 Results of Operations and Financial Condition.</w:t>
      </w:r>
    </w:p>
    <w:p>
      <w:pPr>
        <w:spacing w:after="0" w:line="82"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On October 23, 2025, West Pharmaceutical Services, Inc. (the “Company”) issued a press release announcing its third-quarter 2025 financial results. A copy of the press release is attached hereto as Exhibit 99.1 and incorporated herein by reference.</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information set forth in “Item 2.02 Results of Operations and Financial Condition,” including the exhibit referred to therein, is incorporated herein by reference.</w:t>
      </w:r>
    </w:p>
    <w:p>
      <w:pPr>
        <w:spacing w:after="0" w:line="78"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12"/>
          <w:szCs w:val="12"/>
          <w:color w:val="auto"/>
        </w:rPr>
        <w:t>A copy of the Company’s presentation materials used during the call will be available through the Investors link at the Company’s website, http://www.westpharma.com, and is also attached hereto as Exhibit 99.2 and incorporated herein by reference.</w:t>
      </w:r>
    </w:p>
    <w:p>
      <w:pPr>
        <w:spacing w:after="0" w:line="39"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2"/>
          <w:szCs w:val="12"/>
          <w:color w:val="auto"/>
        </w:rPr>
        <w:t>The information in this report (including the exhibits attached hereto) is being furnished pursuant to Item 2.02 and Item 7.01 and shall not be deemed “filed” for purposes of Section 18 of the Securities Exchange Act of 1934, as amended (“Exchange Act”), or otherwise subject to the liabilities of that section, nor will it be incorporated by reference in any filing under the Securities Act of 1933, as amended, or the Exchange Act, except as expressly set forth by specific referencing in such filing.</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(d)</w:t>
            </w:r>
          </w:p>
        </w:tc>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w w:val="96"/>
              </w:rPr>
              <w:t>Exhibit No.</w:t>
            </w:r>
          </w:p>
        </w:tc>
        <w:tc>
          <w:tcPr>
            <w:tcW w:w="760" w:type="dxa"/>
            <w:vAlign w:val="bottom"/>
          </w:tcPr>
          <w:p>
            <w:pPr>
              <w:spacing w:after="0"/>
              <w:rPr>
                <w:sz w:val="12"/>
                <w:szCs w:val="12"/>
                <w:color w:val="auto"/>
              </w:rPr>
            </w:pPr>
          </w:p>
        </w:tc>
        <w:tc>
          <w:tcPr>
            <w:tcW w:w="8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Description</w:t>
            </w:r>
          </w:p>
        </w:tc>
      </w:tr>
      <w:tr>
        <w:trPr>
          <w:trHeight w:val="20"/>
        </w:trPr>
        <w:tc>
          <w:tcPr>
            <w:tcW w:w="10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r>
      <w:tr>
        <w:trPr>
          <w:trHeight w:val="187"/>
        </w:trPr>
        <w:tc>
          <w:tcPr>
            <w:tcW w:w="1020" w:type="dxa"/>
            <w:vAlign w:val="bottom"/>
          </w:tcPr>
          <w:p>
            <w:pPr>
              <w:spacing w:after="0"/>
              <w:rPr>
                <w:sz w:val="16"/>
                <w:szCs w:val="16"/>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99.1</w:t>
            </w:r>
          </w:p>
        </w:tc>
        <w:tc>
          <w:tcPr>
            <w:tcW w:w="760" w:type="dxa"/>
            <w:vAlign w:val="bottom"/>
          </w:tcPr>
          <w:p>
            <w:pPr>
              <w:spacing w:after="0"/>
              <w:rPr>
                <w:sz w:val="16"/>
                <w:szCs w:val="16"/>
                <w:color w:val="auto"/>
              </w:rPr>
            </w:pPr>
          </w:p>
        </w:tc>
        <w:tc>
          <w:tcPr>
            <w:tcW w:w="8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West Pharmaceutical Services, Inc. Press Release, dated October 23, 2025.</w:t>
            </w:r>
          </w:p>
        </w:tc>
      </w:tr>
      <w:tr>
        <w:trPr>
          <w:trHeight w:val="180"/>
        </w:trPr>
        <w:tc>
          <w:tcPr>
            <w:tcW w:w="102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99.2</w:t>
            </w:r>
          </w:p>
        </w:tc>
        <w:tc>
          <w:tcPr>
            <w:tcW w:w="760" w:type="dxa"/>
            <w:vAlign w:val="bottom"/>
          </w:tcPr>
          <w:p>
            <w:pPr>
              <w:spacing w:after="0"/>
              <w:rPr>
                <w:sz w:val="15"/>
                <w:szCs w:val="15"/>
                <w:color w:val="auto"/>
              </w:rPr>
            </w:pPr>
          </w:p>
        </w:tc>
        <w:tc>
          <w:tcPr>
            <w:tcW w:w="8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West Pharmaceutical Services, Inc. Presentation, dated October 23, 2025.</w:t>
            </w:r>
          </w:p>
        </w:tc>
      </w:tr>
      <w:tr>
        <w:trPr>
          <w:trHeight w:val="180"/>
        </w:trPr>
        <w:tc>
          <w:tcPr>
            <w:tcW w:w="102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760" w:type="dxa"/>
            <w:vAlign w:val="bottom"/>
          </w:tcPr>
          <w:p>
            <w:pPr>
              <w:spacing w:after="0"/>
              <w:rPr>
                <w:sz w:val="15"/>
                <w:szCs w:val="15"/>
                <w:color w:val="auto"/>
              </w:rPr>
            </w:pPr>
          </w:p>
        </w:tc>
        <w:tc>
          <w:tcPr>
            <w:tcW w:w="8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The cover page from the Company’s Current Report on Form 8-K, dated October 23, 2025, formatted in Inline XBRL.</w:t>
            </w:r>
          </w:p>
        </w:tc>
      </w:tr>
      <w:tr>
        <w:trPr>
          <w:trHeight w:val="1071"/>
        </w:trPr>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960" w:type="dxa"/>
            <w:vAlign w:val="bottom"/>
            <w:gridSpan w:val="2"/>
          </w:tcPr>
          <w:p>
            <w:pPr>
              <w:ind w:left="3280"/>
              <w:spacing w:after="0"/>
              <w:rPr>
                <w:sz w:val="20"/>
                <w:szCs w:val="20"/>
                <w:color w:val="auto"/>
              </w:rPr>
            </w:pPr>
            <w:r>
              <w:rPr>
                <w:rFonts w:ascii="Times New Roman" w:cs="Times New Roman" w:eastAsia="Times New Roman" w:hAnsi="Times New Roman"/>
                <w:sz w:val="12"/>
                <w:szCs w:val="12"/>
                <w:color w:val="auto"/>
              </w:rPr>
              <w:t>2</w:t>
            </w:r>
          </w:p>
        </w:tc>
      </w:tr>
      <w:tr>
        <w:trPr>
          <w:trHeight w:val="90"/>
        </w:trPr>
        <w:tc>
          <w:tcPr>
            <w:tcW w:w="10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84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38" w:right="299" w:bottom="1440" w:gutter="0" w:footer="0" w:header="0"/>
        </w:sectPr>
      </w:pPr>
    </w:p>
    <w:bookmarkStart w:id="2" w:name="page3"/>
    <w:bookmarkEnd w:id="2"/>
    <w:p>
      <w:pPr>
        <w:ind w:left="530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hereunto duly authorized.</w:t>
      </w:r>
    </w:p>
    <w:p>
      <w:pPr>
        <w:spacing w:after="0" w:line="36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2"/>
          <w:szCs w:val="12"/>
          <w:color w:val="auto"/>
        </w:rPr>
        <w:t>WEST PHARMACEUTICAL SERVICES, INC.</w:t>
      </w:r>
    </w:p>
    <w:p>
      <w:pPr>
        <w:spacing w:after="0" w:line="33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2"/>
          <w:szCs w:val="12"/>
          <w:u w:val="single" w:color="auto"/>
          <w:color w:val="auto"/>
        </w:rPr>
        <w:t>/s/ Robert W. McMahon</w:t>
      </w:r>
    </w:p>
    <w:p>
      <w:pPr>
        <w:spacing w:after="0" w:line="4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2"/>
          <w:szCs w:val="12"/>
          <w:color w:val="auto"/>
        </w:rPr>
        <w:t>Robert W. McMahon</w:t>
      </w:r>
    </w:p>
    <w:p>
      <w:pPr>
        <w:spacing w:after="0" w:line="1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2"/>
          <w:szCs w:val="12"/>
          <w:color w:val="auto"/>
        </w:rPr>
        <w:t>Senior Vice President, Chief Financial Officer</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October 23,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49530</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962" w:right="1440" w:bottom="1440" w:gutter="0" w:footer="0" w:header="0"/>
        </w:sectPr>
      </w:pPr>
    </w:p>
    <w:bookmarkStart w:id="3" w:name="page4"/>
    <w:bookmarkEnd w:id="3"/>
    <w:p>
      <w:pPr>
        <w:ind w:left="5149"/>
        <w:spacing w:after="0"/>
        <w:rPr>
          <w:sz w:val="20"/>
          <w:szCs w:val="20"/>
          <w:color w:val="auto"/>
        </w:rPr>
      </w:pPr>
      <w:r>
        <w:rPr>
          <w:rFonts w:ascii="Times New Roman" w:cs="Times New Roman" w:eastAsia="Times New Roman" w:hAnsi="Times New Roman"/>
          <w:sz w:val="12"/>
          <w:szCs w:val="12"/>
          <w:b w:val="1"/>
          <w:bCs w:val="1"/>
          <w:color w:val="auto"/>
        </w:rPr>
        <w:t>EXHIBIT INDEX</w:t>
      </w:r>
    </w:p>
    <w:p>
      <w:pPr>
        <w:spacing w:after="0" w:line="189" w:lineRule="exact"/>
        <w:rPr>
          <w:sz w:val="20"/>
          <w:szCs w:val="20"/>
          <w:color w:val="auto"/>
        </w:rPr>
      </w:pPr>
    </w:p>
    <w:tbl>
      <w:tblPr>
        <w:tblLayout w:type="fixed"/>
        <w:tblInd w:w="9" w:type="dxa"/>
        <w:tblCellMar>
          <w:top w:w="0" w:type="dxa"/>
          <w:left w:w="0" w:type="dxa"/>
          <w:bottom w:w="0" w:type="dxa"/>
          <w:right w:w="0" w:type="dxa"/>
        </w:tblCellMar>
      </w:tblPr>
      <w:tr>
        <w:trPr>
          <w:trHeight w:val="138"/>
        </w:trPr>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6"/>
              </w:rPr>
              <w:t>Exhibit No.</w:t>
            </w:r>
          </w:p>
        </w:tc>
        <w:tc>
          <w:tcPr>
            <w:tcW w:w="860" w:type="dxa"/>
            <w:vAlign w:val="bottom"/>
          </w:tcPr>
          <w:p>
            <w:pPr>
              <w:spacing w:after="0"/>
              <w:rPr>
                <w:sz w:val="12"/>
                <w:szCs w:val="12"/>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6"/>
              </w:rPr>
              <w:t>Description</w:t>
            </w:r>
          </w:p>
        </w:tc>
        <w:tc>
          <w:tcPr>
            <w:tcW w:w="3020" w:type="dxa"/>
            <w:vAlign w:val="bottom"/>
            <w:gridSpan w:val="2"/>
          </w:tcPr>
          <w:p>
            <w:pPr>
              <w:spacing w:after="0"/>
              <w:rPr>
                <w:sz w:val="12"/>
                <w:szCs w:val="12"/>
                <w:color w:val="auto"/>
              </w:rPr>
            </w:pPr>
          </w:p>
        </w:tc>
      </w:tr>
      <w:tr>
        <w:trPr>
          <w:trHeight w:val="160"/>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99.1</w:t>
            </w:r>
          </w:p>
        </w:tc>
        <w:tc>
          <w:tcPr>
            <w:tcW w:w="860" w:type="dxa"/>
            <w:vAlign w:val="bottom"/>
          </w:tcPr>
          <w:p>
            <w:pPr>
              <w:spacing w:after="0"/>
              <w:rPr>
                <w:sz w:val="13"/>
                <w:szCs w:val="13"/>
                <w:color w:val="auto"/>
              </w:rPr>
            </w:pPr>
          </w:p>
        </w:tc>
        <w:tc>
          <w:tcPr>
            <w:tcW w:w="35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2"/>
                <w:szCs w:val="12"/>
                <w:color w:val="0000FF"/>
                <w:w w:val="98"/>
              </w:rPr>
              <w:t>West Pharmaceutical Services, Inc. Press Release, dated October 23, 2025.</w:t>
            </w:r>
          </w:p>
        </w:tc>
      </w:tr>
      <w:tr>
        <w:trPr>
          <w:trHeight w:val="160"/>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99.2</w:t>
            </w:r>
          </w:p>
        </w:tc>
        <w:tc>
          <w:tcPr>
            <w:tcW w:w="860" w:type="dxa"/>
            <w:vAlign w:val="bottom"/>
          </w:tcPr>
          <w:p>
            <w:pPr>
              <w:spacing w:after="0"/>
              <w:rPr>
                <w:sz w:val="13"/>
                <w:szCs w:val="13"/>
                <w:color w:val="auto"/>
              </w:rPr>
            </w:pPr>
          </w:p>
        </w:tc>
        <w:tc>
          <w:tcPr>
            <w:tcW w:w="35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w w:val="98"/>
              </w:rPr>
              <w:t>West Pharmaceutical Services, Inc. Presentation, dated October 23, 2025.</w:t>
            </w:r>
          </w:p>
        </w:tc>
        <w:tc>
          <w:tcPr>
            <w:tcW w:w="60" w:type="dxa"/>
            <w:vAlign w:val="bottom"/>
          </w:tcPr>
          <w:p>
            <w:pPr>
              <w:spacing w:after="0"/>
              <w:rPr>
                <w:sz w:val="13"/>
                <w:szCs w:val="13"/>
                <w:color w:val="auto"/>
              </w:rPr>
            </w:pPr>
          </w:p>
        </w:tc>
      </w:tr>
    </w:tbl>
    <w:p>
      <w:pPr>
        <w:spacing w:after="0" w:line="43" w:lineRule="exact"/>
        <w:rPr>
          <w:sz w:val="20"/>
          <w:szCs w:val="20"/>
          <w:color w:val="auto"/>
        </w:rPr>
      </w:pPr>
    </w:p>
    <w:p>
      <w:pPr>
        <w:ind w:left="1429" w:hanging="1429"/>
        <w:spacing w:after="0"/>
        <w:tabs>
          <w:tab w:leader="none" w:pos="1429" w:val="left"/>
        </w:tabs>
        <w:numPr>
          <w:ilvl w:val="0"/>
          <w:numId w:val="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cover page from the Company’s Current Report on Form 8-K, dated October 23, 2025, formatted in Inline XBRL.</w:t>
      </w:r>
    </w:p>
    <w:p>
      <w:pPr>
        <w:spacing w:after="0" w:line="200" w:lineRule="exact"/>
        <w:rPr>
          <w:rFonts w:ascii="Times New Roman" w:cs="Times New Roman" w:eastAsia="Times New Roman" w:hAnsi="Times New Roman"/>
          <w:sz w:val="11"/>
          <w:szCs w:val="11"/>
          <w:color w:val="auto"/>
        </w:rPr>
      </w:pPr>
    </w:p>
    <w:p>
      <w:pPr>
        <w:spacing w:after="0" w:line="200" w:lineRule="exact"/>
        <w:rPr>
          <w:rFonts w:ascii="Times New Roman" w:cs="Times New Roman" w:eastAsia="Times New Roman" w:hAnsi="Times New Roman"/>
          <w:sz w:val="11"/>
          <w:szCs w:val="11"/>
          <w:color w:val="auto"/>
        </w:rPr>
      </w:pPr>
    </w:p>
    <w:p>
      <w:pPr>
        <w:spacing w:after="0" w:line="310" w:lineRule="exact"/>
        <w:rPr>
          <w:rFonts w:ascii="Times New Roman" w:cs="Times New Roman" w:eastAsia="Times New Roman" w:hAnsi="Times New Roman"/>
          <w:sz w:val="11"/>
          <w:szCs w:val="11"/>
          <w:color w:val="auto"/>
        </w:rPr>
      </w:pPr>
    </w:p>
    <w:p>
      <w:pPr>
        <w:ind w:left="5589"/>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4</w:t>
      </w:r>
    </w:p>
    <w:p>
      <w:pPr>
        <w:sectPr>
          <w:pgSz w:w="11900" w:h="16838" w:orient="portrait"/>
          <w:cols w:equalWidth="0" w:num="1">
            <w:col w:w="10128"/>
          </w:cols>
          <w:pgMar w:left="331" w:top="1124" w:right="1440" w:bottom="1440" w:gutter="0" w:footer="0" w:header="0"/>
        </w:sectPr>
      </w:pPr>
    </w:p>
    <w:bookmarkStart w:id="4" w:name="page5"/>
    <w:bookmarkEnd w:id="4"/>
    <w:p>
      <w:pPr>
        <w:spacing w:after="0" w:line="2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637540</wp:posOffset>
            </wp:positionV>
            <wp:extent cx="2268855" cy="3771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268855" cy="37719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17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West Reports Third-Quarter 2025 Results</w:t>
      </w:r>
    </w:p>
    <w:p>
      <w:pPr>
        <w:spacing w:after="0" w:line="17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i w:val="1"/>
          <w:iCs w:val="1"/>
          <w:color w:val="auto"/>
        </w:rPr>
        <w:t>- Delivered solid growth across Proprietary Products and Contract Manufacturing Segments -</w:t>
      </w:r>
    </w:p>
    <w:p>
      <w:pPr>
        <w:spacing w:after="0" w:line="2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i w:val="1"/>
          <w:iCs w:val="1"/>
          <w:color w:val="auto"/>
        </w:rPr>
        <w:t>- Achieved double-digit growth in HVP Components -</w:t>
      </w:r>
    </w:p>
    <w:p>
      <w:pPr>
        <w:spacing w:after="0" w:line="1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i w:val="1"/>
          <w:iCs w:val="1"/>
          <w:color w:val="auto"/>
        </w:rPr>
        <w:t>- Strengthened executive leadership team, including recently appointed CFO Robert McMahon -</w:t>
      </w:r>
    </w:p>
    <w:p>
      <w:pPr>
        <w:spacing w:after="0" w:line="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i w:val="1"/>
          <w:iCs w:val="1"/>
          <w:color w:val="auto"/>
        </w:rPr>
        <w:t>- Increases Full-Year 2025 Revenue and EPS Guidance -</w:t>
      </w:r>
    </w:p>
    <w:p>
      <w:pPr>
        <w:spacing w:after="0" w:line="164" w:lineRule="exact"/>
        <w:rPr>
          <w:sz w:val="20"/>
          <w:szCs w:val="20"/>
          <w:color w:val="auto"/>
        </w:rPr>
      </w:pPr>
    </w:p>
    <w:p>
      <w:pPr>
        <w:ind w:left="8" w:right="240"/>
        <w:spacing w:after="0" w:line="295" w:lineRule="auto"/>
        <w:rPr>
          <w:sz w:val="20"/>
          <w:szCs w:val="20"/>
          <w:color w:val="auto"/>
        </w:rPr>
      </w:pPr>
      <w:r>
        <w:rPr>
          <w:rFonts w:ascii="Times New Roman" w:cs="Times New Roman" w:eastAsia="Times New Roman" w:hAnsi="Times New Roman"/>
          <w:sz w:val="14"/>
          <w:szCs w:val="14"/>
          <w:color w:val="auto"/>
        </w:rPr>
        <w:t>Exton, PA, October 23, 2025 – West Pharmaceutical Services, Inc. (NYSE: WST), a leading provider of innovative, high-quality injectable solutions and services, today announced its financial results for the third quarter of 2025.</w:t>
      </w:r>
    </w:p>
    <w:p>
      <w:pPr>
        <w:spacing w:after="0" w:line="10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auto"/>
        </w:rPr>
        <w:t>Third-Quarter Summary (comparisons to prior-year period)</w:t>
      </w:r>
    </w:p>
    <w:p>
      <w:pPr>
        <w:spacing w:after="0" w:line="28" w:lineRule="exact"/>
        <w:rPr>
          <w:sz w:val="20"/>
          <w:szCs w:val="20"/>
          <w:color w:val="auto"/>
        </w:rPr>
      </w:pPr>
    </w:p>
    <w:p>
      <w:pPr>
        <w:ind w:left="168" w:hanging="168"/>
        <w:spacing w:after="0"/>
        <w:tabs>
          <w:tab w:leader="none" w:pos="168" w:val="left"/>
        </w:tabs>
        <w:numPr>
          <w:ilvl w:val="0"/>
          <w:numId w:val="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Net sales of $804.6 million increased 7.7%; organic growth was 5.0%.</w:t>
      </w:r>
    </w:p>
    <w:p>
      <w:pPr>
        <w:spacing w:after="0" w:line="11" w:lineRule="exact"/>
        <w:rPr>
          <w:rFonts w:ascii="Times New Roman" w:cs="Times New Roman" w:eastAsia="Times New Roman" w:hAnsi="Times New Roman"/>
          <w:sz w:val="14"/>
          <w:szCs w:val="14"/>
          <w:b w:val="1"/>
          <w:bCs w:val="1"/>
          <w:color w:val="auto"/>
        </w:rPr>
      </w:pPr>
    </w:p>
    <w:p>
      <w:pPr>
        <w:ind w:left="168" w:hanging="168"/>
        <w:spacing w:after="0"/>
        <w:tabs>
          <w:tab w:leader="none" w:pos="168"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Diluted EPS of $1.92, compared to $1.85 in the same period last year.</w:t>
      </w:r>
    </w:p>
    <w:p>
      <w:pPr>
        <w:spacing w:after="0" w:line="17" w:lineRule="exact"/>
        <w:rPr>
          <w:rFonts w:ascii="Times New Roman" w:cs="Times New Roman" w:eastAsia="Times New Roman" w:hAnsi="Times New Roman"/>
          <w:sz w:val="14"/>
          <w:szCs w:val="14"/>
          <w:color w:val="auto"/>
        </w:rPr>
      </w:pPr>
    </w:p>
    <w:p>
      <w:pPr>
        <w:ind w:left="168" w:hanging="168"/>
        <w:spacing w:after="0"/>
        <w:tabs>
          <w:tab w:leader="none" w:pos="168"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Adjusted-diluted EPS of $1.96, compared to $1.85 in the same period last year.</w:t>
      </w:r>
    </w:p>
    <w:p>
      <w:pPr>
        <w:spacing w:after="0" w:line="10" w:lineRule="exact"/>
        <w:rPr>
          <w:rFonts w:ascii="Times New Roman" w:cs="Times New Roman" w:eastAsia="Times New Roman" w:hAnsi="Times New Roman"/>
          <w:sz w:val="14"/>
          <w:szCs w:val="14"/>
          <w:color w:val="auto"/>
        </w:rPr>
      </w:pPr>
    </w:p>
    <w:p>
      <w:pPr>
        <w:ind w:left="168" w:hanging="168"/>
        <w:spacing w:after="0"/>
        <w:tabs>
          <w:tab w:leader="none" w:pos="168"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Full-year 2025 net sales guidance increased to a range of $3.060 billion to $3.070 billion, up from $3.040 billion to $3.060 billion.</w:t>
      </w:r>
    </w:p>
    <w:p>
      <w:pPr>
        <w:spacing w:after="0" w:line="10" w:lineRule="exact"/>
        <w:rPr>
          <w:rFonts w:ascii="Times New Roman" w:cs="Times New Roman" w:eastAsia="Times New Roman" w:hAnsi="Times New Roman"/>
          <w:sz w:val="14"/>
          <w:szCs w:val="14"/>
          <w:color w:val="auto"/>
        </w:rPr>
      </w:pPr>
    </w:p>
    <w:p>
      <w:pPr>
        <w:ind w:left="168" w:hanging="168"/>
        <w:spacing w:after="0"/>
        <w:tabs>
          <w:tab w:leader="none" w:pos="168"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Full-year 2025 adjusted-diluted EPS guidance increased to a range of $7.06 to $7.11, up from $6.65 to $6.85.</w:t>
      </w:r>
    </w:p>
    <w:p>
      <w:pPr>
        <w:spacing w:after="0" w:line="156" w:lineRule="exact"/>
        <w:rPr>
          <w:sz w:val="20"/>
          <w:szCs w:val="20"/>
          <w:color w:val="auto"/>
        </w:rPr>
      </w:pPr>
    </w:p>
    <w:p>
      <w:pPr>
        <w:ind w:left="8"/>
        <w:spacing w:after="0" w:line="272" w:lineRule="auto"/>
        <w:rPr>
          <w:sz w:val="20"/>
          <w:szCs w:val="20"/>
          <w:color w:val="auto"/>
        </w:rPr>
      </w:pPr>
      <w:r>
        <w:rPr>
          <w:rFonts w:ascii="Times New Roman" w:cs="Times New Roman" w:eastAsia="Times New Roman" w:hAnsi="Times New Roman"/>
          <w:sz w:val="14"/>
          <w:szCs w:val="14"/>
          <w:color w:val="auto"/>
        </w:rPr>
        <w:t>Eric M. Green, President, Chief Executive Officer and Chair of the Board, commented: “I am pleased to report that we delivered another solid quarter, with both revenues and profits exceeding our guidance. Our strength was broad-based, across both our Proprietary Products and Contract Manufacturing segments. We achieved double-digit growth in our HVP Components business, driven by our continued execution in GLP-1 products, increased HVP conversion, including Annex 1, and an overall improving demand environment. As a result of the solid performance in the quarter, and the ongoing momentum in our business, we are again increasing our full-year guidance expectations.”</w:t>
      </w:r>
    </w:p>
    <w:p>
      <w:pPr>
        <w:spacing w:after="0" w:line="1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auto"/>
        </w:rPr>
        <w:t>Proprietary Products Segment</w:t>
      </w:r>
    </w:p>
    <w:p>
      <w:pPr>
        <w:spacing w:after="0" w:line="2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Net sales of $647.5 million grew by 7.7% and increased 5.1% on an organic basis.</w:t>
      </w:r>
    </w:p>
    <w:p>
      <w:pPr>
        <w:spacing w:after="0" w:line="10" w:lineRule="exact"/>
        <w:rPr>
          <w:sz w:val="20"/>
          <w:szCs w:val="20"/>
          <w:color w:val="auto"/>
        </w:rPr>
      </w:pPr>
    </w:p>
    <w:p>
      <w:pPr>
        <w:ind w:left="428" w:right="240" w:hanging="212"/>
        <w:spacing w:after="0" w:line="261" w:lineRule="auto"/>
        <w:tabs>
          <w:tab w:leader="none" w:pos="424"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High-Value Product ("HVP") Components net sales of $390.0 million increased 16.3% and rose 13.3% on an organic basis driven by strength in Westar® and Envision® products. HVP Components accounted for 48% of total company net sales in the quarter.</w:t>
      </w:r>
    </w:p>
    <w:p>
      <w:pPr>
        <w:ind w:left="428" w:right="840" w:hanging="212"/>
        <w:spacing w:after="0" w:line="271" w:lineRule="auto"/>
        <w:tabs>
          <w:tab w:leader="none" w:pos="424"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HVP Delivery Devices net sales of $99.1 million decreased by 15.7%, and were down 16.7% on an organic basis, driven by the previously disclosed one-time incentive fee of approximately $19 million earned in the third quarter of 2024. HVP Delivery Devices accounted for 12% of total company net sales in the quarter.</w:t>
      </w:r>
    </w:p>
    <w:p>
      <w:pPr>
        <w:sectPr>
          <w:pgSz w:w="11900" w:h="16838" w:orient="portrait"/>
          <w:cols w:equalWidth="0" w:num="1">
            <w:col w:w="11308"/>
          </w:cols>
          <w:pgMar w:left="292" w:top="1440" w:right="299" w:bottom="1440" w:gutter="0" w:footer="0" w:header="0"/>
        </w:sectPr>
      </w:pPr>
    </w:p>
    <w:bookmarkStart w:id="5" w:name="page6"/>
    <w:bookmarkEnd w:id="5"/>
    <w:p>
      <w:pPr>
        <w:ind w:left="428" w:hanging="212"/>
        <w:spacing w:after="0"/>
        <w:tabs>
          <w:tab w:leader="none" w:pos="428"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Standard Products net sales of $158.4 million increased by 6.7% and rose 3.6% on an organic basis. Standard Products accounted for 20% of total company net sales this quarter.</w:t>
      </w:r>
    </w:p>
    <w:p>
      <w:pPr>
        <w:spacing w:after="0" w:line="17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auto"/>
        </w:rPr>
        <w:t>Contract-Manufactured Products Segment</w:t>
      </w:r>
    </w:p>
    <w:p>
      <w:pPr>
        <w:spacing w:after="0" w:line="28" w:lineRule="exact"/>
        <w:rPr>
          <w:sz w:val="20"/>
          <w:szCs w:val="20"/>
          <w:color w:val="auto"/>
        </w:rPr>
      </w:pPr>
    </w:p>
    <w:p>
      <w:pPr>
        <w:ind w:left="8"/>
        <w:spacing w:after="0" w:line="285" w:lineRule="auto"/>
        <w:rPr>
          <w:sz w:val="20"/>
          <w:szCs w:val="20"/>
          <w:color w:val="auto"/>
        </w:rPr>
      </w:pPr>
      <w:r>
        <w:rPr>
          <w:rFonts w:ascii="Times New Roman" w:cs="Times New Roman" w:eastAsia="Times New Roman" w:hAnsi="Times New Roman"/>
          <w:sz w:val="14"/>
          <w:szCs w:val="14"/>
          <w:color w:val="auto"/>
        </w:rPr>
        <w:t>Net sales of $157.1 million increased by 8.0% and rose 4.9% on an organic basis. Segment performance was driven by an increase in sales of self-injection devices for obesity and diabetes, which was partially offset by a decrease in sales of healthcare diagnostic devices. Contract-Manufactured Products accounted for 20% of total company net sales in the quarter.</w:t>
      </w:r>
    </w:p>
    <w:p>
      <w:pPr>
        <w:spacing w:after="0" w:line="11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auto"/>
        </w:rPr>
        <w:t>Additional Financial Highlights (first nine months of 2025)</w:t>
      </w:r>
    </w:p>
    <w:p>
      <w:pPr>
        <w:spacing w:after="0" w:line="28" w:lineRule="exact"/>
        <w:rPr>
          <w:sz w:val="20"/>
          <w:szCs w:val="20"/>
          <w:color w:val="auto"/>
        </w:rPr>
      </w:pPr>
    </w:p>
    <w:p>
      <w:pPr>
        <w:ind w:left="8" w:right="180"/>
        <w:spacing w:after="0" w:line="271" w:lineRule="auto"/>
        <w:rPr>
          <w:sz w:val="20"/>
          <w:szCs w:val="20"/>
          <w:color w:val="auto"/>
        </w:rPr>
      </w:pPr>
      <w:r>
        <w:rPr>
          <w:rFonts w:ascii="Times New Roman" w:cs="Times New Roman" w:eastAsia="Times New Roman" w:hAnsi="Times New Roman"/>
          <w:sz w:val="14"/>
          <w:szCs w:val="14"/>
          <w:color w:val="auto"/>
        </w:rPr>
        <w:t>Operating cash flow was $503.7 million, an increase of 8.7% over the same period last year. Capital expenditures were $209.8 million, a decrease of 22.9% over the same period last year. Free cash flow (defined as operating cash flow minus capital expenditures) was $293.9 million, an increase of 53.7% over the same period last year.</w:t>
      </w:r>
    </w:p>
    <w:p>
      <w:pPr>
        <w:spacing w:after="0" w:line="12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During the first nine months of 2025, the Company repurchased 552,593 shares for $134.0 million at an average share price of $242.55 under its share repurchase program.</w:t>
      </w:r>
    </w:p>
    <w:p>
      <w:pPr>
        <w:spacing w:after="0" w:line="17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auto"/>
        </w:rPr>
        <w:t>Full-Year 2025 Financial Guidance</w:t>
      </w:r>
    </w:p>
    <w:p>
      <w:pPr>
        <w:spacing w:after="0" w:line="28" w:lineRule="exact"/>
        <w:rPr>
          <w:sz w:val="20"/>
          <w:szCs w:val="20"/>
          <w:color w:val="auto"/>
        </w:rPr>
      </w:pPr>
    </w:p>
    <w:p>
      <w:pPr>
        <w:ind w:left="168" w:hanging="168"/>
        <w:spacing w:after="0"/>
        <w:tabs>
          <w:tab w:leader="none" w:pos="168"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increasing its full-year 2025 net sales guidance range to $3.060 billion to $3.070 billion, up from $3.040 billion to $3.060 billion.</w:t>
      </w:r>
    </w:p>
    <w:p>
      <w:pPr>
        <w:spacing w:after="0" w:line="10" w:lineRule="exact"/>
        <w:rPr>
          <w:rFonts w:ascii="Times New Roman" w:cs="Times New Roman" w:eastAsia="Times New Roman" w:hAnsi="Times New Roman"/>
          <w:sz w:val="14"/>
          <w:szCs w:val="14"/>
          <w:color w:val="auto"/>
        </w:rPr>
      </w:pPr>
    </w:p>
    <w:p>
      <w:pPr>
        <w:ind w:left="588" w:right="40" w:hanging="210"/>
        <w:spacing w:after="0" w:line="254" w:lineRule="auto"/>
        <w:tabs>
          <w:tab w:leader="none" w:pos="585"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Reported net sales growth anticipated to be in the range of 5.8% to 6.1%, organic net sales growth is expected to be in the range of 3.75% to 4.0%, up from the previous guidance range of 3.0% to 3.75%.</w:t>
      </w:r>
    </w:p>
    <w:p>
      <w:pPr>
        <w:spacing w:after="0" w:line="1" w:lineRule="exact"/>
        <w:rPr>
          <w:rFonts w:ascii="Times New Roman" w:cs="Times New Roman" w:eastAsia="Times New Roman" w:hAnsi="Times New Roman"/>
          <w:sz w:val="14"/>
          <w:szCs w:val="14"/>
          <w:color w:val="auto"/>
        </w:rPr>
      </w:pPr>
    </w:p>
    <w:p>
      <w:pPr>
        <w:ind w:left="588" w:hanging="210"/>
        <w:spacing w:after="0"/>
        <w:tabs>
          <w:tab w:leader="none" w:pos="588"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sales guidance includes an estimated benefit of approximately $59 million based on current foreign currency exchange rates.</w:t>
      </w:r>
    </w:p>
    <w:p>
      <w:pPr>
        <w:spacing w:after="0" w:line="10" w:lineRule="exact"/>
        <w:rPr>
          <w:rFonts w:ascii="Times New Roman" w:cs="Times New Roman" w:eastAsia="Times New Roman" w:hAnsi="Times New Roman"/>
          <w:sz w:val="14"/>
          <w:szCs w:val="14"/>
          <w:color w:val="auto"/>
        </w:rPr>
      </w:pPr>
    </w:p>
    <w:p>
      <w:pPr>
        <w:ind w:left="168" w:hanging="168"/>
        <w:spacing w:after="0"/>
        <w:tabs>
          <w:tab w:leader="none" w:pos="168"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increasing its full-year 2025 adjusted-diluted EPS guidance range to $7.06 to $7.11, up from the previous range of $6.65 to $6.85.</w:t>
      </w:r>
    </w:p>
    <w:p>
      <w:pPr>
        <w:spacing w:after="0" w:line="11" w:lineRule="exact"/>
        <w:rPr>
          <w:rFonts w:ascii="Times New Roman" w:cs="Times New Roman" w:eastAsia="Times New Roman" w:hAnsi="Times New Roman"/>
          <w:sz w:val="14"/>
          <w:szCs w:val="14"/>
          <w:color w:val="auto"/>
        </w:rPr>
      </w:pPr>
    </w:p>
    <w:p>
      <w:pPr>
        <w:ind w:left="588" w:hanging="210"/>
        <w:spacing w:after="0"/>
        <w:tabs>
          <w:tab w:leader="none" w:pos="588"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Adjusted-diluted EPS guidance assumes a $0.27 benefit based on current foreign exchange rates, unchanged from previous guidance.</w:t>
      </w:r>
    </w:p>
    <w:p>
      <w:pPr>
        <w:spacing w:after="0" w:line="17" w:lineRule="exact"/>
        <w:rPr>
          <w:rFonts w:ascii="Times New Roman" w:cs="Times New Roman" w:eastAsia="Times New Roman" w:hAnsi="Times New Roman"/>
          <w:sz w:val="14"/>
          <w:szCs w:val="14"/>
          <w:color w:val="auto"/>
        </w:rPr>
      </w:pPr>
    </w:p>
    <w:p>
      <w:pPr>
        <w:ind w:left="588" w:hanging="210"/>
        <w:spacing w:after="0"/>
        <w:tabs>
          <w:tab w:leader="none" w:pos="588"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guidance includes EPS of $0.05 associated with tax benefits from stock-based compensation during the first-nine months 2025.</w:t>
      </w:r>
    </w:p>
    <w:p>
      <w:pPr>
        <w:spacing w:after="0" w:line="10" w:lineRule="exact"/>
        <w:rPr>
          <w:rFonts w:ascii="Times New Roman" w:cs="Times New Roman" w:eastAsia="Times New Roman" w:hAnsi="Times New Roman"/>
          <w:sz w:val="14"/>
          <w:szCs w:val="14"/>
          <w:color w:val="auto"/>
        </w:rPr>
      </w:pPr>
    </w:p>
    <w:p>
      <w:pPr>
        <w:ind w:left="168" w:hanging="168"/>
        <w:spacing w:after="0"/>
        <w:tabs>
          <w:tab w:leader="none" w:pos="168"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spending guidance is unchanged at $275 million.</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auto"/>
        </w:rPr>
        <w:t>Fourth-Quarter 2025 Financial Guidance</w:t>
      </w:r>
    </w:p>
    <w:p>
      <w:pPr>
        <w:spacing w:after="0" w:line="28" w:lineRule="exact"/>
        <w:rPr>
          <w:sz w:val="20"/>
          <w:szCs w:val="20"/>
          <w:color w:val="auto"/>
        </w:rPr>
      </w:pPr>
    </w:p>
    <w:p>
      <w:pPr>
        <w:ind w:left="168" w:hanging="168"/>
        <w:spacing w:after="0"/>
        <w:tabs>
          <w:tab w:leader="none" w:pos="168" w:val="left"/>
        </w:tabs>
        <w:numPr>
          <w:ilvl w:val="0"/>
          <w:numId w:val="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is introducing its fourth-quarter 2025 net sales guidance range of $790 million to $800 million.</w:t>
      </w:r>
    </w:p>
    <w:p>
      <w:pPr>
        <w:spacing w:after="0" w:line="11" w:lineRule="exact"/>
        <w:rPr>
          <w:rFonts w:ascii="Times New Roman" w:cs="Times New Roman" w:eastAsia="Times New Roman" w:hAnsi="Times New Roman"/>
          <w:sz w:val="14"/>
          <w:szCs w:val="14"/>
          <w:b w:val="1"/>
          <w:bCs w:val="1"/>
          <w:color w:val="auto"/>
        </w:rPr>
      </w:pPr>
    </w:p>
    <w:p>
      <w:pPr>
        <w:ind w:left="588" w:hanging="156"/>
        <w:spacing w:after="0"/>
        <w:tabs>
          <w:tab w:leader="none" w:pos="588" w:val="left"/>
        </w:tabs>
        <w:numPr>
          <w:ilvl w:val="1"/>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Reported net sales growth anticipated to be in the range of 5.5% to 6.8%, organic net sales growth is expected to be in the range of 1.0% to 2.3%.</w:t>
      </w:r>
    </w:p>
    <w:p>
      <w:pPr>
        <w:spacing w:after="0" w:line="17" w:lineRule="exact"/>
        <w:rPr>
          <w:rFonts w:ascii="Times New Roman" w:cs="Times New Roman" w:eastAsia="Times New Roman" w:hAnsi="Times New Roman"/>
          <w:sz w:val="14"/>
          <w:szCs w:val="14"/>
          <w:color w:val="auto"/>
        </w:rPr>
      </w:pPr>
    </w:p>
    <w:p>
      <w:pPr>
        <w:ind w:left="588" w:hanging="156"/>
        <w:spacing w:after="0"/>
        <w:tabs>
          <w:tab w:leader="none" w:pos="588" w:val="left"/>
        </w:tabs>
        <w:numPr>
          <w:ilvl w:val="1"/>
          <w:numId w:val="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Net sales guidance includes an estimated benefit of approximately $35 million based on current foreign currency exchange rates.</w:t>
      </w:r>
    </w:p>
    <w:p>
      <w:pPr>
        <w:spacing w:after="0" w:line="10" w:lineRule="exact"/>
        <w:rPr>
          <w:rFonts w:ascii="Times New Roman" w:cs="Times New Roman" w:eastAsia="Times New Roman" w:hAnsi="Times New Roman"/>
          <w:sz w:val="14"/>
          <w:szCs w:val="14"/>
          <w:b w:val="1"/>
          <w:bCs w:val="1"/>
          <w:color w:val="auto"/>
        </w:rPr>
      </w:pPr>
    </w:p>
    <w:p>
      <w:pPr>
        <w:ind w:left="168" w:hanging="168"/>
        <w:spacing w:after="0"/>
        <w:tabs>
          <w:tab w:leader="none" w:pos="168"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introducing its fourth-quarter 2025 adjusted-diluted EPS guidance range of $1.81 to $1.86.</w:t>
      </w:r>
    </w:p>
    <w:p>
      <w:pPr>
        <w:sectPr>
          <w:pgSz w:w="11900" w:h="16838" w:orient="portrait"/>
          <w:cols w:equalWidth="0" w:num="1">
            <w:col w:w="11228"/>
          </w:cols>
          <w:pgMar w:left="292" w:top="994" w:right="379" w:bottom="1440" w:gutter="0" w:footer="0" w:header="0"/>
        </w:sectPr>
      </w:pPr>
    </w:p>
    <w:bookmarkStart w:id="6" w:name="page7"/>
    <w:bookmarkEnd w:id="6"/>
    <w:p>
      <w:pPr>
        <w:ind w:left="580" w:hanging="156"/>
        <w:spacing w:after="0"/>
        <w:tabs>
          <w:tab w:leader="none" w:pos="5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Adjusted-diluted EPS guidance assumes a $0.14 benefit based on current foreign exchange rates.</w:t>
      </w:r>
    </w:p>
    <w:p>
      <w:pPr>
        <w:spacing w:after="0" w:line="26" w:lineRule="exact"/>
        <w:rPr>
          <w:rFonts w:ascii="Times New Roman" w:cs="Times New Roman" w:eastAsia="Times New Roman" w:hAnsi="Times New Roman"/>
          <w:sz w:val="14"/>
          <w:szCs w:val="14"/>
          <w:color w:val="auto"/>
        </w:rPr>
      </w:pPr>
    </w:p>
    <w:p>
      <w:pPr>
        <w:ind w:left="580" w:hanging="156"/>
        <w:spacing w:after="0"/>
        <w:tabs>
          <w:tab w:leader="none" w:pos="5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adjusted-diluted EPS guidance range assumes a tax rate of approximately 21% and does not include potential tax benefits from stock-based compensation.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Third-Quarter 2025 Conference Call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Management will host a conference call at 8 a.m. EDT today. The live webcast can be accessed in the "Investors" section of the Company's website at https://investor.westpharma.com.</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participate in the Q&amp;A portion of the conference call, please register in advance at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https://register-conf.media-server.com/register/BI7b0df3d135614e09b644d37a44c9e15c</w:t>
      </w:r>
      <w:r>
        <w:rPr>
          <w:rFonts w:ascii="Times New Roman" w:cs="Times New Roman" w:eastAsia="Times New Roman" w:hAnsi="Times New Roman"/>
          <w:sz w:val="14"/>
          <w:szCs w:val="14"/>
          <w:color w:val="467886"/>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Registered telephone participants will receive the dial-in number along with a unique PIN number that will enable them to ask questions on the call.</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 accompanying slide presentation will be posted in the "Investors" section of the Company's website.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replay of the webcast will be available on the Company's website for approximately 90 days after the event.</w:t>
      </w:r>
    </w:p>
    <w:p>
      <w:pPr>
        <w:sectPr>
          <w:pgSz w:w="11900" w:h="16838" w:orient="portrait"/>
          <w:cols w:equalWidth="0" w:num="1">
            <w:col w:w="11200"/>
          </w:cols>
          <w:pgMar w:left="300" w:top="994" w:right="399" w:bottom="1440" w:gutter="0" w:footer="0" w:header="0"/>
        </w:sectPr>
      </w:pP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Investor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John Sweeney, CFA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Vice President, Investor Relations</w:t>
      </w:r>
    </w:p>
    <w:p>
      <w:pPr>
        <w:spacing w:after="0" w:line="19" w:lineRule="exact"/>
        <w:rPr>
          <w:sz w:val="20"/>
          <w:szCs w:val="20"/>
          <w:color w:val="auto"/>
        </w:rPr>
      </w:pPr>
    </w:p>
    <w:p>
      <w:pPr>
        <w:ind w:right="3374" w:firstLine="4"/>
        <w:spacing w:after="0" w:line="296" w:lineRule="auto"/>
        <w:tabs>
          <w:tab w:leader="none" w:pos="348"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790-0373 </w:t>
      </w:r>
      <w:r>
        <w:rPr>
          <w:rFonts w:ascii="Times New Roman" w:cs="Times New Roman" w:eastAsia="Times New Roman" w:hAnsi="Times New Roman"/>
          <w:sz w:val="14"/>
          <w:szCs w:val="14"/>
          <w:u w:val="single" w:color="auto"/>
          <w:color w:val="0000FF"/>
        </w:rPr>
        <w:t>John.Sweeney@westpharma.com</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4"/>
          <w:szCs w:val="14"/>
          <w:u w:val="single" w:color="auto"/>
          <w:color w:val="auto"/>
        </w:rPr>
        <w:t>Media Contact:</w:t>
      </w:r>
    </w:p>
    <w:p>
      <w:pPr>
        <w:spacing w:after="0" w:line="2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4"/>
          <w:szCs w:val="14"/>
          <w:color w:val="auto"/>
        </w:rPr>
        <w:t>Michele Polinsky</w:t>
      </w:r>
    </w:p>
    <w:p>
      <w:pPr>
        <w:spacing w:after="0" w:line="1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4"/>
          <w:szCs w:val="14"/>
          <w:color w:val="auto"/>
        </w:rPr>
        <w:t>Vice President, Global Communications</w:t>
      </w:r>
    </w:p>
    <w:p>
      <w:pPr>
        <w:spacing w:after="0" w:line="19" w:lineRule="exact"/>
        <w:rPr>
          <w:sz w:val="20"/>
          <w:szCs w:val="20"/>
          <w:color w:val="auto"/>
        </w:rPr>
      </w:pPr>
    </w:p>
    <w:p>
      <w:pPr>
        <w:ind w:left="6" w:right="3040" w:hanging="6"/>
        <w:spacing w:after="0" w:line="296" w:lineRule="auto"/>
        <w:tabs>
          <w:tab w:leader="none" w:pos="354"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594-3054 </w:t>
      </w:r>
      <w:r>
        <w:rPr>
          <w:rFonts w:ascii="Times New Roman" w:cs="Times New Roman" w:eastAsia="Times New Roman" w:hAnsi="Times New Roman"/>
          <w:sz w:val="14"/>
          <w:szCs w:val="14"/>
          <w:u w:val="single" w:color="auto"/>
          <w:color w:val="0000FF"/>
        </w:rPr>
        <w:t>Michele.Polinsky@westpharma.com</w:t>
      </w:r>
    </w:p>
    <w:p>
      <w:pPr>
        <w:spacing w:after="0" w:line="115" w:lineRule="exact"/>
        <w:rPr>
          <w:sz w:val="20"/>
          <w:szCs w:val="20"/>
          <w:color w:val="auto"/>
        </w:rPr>
      </w:pPr>
    </w:p>
    <w:p>
      <w:pPr>
        <w:sectPr>
          <w:pgSz w:w="11900" w:h="16838" w:orient="portrait"/>
          <w:cols w:equalWidth="0" w:num="2">
            <w:col w:w="5314" w:space="720"/>
            <w:col w:w="5166"/>
          </w:cols>
          <w:pgMar w:left="300" w:top="994" w:right="39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b w:val="1"/>
          <w:bCs w:val="1"/>
          <w:color w:val="auto"/>
        </w:rPr>
        <w:t>About West</w:t>
      </w:r>
    </w:p>
    <w:p>
      <w:pPr>
        <w:spacing w:after="0" w:line="2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West Pharmaceutical Services, Inc. is a leading provider of innovative, high-quality injectable solutions and services. As a trusted partner to established and emerging drug developers, West helps ensure the safe, effective containment and delivery of life-saving and life-enhancing medicines for patients. With over 10,000 team members across 50 sites including 25 manufacturing facilities worldwide, West helps support our customers by delivering over 41 billion components and devices each year. Headquartered in Exton, Pennsylvania, West in its fiscal year 2024 generated $2.89 billion in net sales. West is traded on the New York Stock Exchange (NYSE: WST) and is included in the Standard &amp; Poor's 500 index. For more information, visit www.westpharma.com.</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All trademarks and registered trademarks used in this release are the property of West Pharmaceutical Services, Inc. or its subsidiaries, in the United States and other jurisdictions, unless otherwise noted.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Daikyo®, Daikyo Crystal Zenith® and Daikyo CZ® are registered trademarks of Daikyo Seiko, Ltd. Daikyo Crystal Zenith technologies are licensed from Daikyo Seiko, Ltd.</w:t>
      </w:r>
    </w:p>
    <w:p>
      <w:pPr>
        <w:sectPr>
          <w:pgSz w:w="11900" w:h="16838" w:orient="portrait"/>
          <w:cols w:equalWidth="0" w:num="1">
            <w:col w:w="11200"/>
          </w:cols>
          <w:pgMar w:left="300" w:top="994" w:right="39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2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This release contains statements that constitute forward-looking statements within the meaning of the Private Securities Litigation Reform Act of 1995. These statements may include such words as “raising,” “positioned,” “updating,” “expected,” “assumes,” “unchanged,” “includes,” “would,” “provide," "anticipated" and other similar terminology. These statements reflect management’s current expectations regarding future events, expected tax rates, impacts of tariffs, and operating performance and speak only as of the date of this release. There is no certainty that actual results will be achieved in-line with current expectations. These forward-looking statements involve a number of risks and uncertainties. The following are some of the factors that could cause our actual results to differ materially from those expressed in or underlying our forward-looking statements: prevailing economic conditions and general uncertainties relating thereto that may be unknown and unforeseeable; customers’ changing inventory requirements and manufacturing plans and customer decisions to move forward with our new products and product categories; disruptions or limitations in the Company’s manufacturing capacity; average profitability, or mix, of the products we sell; dependence on third-party suppliers and partners; increased raw material, energy and labor costs; fluctuations in currency exchange; the ability to meet development milestones with key customers; and the consequences of other geopolitical events, including tariffs, natural disasters, acts of war, and global health crises. This list of important factors is not all inclusive. For a description of certain additional factors that could cause the Company’s future results to differ from those expressed in any such forward-looking statements, see Part I Item 1A, entitled “Risk Factors,” in the Company’s Annual Report on Form 10-K for the year ended December 31, 2024, and other filings with the United States Securities and Exchange Commission, including the Company’s quarterly reports on Form 10-Q and current reports on Form 8-K. The Company does not undertake to update these forward-looking statements.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Except as required by law or regulation, we undertake no obligation to publicly update any forward-looking statements, whether as a result of new information, future events or otherwise.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Non-U.S. GAAP Financial Measures</w:t>
      </w:r>
    </w:p>
    <w:p>
      <w:pPr>
        <w:spacing w:after="0" w:line="28"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This release contains certain non-GAAP financial measures. For the purpose of aiding the comparison of our year-over-year results, we may refer to net sales and other financial results excluding the effects of changes in foreign currency exchange rates. Organic net sales exclude the impact from acquisitions and/or divestitures and translate the current-period reported sales of subsidiaries whose functional currency is other than the U.S. Dollar at the applicable foreign currency exchange rates in effect during the comparable prior-year period. We may also refer to financial results excluding the effects of unallocated items. The re-measured results excluding effects from currency translation and excluding the effects of unallocated items are not in conformity with U.S. generally accepted accounting principles (“U.S. GAAP”) and should not be used as a substitute for the comparable U.S. GAAP financial measures. The non-U.S. GAAP financial measures are incorporated into our discussion and analysis as management uses them in evaluating our results of operations and believes that this information provides users a valuable insight into our overall performance and financial position. A reconciliation of these adjusted non-U.S. GAAP measures to the comparable U.S. GAAP financial measures is included in the accompanying tables.</w:t>
      </w:r>
    </w:p>
    <w:p>
      <w:pPr>
        <w:sectPr>
          <w:pgSz w:w="11900" w:h="16838" w:orient="portrait"/>
          <w:cols w:equalWidth="0" w:num="1">
            <w:col w:w="11260"/>
          </w:cols>
          <w:pgMar w:left="300" w:top="992"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4"/>
          <w:szCs w:val="14"/>
          <w:b w:val="1"/>
          <w:bCs w:val="1"/>
          <w:color w:val="auto"/>
        </w:rPr>
        <w:t>WEST PHARMACEUTICAL SERVICES,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INCOME</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 millions, except per share data)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3"/>
          </w:tcPr>
          <w:p>
            <w:pPr>
              <w:jc w:val="right"/>
              <w:ind w:right="46"/>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tcPr>
          <w:p>
            <w:pPr>
              <w:jc w:val="right"/>
              <w:ind w:right="26"/>
              <w:spacing w:after="0"/>
              <w:rPr>
                <w:sz w:val="20"/>
                <w:szCs w:val="20"/>
                <w:color w:val="auto"/>
              </w:rPr>
            </w:pPr>
            <w:r>
              <w:rPr>
                <w:rFonts w:ascii="Times New Roman" w:cs="Times New Roman" w:eastAsia="Times New Roman" w:hAnsi="Times New Roman"/>
                <w:sz w:val="12"/>
                <w:szCs w:val="12"/>
                <w:b w:val="1"/>
                <w:bCs w:val="1"/>
                <w:color w:val="auto"/>
              </w:rPr>
              <w:t>Nine Months Ended</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1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ind w:right="226"/>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jc w:val="right"/>
              <w:ind w:right="186"/>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1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8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2024</w:t>
            </w:r>
          </w:p>
        </w:tc>
        <w:tc>
          <w:tcPr>
            <w:tcW w:w="8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2024</w:t>
            </w:r>
          </w:p>
        </w:tc>
        <w:tc>
          <w:tcPr>
            <w:tcW w:w="8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sales</w:t>
            </w:r>
          </w:p>
        </w:tc>
        <w:tc>
          <w:tcPr>
            <w:tcW w:w="38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804.6</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100%</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48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746.9</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2,269.1</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100%</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42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2,144.4</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c>
          <w:tcPr>
            <w:tcW w:w="0" w:type="dxa"/>
            <w:vAlign w:val="bottom"/>
          </w:tcPr>
          <w:p>
            <w:pPr>
              <w:spacing w:after="0"/>
              <w:rPr>
                <w:sz w:val="1"/>
                <w:szCs w:val="1"/>
                <w:color w:val="auto"/>
              </w:rPr>
            </w:pPr>
          </w:p>
        </w:tc>
      </w:tr>
      <w:tr>
        <w:trPr>
          <w:trHeight w:val="153"/>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Cost of goods and services sold</w:t>
            </w:r>
          </w:p>
        </w:tc>
        <w:tc>
          <w:tcPr>
            <w:tcW w:w="3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510.3</w:t>
            </w: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63</w:t>
            </w: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482.2</w:t>
            </w:r>
          </w:p>
        </w:tc>
        <w:tc>
          <w:tcPr>
            <w:tcW w:w="8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65</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1,469.0</w:t>
            </w: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65</w:t>
            </w:r>
          </w:p>
        </w:tc>
        <w:tc>
          <w:tcPr>
            <w:tcW w:w="10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1,419.5</w:t>
            </w: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66</w:t>
            </w:r>
          </w:p>
        </w:tc>
        <w:tc>
          <w:tcPr>
            <w:tcW w:w="0" w:type="dxa"/>
            <w:vAlign w:val="bottom"/>
          </w:tcPr>
          <w:p>
            <w:pPr>
              <w:spacing w:after="0"/>
              <w:rPr>
                <w:sz w:val="1"/>
                <w:szCs w:val="1"/>
                <w:color w:val="auto"/>
              </w:rPr>
            </w:pPr>
          </w:p>
        </w:tc>
      </w:tr>
      <w:tr>
        <w:trPr>
          <w:trHeight w:val="142"/>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Gross profit</w:t>
            </w: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294.3</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37</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264.7</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35</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800.1</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35</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724.9</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34</w:t>
            </w:r>
          </w:p>
        </w:tc>
        <w:tc>
          <w:tcPr>
            <w:tcW w:w="0" w:type="dxa"/>
            <w:vAlign w:val="bottom"/>
          </w:tcPr>
          <w:p>
            <w:pPr>
              <w:spacing w:after="0"/>
              <w:rPr>
                <w:sz w:val="1"/>
                <w:szCs w:val="1"/>
                <w:color w:val="auto"/>
              </w:rPr>
            </w:pPr>
          </w:p>
        </w:tc>
      </w:tr>
      <w:tr>
        <w:trPr>
          <w:trHeight w:val="153"/>
        </w:trPr>
        <w:tc>
          <w:tcPr>
            <w:tcW w:w="3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Research and development</w:t>
            </w:r>
          </w:p>
        </w:tc>
        <w:tc>
          <w:tcPr>
            <w:tcW w:w="3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17.1</w:t>
            </w:r>
          </w:p>
        </w:tc>
        <w:tc>
          <w:tcPr>
            <w:tcW w:w="8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w:t>
            </w:r>
          </w:p>
        </w:tc>
        <w:tc>
          <w:tcPr>
            <w:tcW w:w="8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52.5</w:t>
            </w:r>
          </w:p>
        </w:tc>
        <w:tc>
          <w:tcPr>
            <w:tcW w:w="10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50.6</w:t>
            </w:r>
          </w:p>
        </w:tc>
        <w:tc>
          <w:tcPr>
            <w:tcW w:w="10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w:t>
            </w:r>
          </w:p>
        </w:tc>
        <w:tc>
          <w:tcPr>
            <w:tcW w:w="0" w:type="dxa"/>
            <w:vAlign w:val="bottom"/>
          </w:tcPr>
          <w:p>
            <w:pPr>
              <w:spacing w:after="0"/>
              <w:rPr>
                <w:sz w:val="1"/>
                <w:szCs w:val="1"/>
                <w:color w:val="auto"/>
              </w:rPr>
            </w:pPr>
          </w:p>
        </w:tc>
      </w:tr>
      <w:tr>
        <w:trPr>
          <w:trHeight w:val="153"/>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Selling, general and administrative expenses</w:t>
            </w:r>
          </w:p>
        </w:tc>
        <w:tc>
          <w:tcPr>
            <w:tcW w:w="3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102.7</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13</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83.5</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11</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286.6</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13</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253.2</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12</w:t>
            </w:r>
          </w:p>
        </w:tc>
        <w:tc>
          <w:tcPr>
            <w:tcW w:w="0" w:type="dxa"/>
            <w:vAlign w:val="bottom"/>
          </w:tcPr>
          <w:p>
            <w:pPr>
              <w:spacing w:after="0"/>
              <w:rPr>
                <w:sz w:val="1"/>
                <w:szCs w:val="1"/>
                <w:color w:val="auto"/>
              </w:rPr>
            </w:pPr>
          </w:p>
        </w:tc>
      </w:tr>
      <w:tr>
        <w:trPr>
          <w:trHeight w:val="153"/>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Other expense (income), net</w:t>
            </w:r>
          </w:p>
        </w:tc>
        <w:tc>
          <w:tcPr>
            <w:tcW w:w="3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6.9</w:t>
            </w: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w:t>
            </w: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8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32.7</w:t>
            </w: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w:t>
            </w:r>
          </w:p>
        </w:tc>
        <w:tc>
          <w:tcPr>
            <w:tcW w:w="10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10.8</w:t>
            </w: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0" w:type="dxa"/>
            <w:vAlign w:val="bottom"/>
          </w:tcPr>
          <w:p>
            <w:pPr>
              <w:spacing w:after="0"/>
              <w:rPr>
                <w:sz w:val="1"/>
                <w:szCs w:val="1"/>
                <w:color w:val="auto"/>
              </w:rPr>
            </w:pPr>
          </w:p>
        </w:tc>
      </w:tr>
      <w:tr>
        <w:trPr>
          <w:trHeight w:val="142"/>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Operating profit</w:t>
            </w: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167.6</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21</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161.3</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21</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428.3</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19</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410.3</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19</w:t>
            </w:r>
          </w:p>
        </w:tc>
        <w:tc>
          <w:tcPr>
            <w:tcW w:w="0" w:type="dxa"/>
            <w:vAlign w:val="bottom"/>
          </w:tcPr>
          <w:p>
            <w:pPr>
              <w:spacing w:after="0"/>
              <w:rPr>
                <w:sz w:val="1"/>
                <w:szCs w:val="1"/>
                <w:color w:val="auto"/>
              </w:rPr>
            </w:pPr>
          </w:p>
        </w:tc>
      </w:tr>
      <w:tr>
        <w:trPr>
          <w:trHeight w:val="153"/>
        </w:trPr>
        <w:tc>
          <w:tcPr>
            <w:tcW w:w="3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Interest (income) expense, net</w:t>
            </w:r>
          </w:p>
        </w:tc>
        <w:tc>
          <w:tcPr>
            <w:tcW w:w="3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(4.5)</w:t>
            </w:r>
          </w:p>
        </w:tc>
        <w:tc>
          <w:tcPr>
            <w:tcW w:w="80" w:type="dxa"/>
            <w:vAlign w:val="bottom"/>
          </w:tcPr>
          <w:p>
            <w:pPr>
              <w:spacing w:after="0"/>
              <w:rPr>
                <w:sz w:val="13"/>
                <w:szCs w:val="13"/>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8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(11.7)</w:t>
            </w:r>
          </w:p>
        </w:tc>
        <w:tc>
          <w:tcPr>
            <w:tcW w:w="100" w:type="dxa"/>
            <w:vAlign w:val="bottom"/>
          </w:tcPr>
          <w:p>
            <w:pPr>
              <w:spacing w:after="0"/>
              <w:rPr>
                <w:sz w:val="13"/>
                <w:szCs w:val="13"/>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w:t>
            </w:r>
          </w:p>
        </w:tc>
        <w:tc>
          <w:tcPr>
            <w:tcW w:w="10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0" w:type="dxa"/>
            <w:vAlign w:val="bottom"/>
          </w:tcPr>
          <w:p>
            <w:pPr>
              <w:spacing w:after="0"/>
              <w:rPr>
                <w:sz w:val="1"/>
                <w:szCs w:val="1"/>
                <w:color w:val="auto"/>
              </w:rPr>
            </w:pPr>
          </w:p>
        </w:tc>
      </w:tr>
      <w:tr>
        <w:trPr>
          <w:trHeight w:val="153"/>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nonoperating expense (income)</w:t>
            </w:r>
          </w:p>
        </w:tc>
        <w:tc>
          <w:tcPr>
            <w:tcW w:w="3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0.2</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0.6</w:t>
            </w: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97"/>
        </w:trPr>
        <w:tc>
          <w:tcPr>
            <w:tcW w:w="3160" w:type="dxa"/>
            <w:vAlign w:val="bottom"/>
          </w:tcPr>
          <w:p>
            <w:pPr>
              <w:ind w:left="100"/>
              <w:spacing w:after="0" w:line="97" w:lineRule="exact"/>
              <w:rPr>
                <w:sz w:val="20"/>
                <w:szCs w:val="20"/>
                <w:color w:val="auto"/>
              </w:rPr>
            </w:pPr>
            <w:r>
              <w:rPr>
                <w:rFonts w:ascii="Times New Roman" w:cs="Times New Roman" w:eastAsia="Times New Roman" w:hAnsi="Times New Roman"/>
                <w:sz w:val="11"/>
                <w:szCs w:val="11"/>
                <w:color w:val="auto"/>
              </w:rPr>
              <w:t>Income before income taxes and equity in net income of</w:t>
            </w:r>
          </w:p>
        </w:tc>
        <w:tc>
          <w:tcPr>
            <w:tcW w:w="380" w:type="dxa"/>
            <w:vAlign w:val="bottom"/>
            <w:tcBorders>
              <w:top w:val="single" w:sz="8" w:color="auto"/>
            </w:tcBorders>
          </w:tcPr>
          <w:p>
            <w:pPr>
              <w:spacing w:after="0"/>
              <w:rPr>
                <w:sz w:val="8"/>
                <w:szCs w:val="8"/>
                <w:color w:val="auto"/>
              </w:rPr>
            </w:pP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171.9</w:t>
            </w:r>
          </w:p>
        </w:tc>
        <w:tc>
          <w:tcPr>
            <w:tcW w:w="80" w:type="dxa"/>
            <w:vAlign w:val="bottom"/>
          </w:tcPr>
          <w:p>
            <w:pPr>
              <w:spacing w:after="0"/>
              <w:rPr>
                <w:sz w:val="8"/>
                <w:szCs w:val="8"/>
                <w:color w:val="auto"/>
              </w:rPr>
            </w:pPr>
          </w:p>
        </w:tc>
        <w:tc>
          <w:tcPr>
            <w:tcW w:w="8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21</w:t>
            </w:r>
          </w:p>
        </w:tc>
        <w:tc>
          <w:tcPr>
            <w:tcW w:w="8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439.4</w:t>
            </w:r>
          </w:p>
        </w:tc>
        <w:tc>
          <w:tcPr>
            <w:tcW w:w="100" w:type="dxa"/>
            <w:vAlign w:val="bottom"/>
          </w:tcPr>
          <w:p>
            <w:pPr>
              <w:spacing w:after="0"/>
              <w:rPr>
                <w:sz w:val="8"/>
                <w:szCs w:val="8"/>
                <w:color w:val="auto"/>
              </w:rPr>
            </w:pPr>
          </w:p>
        </w:tc>
        <w:tc>
          <w:tcPr>
            <w:tcW w:w="8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19</w:t>
            </w:r>
          </w:p>
        </w:tc>
        <w:tc>
          <w:tcPr>
            <w:tcW w:w="10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31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affiliated companies</w:t>
            </w:r>
          </w:p>
        </w:tc>
        <w:tc>
          <w:tcPr>
            <w:tcW w:w="3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164.5</w:t>
            </w:r>
          </w:p>
        </w:tc>
        <w:tc>
          <w:tcPr>
            <w:tcW w:w="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420.6</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w:t>
            </w:r>
          </w:p>
        </w:tc>
        <w:tc>
          <w:tcPr>
            <w:tcW w:w="0" w:type="dxa"/>
            <w:vAlign w:val="bottom"/>
          </w:tcPr>
          <w:p>
            <w:pPr>
              <w:spacing w:after="0"/>
              <w:rPr>
                <w:sz w:val="1"/>
                <w:szCs w:val="1"/>
                <w:color w:val="auto"/>
              </w:rPr>
            </w:pPr>
          </w:p>
        </w:tc>
      </w:tr>
      <w:tr>
        <w:trPr>
          <w:trHeight w:val="153"/>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Income tax expense</w:t>
            </w:r>
          </w:p>
        </w:tc>
        <w:tc>
          <w:tcPr>
            <w:tcW w:w="3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34.0</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4</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32.4</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4</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88.3</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4</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70.7</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3</w:t>
            </w:r>
          </w:p>
        </w:tc>
        <w:tc>
          <w:tcPr>
            <w:tcW w:w="0" w:type="dxa"/>
            <w:vAlign w:val="bottom"/>
          </w:tcPr>
          <w:p>
            <w:pPr>
              <w:spacing w:after="0"/>
              <w:rPr>
                <w:sz w:val="1"/>
                <w:szCs w:val="1"/>
                <w:color w:val="auto"/>
              </w:rPr>
            </w:pPr>
          </w:p>
        </w:tc>
      </w:tr>
      <w:tr>
        <w:trPr>
          <w:trHeight w:val="153"/>
        </w:trPr>
        <w:tc>
          <w:tcPr>
            <w:tcW w:w="3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Equity in net income of affiliated companies</w:t>
            </w:r>
          </w:p>
        </w:tc>
        <w:tc>
          <w:tcPr>
            <w:tcW w:w="3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(2.1)</w:t>
            </w:r>
          </w:p>
        </w:tc>
        <w:tc>
          <w:tcPr>
            <w:tcW w:w="80" w:type="dxa"/>
            <w:vAlign w:val="bottom"/>
          </w:tcPr>
          <w:p>
            <w:pPr>
              <w:spacing w:after="0"/>
              <w:rPr>
                <w:sz w:val="13"/>
                <w:szCs w:val="13"/>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80" w:type="dxa"/>
            <w:vAlign w:val="bottom"/>
          </w:tcPr>
          <w:p>
            <w:pPr>
              <w:spacing w:after="0"/>
              <w:rPr>
                <w:sz w:val="13"/>
                <w:szCs w:val="13"/>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(10.5)</w:t>
            </w:r>
          </w:p>
        </w:tc>
        <w:tc>
          <w:tcPr>
            <w:tcW w:w="10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w:t>
            </w:r>
          </w:p>
        </w:tc>
        <w:tc>
          <w:tcPr>
            <w:tcW w:w="10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42"/>
        </w:trPr>
        <w:tc>
          <w:tcPr>
            <w:tcW w:w="316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Net income</w:t>
            </w:r>
          </w:p>
        </w:tc>
        <w:tc>
          <w:tcPr>
            <w:tcW w:w="380" w:type="dxa"/>
            <w:vAlign w:val="bottom"/>
            <w:tcBorders>
              <w:top w:val="single" w:sz="8" w:color="auto"/>
              <w:bottom w:val="single" w:sz="8" w:color="auto"/>
            </w:tcBorders>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140.0</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ind w:right="48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136.0</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18%</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361.6</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16%</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ind w:right="42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362.6</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17%</w:t>
            </w:r>
          </w:p>
        </w:tc>
        <w:tc>
          <w:tcPr>
            <w:tcW w:w="0" w:type="dxa"/>
            <w:vAlign w:val="bottom"/>
          </w:tcPr>
          <w:p>
            <w:pPr>
              <w:spacing w:after="0"/>
              <w:rPr>
                <w:sz w:val="1"/>
                <w:szCs w:val="1"/>
                <w:color w:val="auto"/>
              </w:rPr>
            </w:pPr>
          </w:p>
        </w:tc>
      </w:tr>
      <w:tr>
        <w:trPr>
          <w:trHeight w:val="169"/>
        </w:trPr>
        <w:tc>
          <w:tcPr>
            <w:tcW w:w="3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income per share:</w:t>
            </w:r>
          </w:p>
        </w:tc>
        <w:tc>
          <w:tcPr>
            <w:tcW w:w="3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1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Basic</w:t>
            </w: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1.94</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ind w:right="48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5.00</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42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4.96</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Diluted</w:t>
            </w:r>
          </w:p>
        </w:tc>
        <w:tc>
          <w:tcPr>
            <w:tcW w:w="38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1.92</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8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4.97</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42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4.91</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Average common shares outstanding</w:t>
            </w:r>
          </w:p>
        </w:tc>
        <w:tc>
          <w:tcPr>
            <w:tcW w:w="3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72.2</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72.8</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72.3</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73.1</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Average shares assuming dilution</w:t>
            </w:r>
          </w:p>
        </w:tc>
        <w:tc>
          <w:tcPr>
            <w:tcW w:w="3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72.6</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73.4</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72.7</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73.8</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992" w:right="3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4"/>
          <w:szCs w:val="14"/>
          <w:b w:val="1"/>
          <w:bCs w:val="1"/>
          <w:color w:val="auto"/>
        </w:rPr>
        <w:t>WEST PHARMACEUTICAL SERVICES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REPORTING SEGMENT INFORMATION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2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20" w:type="dxa"/>
            <w:vAlign w:val="bottom"/>
            <w:gridSpan w:val="3"/>
          </w:tcPr>
          <w:p>
            <w:pPr>
              <w:jc w:val="right"/>
              <w:ind w:right="66"/>
              <w:spacing w:after="0"/>
              <w:rPr>
                <w:sz w:val="20"/>
                <w:szCs w:val="20"/>
                <w:color w:val="auto"/>
              </w:rPr>
            </w:pPr>
            <w:r>
              <w:rPr>
                <w:rFonts w:ascii="Times New Roman" w:cs="Times New Roman" w:eastAsia="Times New Roman" w:hAnsi="Times New Roman"/>
                <w:sz w:val="12"/>
                <w:szCs w:val="12"/>
                <w:b w:val="1"/>
                <w:bCs w:val="1"/>
                <w:color w:val="auto"/>
              </w:rPr>
              <w:t>Nine Months Ended</w:t>
            </w:r>
          </w:p>
        </w:tc>
        <w:tc>
          <w:tcPr>
            <w:tcW w:w="1040" w:type="dxa"/>
            <w:vAlign w:val="bottom"/>
          </w:tcPr>
          <w:p>
            <w:pPr>
              <w:spacing w:after="0"/>
              <w:rPr>
                <w:sz w:val="12"/>
                <w:szCs w:val="12"/>
                <w:color w:val="auto"/>
              </w:rPr>
            </w:pPr>
          </w:p>
        </w:tc>
      </w:tr>
      <w:tr>
        <w:trPr>
          <w:trHeight w:val="159"/>
        </w:trPr>
        <w:tc>
          <w:tcPr>
            <w:tcW w:w="45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10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3"/>
          </w:tcPr>
          <w:p>
            <w:pPr>
              <w:jc w:val="right"/>
              <w:ind w:right="206"/>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1040" w:type="dxa"/>
            <w:vAlign w:val="bottom"/>
            <w:tcBorders>
              <w:bottom w:val="single" w:sz="8" w:color="auto"/>
            </w:tcBorders>
          </w:tcPr>
          <w:p>
            <w:pPr>
              <w:spacing w:after="0"/>
              <w:rPr>
                <w:sz w:val="13"/>
                <w:szCs w:val="13"/>
                <w:color w:val="auto"/>
              </w:rPr>
            </w:pPr>
          </w:p>
        </w:tc>
      </w:tr>
      <w:tr>
        <w:trPr>
          <w:trHeight w:val="145"/>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Net Sales</w:t>
            </w:r>
            <w:r>
              <w:rPr>
                <w:rFonts w:ascii="Times New Roman" w:cs="Times New Roman" w:eastAsia="Times New Roman" w:hAnsi="Times New Roman"/>
                <w:sz w:val="12"/>
                <w:szCs w:val="12"/>
                <w:color w:val="auto"/>
              </w:rPr>
              <w:t>:</w:t>
            </w: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2"/>
                <w:szCs w:val="12"/>
                <w:color w:val="auto"/>
              </w:rPr>
              <w:t>2024</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2"/>
                <w:szCs w:val="12"/>
                <w:color w:val="auto"/>
              </w:rPr>
              <w:t>2024</w:t>
            </w:r>
          </w:p>
        </w:tc>
      </w:tr>
      <w:tr>
        <w:trPr>
          <w:trHeight w:val="142"/>
        </w:trPr>
        <w:tc>
          <w:tcPr>
            <w:tcW w:w="4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Proprietary Products</w:t>
            </w: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647.5</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4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601.4</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1,830.3</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1,720.6</w:t>
            </w:r>
          </w:p>
        </w:tc>
      </w:tr>
      <w:tr>
        <w:trPr>
          <w:trHeight w:val="153"/>
        </w:trPr>
        <w:tc>
          <w:tcPr>
            <w:tcW w:w="45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2"/>
                <w:szCs w:val="12"/>
                <w:color w:val="auto"/>
              </w:rPr>
              <w:t>Contract-Manufactured Products</w:t>
            </w: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157.1</w:t>
            </w: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145.5</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438.8</w:t>
            </w: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423.8</w:t>
            </w:r>
          </w:p>
        </w:tc>
      </w:tr>
      <w:tr>
        <w:trPr>
          <w:trHeight w:val="142"/>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Consolidated Total</w:t>
            </w: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804.6</w:t>
            </w:r>
          </w:p>
        </w:tc>
        <w:tc>
          <w:tcPr>
            <w:tcW w:w="80" w:type="dxa"/>
            <w:vAlign w:val="bottom"/>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4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746.9</w:t>
            </w:r>
          </w:p>
        </w:tc>
        <w:tc>
          <w:tcPr>
            <w:tcW w:w="8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6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2,269.1</w:t>
            </w:r>
          </w:p>
        </w:tc>
        <w:tc>
          <w:tcPr>
            <w:tcW w:w="8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2,144.4</w:t>
            </w:r>
          </w:p>
        </w:tc>
      </w:tr>
      <w:tr>
        <w:trPr>
          <w:trHeight w:val="151"/>
        </w:trPr>
        <w:tc>
          <w:tcPr>
            <w:tcW w:w="4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Gross Profit:</w:t>
            </w: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153"/>
        </w:trPr>
        <w:tc>
          <w:tcPr>
            <w:tcW w:w="45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Proprietary Products</w:t>
            </w: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40" w:type="dxa"/>
            <w:vAlign w:val="bottom"/>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264.0</w:t>
            </w:r>
          </w:p>
        </w:tc>
        <w:tc>
          <w:tcPr>
            <w:tcW w:w="80" w:type="dxa"/>
            <w:vAlign w:val="bottom"/>
          </w:tcPr>
          <w:p>
            <w:pPr>
              <w:spacing w:after="0"/>
              <w:rPr>
                <w:sz w:val="13"/>
                <w:szCs w:val="13"/>
                <w:color w:val="auto"/>
              </w:rPr>
            </w:pPr>
          </w:p>
        </w:tc>
        <w:tc>
          <w:tcPr>
            <w:tcW w:w="600" w:type="dxa"/>
            <w:vAlign w:val="bottom"/>
          </w:tcPr>
          <w:p>
            <w:pPr>
              <w:jc w:val="right"/>
              <w:ind w:right="4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235.7</w:t>
            </w:r>
          </w:p>
        </w:tc>
        <w:tc>
          <w:tcPr>
            <w:tcW w:w="80" w:type="dxa"/>
            <w:vAlign w:val="bottom"/>
          </w:tcPr>
          <w:p>
            <w:pPr>
              <w:spacing w:after="0"/>
              <w:rPr>
                <w:sz w:val="13"/>
                <w:szCs w:val="13"/>
                <w:color w:val="auto"/>
              </w:rPr>
            </w:pP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60" w:type="dxa"/>
            <w:vAlign w:val="bottom"/>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722.5</w:t>
            </w:r>
          </w:p>
        </w:tc>
        <w:tc>
          <w:tcPr>
            <w:tcW w:w="80" w:type="dxa"/>
            <w:vAlign w:val="bottom"/>
          </w:tcPr>
          <w:p>
            <w:pPr>
              <w:spacing w:after="0"/>
              <w:rPr>
                <w:sz w:val="13"/>
                <w:szCs w:val="13"/>
                <w:color w:val="auto"/>
              </w:rPr>
            </w:pPr>
          </w:p>
        </w:tc>
        <w:tc>
          <w:tcPr>
            <w:tcW w:w="580" w:type="dxa"/>
            <w:vAlign w:val="bottom"/>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649.8</w:t>
            </w:r>
          </w:p>
        </w:tc>
      </w:tr>
      <w:tr>
        <w:trPr>
          <w:trHeight w:val="153"/>
        </w:trPr>
        <w:tc>
          <w:tcPr>
            <w:tcW w:w="4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Contract-Manufactured Products</w:t>
            </w:r>
          </w:p>
        </w:tc>
        <w:tc>
          <w:tcPr>
            <w:tcW w:w="38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30.3</w:t>
            </w:r>
          </w:p>
        </w:tc>
        <w:tc>
          <w:tcPr>
            <w:tcW w:w="80" w:type="dxa"/>
            <w:vAlign w:val="bottom"/>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29.0</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77.6</w:t>
            </w:r>
          </w:p>
        </w:tc>
        <w:tc>
          <w:tcPr>
            <w:tcW w:w="8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75.1</w:t>
            </w:r>
          </w:p>
        </w:tc>
      </w:tr>
      <w:tr>
        <w:trPr>
          <w:trHeight w:val="142"/>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Gross Profit</w:t>
            </w:r>
          </w:p>
        </w:tc>
        <w:tc>
          <w:tcPr>
            <w:tcW w:w="3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294.3</w:t>
            </w:r>
          </w:p>
        </w:tc>
        <w:tc>
          <w:tcPr>
            <w:tcW w:w="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264.7</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800.1</w:t>
            </w:r>
          </w:p>
        </w:tc>
        <w:tc>
          <w:tcPr>
            <w:tcW w:w="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724.9</w:t>
            </w:r>
          </w:p>
        </w:tc>
      </w:tr>
      <w:tr>
        <w:trPr>
          <w:trHeight w:val="142"/>
        </w:trPr>
        <w:tc>
          <w:tcPr>
            <w:tcW w:w="4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i w:val="1"/>
                <w:iCs w:val="1"/>
                <w:color w:val="auto"/>
              </w:rPr>
              <w:t>Gross Profit Margin</w:t>
            </w:r>
          </w:p>
        </w:tc>
        <w:tc>
          <w:tcPr>
            <w:tcW w:w="3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i w:val="1"/>
                <w:iCs w:val="1"/>
                <w:color w:val="auto"/>
              </w:rPr>
              <w:t>36.6 %</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35.4 %</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i w:val="1"/>
                <w:iCs w:val="1"/>
                <w:color w:val="auto"/>
              </w:rPr>
              <w:t>35.3 %</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33.8 %</w:t>
            </w:r>
          </w:p>
        </w:tc>
      </w:tr>
      <w:tr>
        <w:trPr>
          <w:trHeight w:val="180"/>
        </w:trPr>
        <w:tc>
          <w:tcPr>
            <w:tcW w:w="4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5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Operating Profit (Loss):</w:t>
            </w: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153"/>
        </w:trPr>
        <w:tc>
          <w:tcPr>
            <w:tcW w:w="45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Proprietary Products</w:t>
            </w: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40" w:type="dxa"/>
            <w:vAlign w:val="bottom"/>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175.2</w:t>
            </w:r>
          </w:p>
        </w:tc>
        <w:tc>
          <w:tcPr>
            <w:tcW w:w="80" w:type="dxa"/>
            <w:vAlign w:val="bottom"/>
          </w:tcPr>
          <w:p>
            <w:pPr>
              <w:spacing w:after="0"/>
              <w:rPr>
                <w:sz w:val="13"/>
                <w:szCs w:val="13"/>
                <w:color w:val="auto"/>
              </w:rPr>
            </w:pPr>
          </w:p>
        </w:tc>
        <w:tc>
          <w:tcPr>
            <w:tcW w:w="600" w:type="dxa"/>
            <w:vAlign w:val="bottom"/>
          </w:tcPr>
          <w:p>
            <w:pPr>
              <w:jc w:val="right"/>
              <w:ind w:right="4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158.2</w:t>
            </w:r>
          </w:p>
        </w:tc>
        <w:tc>
          <w:tcPr>
            <w:tcW w:w="80" w:type="dxa"/>
            <w:vAlign w:val="bottom"/>
          </w:tcPr>
          <w:p>
            <w:pPr>
              <w:spacing w:after="0"/>
              <w:rPr>
                <w:sz w:val="13"/>
                <w:szCs w:val="13"/>
                <w:color w:val="auto"/>
              </w:rPr>
            </w:pP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60" w:type="dxa"/>
            <w:vAlign w:val="bottom"/>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467.5</w:t>
            </w:r>
          </w:p>
        </w:tc>
        <w:tc>
          <w:tcPr>
            <w:tcW w:w="80" w:type="dxa"/>
            <w:vAlign w:val="bottom"/>
          </w:tcPr>
          <w:p>
            <w:pPr>
              <w:spacing w:after="0"/>
              <w:rPr>
                <w:sz w:val="13"/>
                <w:szCs w:val="13"/>
                <w:color w:val="auto"/>
              </w:rPr>
            </w:pPr>
          </w:p>
        </w:tc>
        <w:tc>
          <w:tcPr>
            <w:tcW w:w="580" w:type="dxa"/>
            <w:vAlign w:val="bottom"/>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415.5</w:t>
            </w:r>
          </w:p>
        </w:tc>
      </w:tr>
      <w:tr>
        <w:trPr>
          <w:trHeight w:val="153"/>
        </w:trPr>
        <w:tc>
          <w:tcPr>
            <w:tcW w:w="4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Contract-Manufactured Products</w:t>
            </w: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22.3</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21.8</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53.6</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56.1</w:t>
            </w:r>
          </w:p>
        </w:tc>
      </w:tr>
      <w:tr>
        <w:trPr>
          <w:trHeight w:val="153"/>
        </w:trPr>
        <w:tc>
          <w:tcPr>
            <w:tcW w:w="45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380" w:type="dxa"/>
            <w:vAlign w:val="bottom"/>
          </w:tcPr>
          <w:p>
            <w:pPr>
              <w:spacing w:after="0"/>
              <w:rPr>
                <w:sz w:val="13"/>
                <w:szCs w:val="13"/>
                <w:color w:val="auto"/>
              </w:rPr>
            </w:pPr>
          </w:p>
        </w:tc>
        <w:tc>
          <w:tcPr>
            <w:tcW w:w="124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(8.4)</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(5.1)</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(17.1)</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(14.4)</w:t>
            </w:r>
          </w:p>
        </w:tc>
      </w:tr>
      <w:tr>
        <w:trPr>
          <w:trHeight w:val="153"/>
        </w:trPr>
        <w:tc>
          <w:tcPr>
            <w:tcW w:w="4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General corporate costs</w:t>
            </w:r>
          </w:p>
        </w:tc>
        <w:tc>
          <w:tcPr>
            <w:tcW w:w="38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(21.5)</w:t>
            </w:r>
          </w:p>
        </w:tc>
        <w:tc>
          <w:tcPr>
            <w:tcW w:w="80" w:type="dxa"/>
            <w:vAlign w:val="bottom"/>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(13.6)</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(75.7)</w:t>
            </w:r>
          </w:p>
        </w:tc>
        <w:tc>
          <w:tcPr>
            <w:tcW w:w="8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(46.9)</w:t>
            </w:r>
          </w:p>
        </w:tc>
      </w:tr>
      <w:tr>
        <w:trPr>
          <w:trHeight w:val="142"/>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Reported Operating Profit</w:t>
            </w:r>
          </w:p>
        </w:tc>
        <w:tc>
          <w:tcPr>
            <w:tcW w:w="3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167.6</w:t>
            </w:r>
          </w:p>
        </w:tc>
        <w:tc>
          <w:tcPr>
            <w:tcW w:w="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161.3</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428.3</w:t>
            </w:r>
          </w:p>
        </w:tc>
        <w:tc>
          <w:tcPr>
            <w:tcW w:w="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410.3</w:t>
            </w:r>
          </w:p>
        </w:tc>
      </w:tr>
      <w:tr>
        <w:trPr>
          <w:trHeight w:val="142"/>
        </w:trPr>
        <w:tc>
          <w:tcPr>
            <w:tcW w:w="4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i w:val="1"/>
                <w:iCs w:val="1"/>
                <w:color w:val="auto"/>
              </w:rPr>
              <w:t>Reported Operating Profit Margin</w:t>
            </w:r>
          </w:p>
        </w:tc>
        <w:tc>
          <w:tcPr>
            <w:tcW w:w="3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i w:val="1"/>
                <w:iCs w:val="1"/>
                <w:color w:val="auto"/>
              </w:rPr>
              <w:t>20.8 %</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21.6 %</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i w:val="1"/>
                <w:iCs w:val="1"/>
                <w:color w:val="auto"/>
              </w:rPr>
              <w:t>18.9 %</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19.1 %</w:t>
            </w:r>
          </w:p>
        </w:tc>
      </w:tr>
      <w:tr>
        <w:trPr>
          <w:trHeight w:val="180"/>
        </w:trPr>
        <w:tc>
          <w:tcPr>
            <w:tcW w:w="4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53"/>
        </w:trPr>
        <w:tc>
          <w:tcPr>
            <w:tcW w:w="4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Unallocated items</w:t>
            </w:r>
          </w:p>
        </w:tc>
        <w:tc>
          <w:tcPr>
            <w:tcW w:w="38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2.5</w:t>
            </w:r>
          </w:p>
        </w:tc>
        <w:tc>
          <w:tcPr>
            <w:tcW w:w="80" w:type="dxa"/>
            <w:vAlign w:val="bottom"/>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(0.7)</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22.1</w:t>
            </w:r>
          </w:p>
        </w:tc>
        <w:tc>
          <w:tcPr>
            <w:tcW w:w="8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(0.3)</w:t>
            </w:r>
          </w:p>
        </w:tc>
      </w:tr>
      <w:tr>
        <w:trPr>
          <w:trHeight w:val="142"/>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Adjusted Operating Profit</w:t>
            </w:r>
          </w:p>
        </w:tc>
        <w:tc>
          <w:tcPr>
            <w:tcW w:w="3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170.1</w:t>
            </w:r>
          </w:p>
        </w:tc>
        <w:tc>
          <w:tcPr>
            <w:tcW w:w="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160.6</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450.4</w:t>
            </w:r>
          </w:p>
        </w:tc>
        <w:tc>
          <w:tcPr>
            <w:tcW w:w="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410.0</w:t>
            </w:r>
          </w:p>
        </w:tc>
      </w:tr>
      <w:tr>
        <w:trPr>
          <w:trHeight w:val="142"/>
        </w:trPr>
        <w:tc>
          <w:tcPr>
            <w:tcW w:w="4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i w:val="1"/>
                <w:iCs w:val="1"/>
                <w:color w:val="auto"/>
              </w:rPr>
              <w:t>Adjusted Operating Profit Margin</w:t>
            </w:r>
          </w:p>
        </w:tc>
        <w:tc>
          <w:tcPr>
            <w:tcW w:w="3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i w:val="1"/>
                <w:iCs w:val="1"/>
                <w:color w:val="auto"/>
              </w:rPr>
              <w:t>21.1 %</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21.5 %</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i w:val="1"/>
                <w:iCs w:val="1"/>
                <w:color w:val="auto"/>
              </w:rPr>
              <w:t>19.8 %</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19.1 %</w:t>
            </w:r>
          </w:p>
        </w:tc>
      </w:tr>
    </w:tbl>
    <w:p>
      <w:pPr>
        <w:sectPr>
          <w:pgSz w:w="11900" w:h="16838" w:orient="portrait"/>
          <w:cols w:equalWidth="0" w:num="1">
            <w:col w:w="11280"/>
          </w:cols>
          <w:pgMar w:left="300" w:top="992" w:right="31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WEST PHARMACEUTICAL SERVICES</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RECONCILIATION OF NON-U.S. GAAP MEASURES (UNAUDITED)</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Please refer to “Non-U.S. GAAP Financial Measures” for more information</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(in millions, except per share data)</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Reconciliation of Reported and Adjusted Operating Profit, Net Income and Diluted EPS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vMerge w:val="restart"/>
          </w:tcPr>
          <w:p>
            <w:pPr>
              <w:jc w:val="center"/>
              <w:ind w:left="340"/>
              <w:spacing w:after="0"/>
              <w:rPr>
                <w:sz w:val="20"/>
                <w:szCs w:val="20"/>
                <w:color w:val="auto"/>
              </w:rPr>
            </w:pPr>
            <w:r>
              <w:rPr>
                <w:rFonts w:ascii="Times New Roman" w:cs="Times New Roman" w:eastAsia="Times New Roman" w:hAnsi="Times New Roman"/>
                <w:sz w:val="12"/>
                <w:szCs w:val="12"/>
                <w:color w:val="auto"/>
                <w:w w:val="99"/>
              </w:rPr>
              <w:t>Operating</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gridSpan w:val="4"/>
          </w:tcPr>
          <w:p>
            <w:pPr>
              <w:jc w:val="center"/>
              <w:ind w:right="100"/>
              <w:spacing w:after="0"/>
              <w:rPr>
                <w:sz w:val="20"/>
                <w:szCs w:val="20"/>
                <w:color w:val="auto"/>
              </w:rPr>
            </w:pPr>
            <w:r>
              <w:rPr>
                <w:rFonts w:ascii="Times New Roman" w:cs="Times New Roman" w:eastAsia="Times New Roman" w:hAnsi="Times New Roman"/>
                <w:sz w:val="12"/>
                <w:szCs w:val="12"/>
                <w:color w:val="auto"/>
                <w:w w:val="99"/>
              </w:rPr>
              <w:t>Income</w:t>
            </w:r>
          </w:p>
        </w:tc>
        <w:tc>
          <w:tcPr>
            <w:tcW w:w="150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2"/>
                <w:szCs w:val="12"/>
                <w:color w:val="auto"/>
              </w:rPr>
              <w:t>Net</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Diluted</w:t>
            </w:r>
          </w:p>
        </w:tc>
        <w:tc>
          <w:tcPr>
            <w:tcW w:w="0" w:type="dxa"/>
            <w:vAlign w:val="bottom"/>
          </w:tcPr>
          <w:p>
            <w:pPr>
              <w:spacing w:after="0"/>
              <w:rPr>
                <w:sz w:val="1"/>
                <w:szCs w:val="1"/>
                <w:color w:val="auto"/>
              </w:rPr>
            </w:pPr>
          </w:p>
        </w:tc>
      </w:tr>
      <w:tr>
        <w:trPr>
          <w:trHeight w:val="117"/>
        </w:trPr>
        <w:tc>
          <w:tcPr>
            <w:tcW w:w="542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Three Months ended September 30, 2025</w:t>
            </w:r>
          </w:p>
        </w:tc>
        <w:tc>
          <w:tcPr>
            <w:tcW w:w="9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00" w:type="dxa"/>
            <w:vAlign w:val="bottom"/>
            <w:gridSpan w:val="4"/>
          </w:tcPr>
          <w:p>
            <w:pPr>
              <w:jc w:val="center"/>
              <w:ind w:right="100"/>
              <w:spacing w:after="0" w:line="117" w:lineRule="exact"/>
              <w:rPr>
                <w:sz w:val="20"/>
                <w:szCs w:val="20"/>
                <w:color w:val="auto"/>
              </w:rPr>
            </w:pPr>
            <w:r>
              <w:rPr>
                <w:rFonts w:ascii="Times New Roman" w:cs="Times New Roman" w:eastAsia="Times New Roman" w:hAnsi="Times New Roman"/>
                <w:sz w:val="12"/>
                <w:szCs w:val="12"/>
                <w:color w:val="auto"/>
              </w:rPr>
              <w:t>tax</w:t>
            </w:r>
          </w:p>
        </w:tc>
        <w:tc>
          <w:tcPr>
            <w:tcW w:w="1500" w:type="dxa"/>
            <w:vAlign w:val="bottom"/>
            <w:gridSpan w:val="4"/>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5420" w:type="dxa"/>
            <w:vAlign w:val="bottom"/>
            <w:gridSpan w:val="2"/>
            <w:vMerge w:val="continue"/>
          </w:tcPr>
          <w:p>
            <w:pPr>
              <w:spacing w:after="0"/>
              <w:rPr>
                <w:sz w:val="14"/>
                <w:szCs w:val="14"/>
                <w:color w:val="auto"/>
              </w:rPr>
            </w:pPr>
          </w:p>
        </w:tc>
        <w:tc>
          <w:tcPr>
            <w:tcW w:w="960" w:type="dxa"/>
            <w:vAlign w:val="bottom"/>
          </w:tcPr>
          <w:p>
            <w:pPr>
              <w:jc w:val="center"/>
              <w:ind w:left="360"/>
              <w:spacing w:after="0"/>
              <w:rPr>
                <w:sz w:val="20"/>
                <w:szCs w:val="20"/>
                <w:color w:val="auto"/>
              </w:rPr>
            </w:pPr>
            <w:r>
              <w:rPr>
                <w:rFonts w:ascii="Times New Roman" w:cs="Times New Roman" w:eastAsia="Times New Roman" w:hAnsi="Times New Roman"/>
                <w:sz w:val="12"/>
                <w:szCs w:val="12"/>
                <w:color w:val="auto"/>
                <w:w w:val="97"/>
              </w:rPr>
              <w:t>profit</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4"/>
          </w:tcPr>
          <w:p>
            <w:pPr>
              <w:jc w:val="center"/>
              <w:ind w:right="100"/>
              <w:spacing w:after="0"/>
              <w:rPr>
                <w:sz w:val="20"/>
                <w:szCs w:val="20"/>
                <w:color w:val="auto"/>
              </w:rPr>
            </w:pPr>
            <w:r>
              <w:rPr>
                <w:rFonts w:ascii="Times New Roman" w:cs="Times New Roman" w:eastAsia="Times New Roman" w:hAnsi="Times New Roman"/>
                <w:sz w:val="12"/>
                <w:szCs w:val="12"/>
                <w:color w:val="auto"/>
              </w:rPr>
              <w:t>expense</w:t>
            </w:r>
          </w:p>
        </w:tc>
        <w:tc>
          <w:tcPr>
            <w:tcW w:w="1500" w:type="dxa"/>
            <w:vAlign w:val="bottom"/>
            <w:gridSpan w:val="4"/>
          </w:tcPr>
          <w:p>
            <w:pPr>
              <w:jc w:val="center"/>
              <w:ind w:right="100"/>
              <w:spacing w:after="0"/>
              <w:rPr>
                <w:sz w:val="20"/>
                <w:szCs w:val="20"/>
                <w:color w:val="auto"/>
              </w:rPr>
            </w:pPr>
            <w:r>
              <w:rPr>
                <w:rFonts w:ascii="Times New Roman" w:cs="Times New Roman" w:eastAsia="Times New Roman" w:hAnsi="Times New Roman"/>
                <w:sz w:val="12"/>
                <w:szCs w:val="12"/>
                <w:color w:val="auto"/>
              </w:rPr>
              <w:t>income</w:t>
            </w:r>
          </w:p>
        </w:tc>
        <w:tc>
          <w:tcPr>
            <w:tcW w:w="14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EPS</w:t>
            </w:r>
          </w:p>
        </w:tc>
        <w:tc>
          <w:tcPr>
            <w:tcW w:w="0" w:type="dxa"/>
            <w:vAlign w:val="bottom"/>
          </w:tcPr>
          <w:p>
            <w:pPr>
              <w:spacing w:after="0"/>
              <w:rPr>
                <w:sz w:val="1"/>
                <w:szCs w:val="1"/>
                <w:color w:val="auto"/>
              </w:rPr>
            </w:pPr>
          </w:p>
        </w:tc>
      </w:tr>
      <w:tr>
        <w:trPr>
          <w:trHeight w:val="142"/>
        </w:trPr>
        <w:tc>
          <w:tcPr>
            <w:tcW w:w="54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Reported (U.S. GAAP)</w:t>
            </w:r>
          </w:p>
        </w:tc>
        <w:tc>
          <w:tcPr>
            <w:tcW w:w="9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$167.6</w:t>
            </w: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$34.0</w:t>
            </w: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$140.0</w:t>
            </w: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w:t>
            </w:r>
          </w:p>
        </w:tc>
        <w:tc>
          <w:tcPr>
            <w:tcW w:w="0" w:type="dxa"/>
            <w:vAlign w:val="bottom"/>
          </w:tcPr>
          <w:p>
            <w:pPr>
              <w:spacing w:after="0"/>
              <w:rPr>
                <w:sz w:val="1"/>
                <w:szCs w:val="1"/>
                <w:color w:val="auto"/>
              </w:rPr>
            </w:pPr>
          </w:p>
        </w:tc>
      </w:tr>
      <w:tr>
        <w:trPr>
          <w:trHeight w:val="153"/>
        </w:trPr>
        <w:tc>
          <w:tcPr>
            <w:tcW w:w="54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Unallocated Items:</w:t>
            </w: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42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 xml:space="preserve">Restructuring and other charges </w:t>
            </w:r>
            <w:r>
              <w:rPr>
                <w:rFonts w:ascii="Times New Roman" w:cs="Times New Roman" w:eastAsia="Times New Roman" w:hAnsi="Times New Roman"/>
                <w:sz w:val="15"/>
                <w:szCs w:val="15"/>
                <w:color w:val="auto"/>
                <w:vertAlign w:val="superscript"/>
              </w:rPr>
              <w:t>(1)</w:t>
            </w:r>
          </w:p>
        </w:tc>
        <w:tc>
          <w:tcPr>
            <w:tcW w:w="9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0.03</w:t>
            </w:r>
          </w:p>
        </w:tc>
        <w:tc>
          <w:tcPr>
            <w:tcW w:w="0" w:type="dxa"/>
            <w:vAlign w:val="bottom"/>
          </w:tcPr>
          <w:p>
            <w:pPr>
              <w:spacing w:after="0"/>
              <w:rPr>
                <w:sz w:val="1"/>
                <w:szCs w:val="1"/>
                <w:color w:val="auto"/>
              </w:rPr>
            </w:pPr>
          </w:p>
        </w:tc>
      </w:tr>
      <w:tr>
        <w:trPr>
          <w:trHeight w:val="153"/>
        </w:trPr>
        <w:tc>
          <w:tcPr>
            <w:tcW w:w="5420" w:type="dxa"/>
            <w:vAlign w:val="bottom"/>
            <w:gridSpan w:val="2"/>
          </w:tcPr>
          <w:p>
            <w:pPr>
              <w:spacing w:after="0" w:line="153" w:lineRule="exact"/>
              <w:rPr>
                <w:sz w:val="20"/>
                <w:szCs w:val="20"/>
                <w:color w:val="auto"/>
              </w:rPr>
            </w:pPr>
            <w:r>
              <w:rPr>
                <w:rFonts w:ascii="Times New Roman" w:cs="Times New Roman" w:eastAsia="Times New Roman" w:hAnsi="Times New Roman"/>
                <w:sz w:val="12"/>
                <w:szCs w:val="12"/>
                <w:color w:val="auto"/>
              </w:rPr>
              <w:t xml:space="preserve">Amortization of acquisition-related intangible assets </w:t>
            </w:r>
            <w:r>
              <w:rPr>
                <w:rFonts w:ascii="Times New Roman" w:cs="Times New Roman" w:eastAsia="Times New Roman" w:hAnsi="Times New Roman"/>
                <w:sz w:val="15"/>
                <w:szCs w:val="15"/>
                <w:color w:val="auto"/>
                <w:vertAlign w:val="superscript"/>
              </w:rPr>
              <w:t>(2)</w:t>
            </w:r>
          </w:p>
        </w:tc>
        <w:tc>
          <w:tcPr>
            <w:tcW w:w="960" w:type="dxa"/>
            <w:vAlign w:val="bottom"/>
          </w:tcPr>
          <w:p>
            <w:pPr>
              <w:spacing w:after="0"/>
              <w:rPr>
                <w:sz w:val="13"/>
                <w:szCs w:val="13"/>
                <w:color w:val="auto"/>
              </w:rPr>
            </w:pPr>
          </w:p>
        </w:tc>
        <w:tc>
          <w:tcPr>
            <w:tcW w:w="520" w:type="dxa"/>
            <w:vAlign w:val="bottom"/>
            <w:gridSpan w:val="4"/>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500" w:type="dxa"/>
            <w:vAlign w:val="bottom"/>
            <w:gridSpan w:val="4"/>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0.01</w:t>
            </w:r>
          </w:p>
        </w:tc>
        <w:tc>
          <w:tcPr>
            <w:tcW w:w="0" w:type="dxa"/>
            <w:vAlign w:val="bottom"/>
          </w:tcPr>
          <w:p>
            <w:pPr>
              <w:spacing w:after="0"/>
              <w:rPr>
                <w:sz w:val="1"/>
                <w:szCs w:val="1"/>
                <w:color w:val="auto"/>
              </w:rPr>
            </w:pPr>
          </w:p>
        </w:tc>
      </w:tr>
      <w:tr>
        <w:trPr>
          <w:trHeight w:val="142"/>
        </w:trPr>
        <w:tc>
          <w:tcPr>
            <w:tcW w:w="542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Adjusted (Non-U.S. GAAP)</w:t>
            </w:r>
          </w:p>
        </w:tc>
        <w:tc>
          <w:tcPr>
            <w:tcW w:w="960" w:type="dxa"/>
            <w:vAlign w:val="bottom"/>
            <w:tcBorders>
              <w:top w:val="single" w:sz="8" w:color="auto"/>
              <w:bottom w:val="single" w:sz="8" w:color="auto"/>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$170.1</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$34.6</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$142.4</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w:t>
            </w:r>
          </w:p>
        </w:tc>
        <w:tc>
          <w:tcPr>
            <w:tcW w:w="0" w:type="dxa"/>
            <w:vAlign w:val="bottom"/>
          </w:tcPr>
          <w:p>
            <w:pPr>
              <w:spacing w:after="0"/>
              <w:rPr>
                <w:sz w:val="1"/>
                <w:szCs w:val="1"/>
                <w:color w:val="auto"/>
              </w:rPr>
            </w:pPr>
          </w:p>
        </w:tc>
      </w:tr>
      <w:tr>
        <w:trPr>
          <w:trHeight w:val="464"/>
        </w:trPr>
        <w:tc>
          <w:tcPr>
            <w:tcW w:w="5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vMerge w:val="restart"/>
          </w:tcPr>
          <w:p>
            <w:pPr>
              <w:jc w:val="center"/>
              <w:ind w:left="340"/>
              <w:spacing w:after="0"/>
              <w:rPr>
                <w:sz w:val="20"/>
                <w:szCs w:val="20"/>
                <w:color w:val="auto"/>
              </w:rPr>
            </w:pPr>
            <w:r>
              <w:rPr>
                <w:rFonts w:ascii="Times New Roman" w:cs="Times New Roman" w:eastAsia="Times New Roman" w:hAnsi="Times New Roman"/>
                <w:sz w:val="12"/>
                <w:szCs w:val="12"/>
                <w:color w:val="auto"/>
                <w:w w:val="99"/>
              </w:rPr>
              <w:t>Operating</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gridSpan w:val="4"/>
          </w:tcPr>
          <w:p>
            <w:pPr>
              <w:jc w:val="center"/>
              <w:ind w:right="100"/>
              <w:spacing w:after="0"/>
              <w:rPr>
                <w:sz w:val="20"/>
                <w:szCs w:val="20"/>
                <w:color w:val="auto"/>
              </w:rPr>
            </w:pPr>
            <w:r>
              <w:rPr>
                <w:rFonts w:ascii="Times New Roman" w:cs="Times New Roman" w:eastAsia="Times New Roman" w:hAnsi="Times New Roman"/>
                <w:sz w:val="12"/>
                <w:szCs w:val="12"/>
                <w:color w:val="auto"/>
                <w:w w:val="99"/>
              </w:rPr>
              <w:t>Income</w:t>
            </w:r>
          </w:p>
        </w:tc>
        <w:tc>
          <w:tcPr>
            <w:tcW w:w="150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2"/>
                <w:szCs w:val="12"/>
                <w:color w:val="auto"/>
              </w:rPr>
              <w:t>Net</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Diluted</w:t>
            </w:r>
          </w:p>
        </w:tc>
        <w:tc>
          <w:tcPr>
            <w:tcW w:w="0" w:type="dxa"/>
            <w:vAlign w:val="bottom"/>
          </w:tcPr>
          <w:p>
            <w:pPr>
              <w:spacing w:after="0"/>
              <w:rPr>
                <w:sz w:val="1"/>
                <w:szCs w:val="1"/>
                <w:color w:val="auto"/>
              </w:rPr>
            </w:pPr>
          </w:p>
        </w:tc>
      </w:tr>
      <w:tr>
        <w:trPr>
          <w:trHeight w:val="119"/>
        </w:trPr>
        <w:tc>
          <w:tcPr>
            <w:tcW w:w="542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Nine Months ended September 30, 2025</w:t>
            </w:r>
          </w:p>
        </w:tc>
        <w:tc>
          <w:tcPr>
            <w:tcW w:w="9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00" w:type="dxa"/>
            <w:vAlign w:val="bottom"/>
            <w:gridSpan w:val="4"/>
          </w:tcPr>
          <w:p>
            <w:pPr>
              <w:jc w:val="center"/>
              <w:ind w:right="120"/>
              <w:spacing w:after="0" w:line="119" w:lineRule="exact"/>
              <w:rPr>
                <w:sz w:val="20"/>
                <w:szCs w:val="20"/>
                <w:color w:val="auto"/>
              </w:rPr>
            </w:pPr>
            <w:r>
              <w:rPr>
                <w:rFonts w:ascii="Times New Roman" w:cs="Times New Roman" w:eastAsia="Times New Roman" w:hAnsi="Times New Roman"/>
                <w:sz w:val="12"/>
                <w:szCs w:val="12"/>
                <w:color w:val="auto"/>
                <w:w w:val="95"/>
              </w:rPr>
              <w:t>tax</w:t>
            </w:r>
          </w:p>
        </w:tc>
        <w:tc>
          <w:tcPr>
            <w:tcW w:w="1500" w:type="dxa"/>
            <w:vAlign w:val="bottom"/>
            <w:gridSpan w:val="4"/>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5420" w:type="dxa"/>
            <w:vAlign w:val="bottom"/>
            <w:gridSpan w:val="2"/>
            <w:vMerge w:val="continue"/>
          </w:tcPr>
          <w:p>
            <w:pPr>
              <w:spacing w:after="0"/>
              <w:rPr>
                <w:sz w:val="13"/>
                <w:szCs w:val="13"/>
                <w:color w:val="auto"/>
              </w:rPr>
            </w:pPr>
          </w:p>
        </w:tc>
        <w:tc>
          <w:tcPr>
            <w:tcW w:w="960" w:type="dxa"/>
            <w:vAlign w:val="bottom"/>
          </w:tcPr>
          <w:p>
            <w:pPr>
              <w:jc w:val="center"/>
              <w:ind w:left="340"/>
              <w:spacing w:after="0"/>
              <w:rPr>
                <w:sz w:val="20"/>
                <w:szCs w:val="20"/>
                <w:color w:val="auto"/>
              </w:rPr>
            </w:pPr>
            <w:r>
              <w:rPr>
                <w:rFonts w:ascii="Times New Roman" w:cs="Times New Roman" w:eastAsia="Times New Roman" w:hAnsi="Times New Roman"/>
                <w:sz w:val="12"/>
                <w:szCs w:val="12"/>
                <w:color w:val="auto"/>
              </w:rPr>
              <w:t>profit</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gridSpan w:val="4"/>
          </w:tcPr>
          <w:p>
            <w:pPr>
              <w:jc w:val="center"/>
              <w:ind w:right="120"/>
              <w:spacing w:after="0"/>
              <w:rPr>
                <w:sz w:val="20"/>
                <w:szCs w:val="20"/>
                <w:color w:val="auto"/>
              </w:rPr>
            </w:pPr>
            <w:r>
              <w:rPr>
                <w:rFonts w:ascii="Times New Roman" w:cs="Times New Roman" w:eastAsia="Times New Roman" w:hAnsi="Times New Roman"/>
                <w:sz w:val="12"/>
                <w:szCs w:val="12"/>
                <w:color w:val="auto"/>
                <w:w w:val="98"/>
              </w:rPr>
              <w:t>expense</w:t>
            </w:r>
          </w:p>
        </w:tc>
        <w:tc>
          <w:tcPr>
            <w:tcW w:w="1500" w:type="dxa"/>
            <w:vAlign w:val="bottom"/>
            <w:gridSpan w:val="4"/>
          </w:tcPr>
          <w:p>
            <w:pPr>
              <w:jc w:val="center"/>
              <w:ind w:right="120"/>
              <w:spacing w:after="0"/>
              <w:rPr>
                <w:sz w:val="20"/>
                <w:szCs w:val="20"/>
                <w:color w:val="auto"/>
              </w:rPr>
            </w:pPr>
            <w:r>
              <w:rPr>
                <w:rFonts w:ascii="Times New Roman" w:cs="Times New Roman" w:eastAsia="Times New Roman" w:hAnsi="Times New Roman"/>
                <w:sz w:val="12"/>
                <w:szCs w:val="12"/>
                <w:color w:val="auto"/>
                <w:w w:val="96"/>
              </w:rPr>
              <w:t>income</w:t>
            </w:r>
          </w:p>
        </w:tc>
        <w:tc>
          <w:tcPr>
            <w:tcW w:w="14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EPS</w:t>
            </w:r>
          </w:p>
        </w:tc>
        <w:tc>
          <w:tcPr>
            <w:tcW w:w="0" w:type="dxa"/>
            <w:vAlign w:val="bottom"/>
          </w:tcPr>
          <w:p>
            <w:pPr>
              <w:spacing w:after="0"/>
              <w:rPr>
                <w:sz w:val="1"/>
                <w:szCs w:val="1"/>
                <w:color w:val="auto"/>
              </w:rPr>
            </w:pPr>
          </w:p>
        </w:tc>
      </w:tr>
      <w:tr>
        <w:trPr>
          <w:trHeight w:val="142"/>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Reported (U.S. GAAP)</w:t>
            </w:r>
          </w:p>
        </w:tc>
        <w:tc>
          <w:tcPr>
            <w:tcW w:w="2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$428.3</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$88.3</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$361.6</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$4.97</w:t>
            </w:r>
          </w:p>
        </w:tc>
        <w:tc>
          <w:tcPr>
            <w:tcW w:w="0" w:type="dxa"/>
            <w:vAlign w:val="bottom"/>
          </w:tcPr>
          <w:p>
            <w:pPr>
              <w:spacing w:after="0"/>
              <w:rPr>
                <w:sz w:val="1"/>
                <w:szCs w:val="1"/>
                <w:color w:val="auto"/>
              </w:rPr>
            </w:pPr>
          </w:p>
        </w:tc>
      </w:tr>
      <w:tr>
        <w:trPr>
          <w:trHeight w:val="153"/>
        </w:trPr>
        <w:tc>
          <w:tcPr>
            <w:tcW w:w="54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Unallocated Items:</w:t>
            </w: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42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 xml:space="preserve">Restructuring and other charges </w:t>
            </w:r>
            <w:r>
              <w:rPr>
                <w:rFonts w:ascii="Times New Roman" w:cs="Times New Roman" w:eastAsia="Times New Roman" w:hAnsi="Times New Roman"/>
                <w:sz w:val="15"/>
                <w:szCs w:val="15"/>
                <w:color w:val="auto"/>
                <w:vertAlign w:val="superscript"/>
              </w:rPr>
              <w:t>(1)</w:t>
            </w:r>
          </w:p>
        </w:tc>
        <w:tc>
          <w:tcPr>
            <w:tcW w:w="9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21.9</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19.0</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0.26</w:t>
            </w:r>
          </w:p>
        </w:tc>
        <w:tc>
          <w:tcPr>
            <w:tcW w:w="0" w:type="dxa"/>
            <w:vAlign w:val="bottom"/>
          </w:tcPr>
          <w:p>
            <w:pPr>
              <w:spacing w:after="0"/>
              <w:rPr>
                <w:sz w:val="1"/>
                <w:szCs w:val="1"/>
                <w:color w:val="auto"/>
              </w:rPr>
            </w:pPr>
          </w:p>
        </w:tc>
      </w:tr>
      <w:tr>
        <w:trPr>
          <w:trHeight w:val="153"/>
        </w:trPr>
        <w:tc>
          <w:tcPr>
            <w:tcW w:w="5420" w:type="dxa"/>
            <w:vAlign w:val="bottom"/>
            <w:gridSpan w:val="2"/>
          </w:tcPr>
          <w:p>
            <w:pPr>
              <w:spacing w:after="0" w:line="153" w:lineRule="exact"/>
              <w:rPr>
                <w:sz w:val="20"/>
                <w:szCs w:val="20"/>
                <w:color w:val="auto"/>
              </w:rPr>
            </w:pPr>
            <w:r>
              <w:rPr>
                <w:rFonts w:ascii="Times New Roman" w:cs="Times New Roman" w:eastAsia="Times New Roman" w:hAnsi="Times New Roman"/>
                <w:sz w:val="12"/>
                <w:szCs w:val="12"/>
                <w:color w:val="auto"/>
              </w:rPr>
              <w:t xml:space="preserve">Amortization of acquisition-related intangible assets </w:t>
            </w:r>
            <w:r>
              <w:rPr>
                <w:rFonts w:ascii="Times New Roman" w:cs="Times New Roman" w:eastAsia="Times New Roman" w:hAnsi="Times New Roman"/>
                <w:sz w:val="15"/>
                <w:szCs w:val="15"/>
                <w:color w:val="auto"/>
                <w:vertAlign w:val="superscript"/>
              </w:rPr>
              <w:t>(2)</w:t>
            </w:r>
          </w:p>
        </w:tc>
        <w:tc>
          <w:tcPr>
            <w:tcW w:w="9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gridSpan w:val="4"/>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0.02</w:t>
            </w:r>
          </w:p>
        </w:tc>
        <w:tc>
          <w:tcPr>
            <w:tcW w:w="0" w:type="dxa"/>
            <w:vAlign w:val="bottom"/>
          </w:tcPr>
          <w:p>
            <w:pPr>
              <w:spacing w:after="0"/>
              <w:rPr>
                <w:sz w:val="1"/>
                <w:szCs w:val="1"/>
                <w:color w:val="auto"/>
              </w:rPr>
            </w:pPr>
          </w:p>
        </w:tc>
      </w:tr>
      <w:tr>
        <w:trPr>
          <w:trHeight w:val="142"/>
        </w:trPr>
        <w:tc>
          <w:tcPr>
            <w:tcW w:w="54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Adjusted (Non-U.S. GAAP)</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$450.4</w:t>
            </w:r>
          </w:p>
        </w:tc>
        <w:tc>
          <w:tcPr>
            <w:tcW w:w="20" w:type="dxa"/>
            <w:vAlign w:val="bottom"/>
            <w:tcBorders>
              <w:top w:val="single" w:sz="8" w:color="CCEEFF"/>
              <w:bottom w:val="single" w:sz="8" w:color="auto"/>
            </w:tcBorders>
            <w:shd w:val="clear" w:color="auto" w:fill="CCEEFF"/>
          </w:tcPr>
          <w:p>
            <w:pPr>
              <w:spacing w:after="0"/>
              <w:rPr>
                <w:sz w:val="12"/>
                <w:szCs w:val="12"/>
                <w:color w:val="auto"/>
              </w:rPr>
            </w:pPr>
          </w:p>
        </w:tc>
        <w:tc>
          <w:tcPr>
            <w:tcW w:w="60" w:type="dxa"/>
            <w:vAlign w:val="bottom"/>
            <w:tcBorders>
              <w:top w:val="single" w:sz="8" w:color="CCEEFF"/>
              <w:bottom w:val="single" w:sz="8" w:color="auto"/>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$91.3</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$382.1</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$5.25</w:t>
            </w:r>
          </w:p>
        </w:tc>
        <w:tc>
          <w:tcPr>
            <w:tcW w:w="0" w:type="dxa"/>
            <w:vAlign w:val="bottom"/>
          </w:tcPr>
          <w:p>
            <w:pPr>
              <w:spacing w:after="0"/>
              <w:rPr>
                <w:sz w:val="1"/>
                <w:szCs w:val="1"/>
                <w:color w:val="auto"/>
              </w:rPr>
            </w:pPr>
          </w:p>
        </w:tc>
      </w:tr>
      <w:tr>
        <w:trPr>
          <w:trHeight w:val="304"/>
        </w:trPr>
        <w:tc>
          <w:tcPr>
            <w:tcW w:w="5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vMerge w:val="restart"/>
          </w:tcPr>
          <w:p>
            <w:pPr>
              <w:jc w:val="center"/>
              <w:ind w:left="340"/>
              <w:spacing w:after="0"/>
              <w:rPr>
                <w:sz w:val="20"/>
                <w:szCs w:val="20"/>
                <w:color w:val="auto"/>
              </w:rPr>
            </w:pPr>
            <w:r>
              <w:rPr>
                <w:rFonts w:ascii="Times New Roman" w:cs="Times New Roman" w:eastAsia="Times New Roman" w:hAnsi="Times New Roman"/>
                <w:sz w:val="12"/>
                <w:szCs w:val="12"/>
                <w:color w:val="auto"/>
                <w:w w:val="99"/>
              </w:rPr>
              <w:t>Operating</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gridSpan w:val="4"/>
          </w:tcPr>
          <w:p>
            <w:pPr>
              <w:jc w:val="center"/>
              <w:ind w:right="100"/>
              <w:spacing w:after="0"/>
              <w:rPr>
                <w:sz w:val="20"/>
                <w:szCs w:val="20"/>
                <w:color w:val="auto"/>
              </w:rPr>
            </w:pPr>
            <w:r>
              <w:rPr>
                <w:rFonts w:ascii="Times New Roman" w:cs="Times New Roman" w:eastAsia="Times New Roman" w:hAnsi="Times New Roman"/>
                <w:sz w:val="12"/>
                <w:szCs w:val="12"/>
                <w:color w:val="auto"/>
                <w:w w:val="99"/>
              </w:rPr>
              <w:t>Income</w:t>
            </w:r>
          </w:p>
        </w:tc>
        <w:tc>
          <w:tcPr>
            <w:tcW w:w="150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2"/>
                <w:szCs w:val="12"/>
                <w:color w:val="auto"/>
              </w:rPr>
              <w:t>Net</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Diluted</w:t>
            </w:r>
          </w:p>
        </w:tc>
        <w:tc>
          <w:tcPr>
            <w:tcW w:w="0" w:type="dxa"/>
            <w:vAlign w:val="bottom"/>
          </w:tcPr>
          <w:p>
            <w:pPr>
              <w:spacing w:after="0"/>
              <w:rPr>
                <w:sz w:val="1"/>
                <w:szCs w:val="1"/>
                <w:color w:val="auto"/>
              </w:rPr>
            </w:pPr>
          </w:p>
        </w:tc>
      </w:tr>
      <w:tr>
        <w:trPr>
          <w:trHeight w:val="117"/>
        </w:trPr>
        <w:tc>
          <w:tcPr>
            <w:tcW w:w="542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Three Months ended September 30, 2024</w:t>
            </w:r>
          </w:p>
        </w:tc>
        <w:tc>
          <w:tcPr>
            <w:tcW w:w="9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00" w:type="dxa"/>
            <w:vAlign w:val="bottom"/>
            <w:gridSpan w:val="4"/>
          </w:tcPr>
          <w:p>
            <w:pPr>
              <w:jc w:val="center"/>
              <w:ind w:right="100"/>
              <w:spacing w:after="0" w:line="117" w:lineRule="exact"/>
              <w:rPr>
                <w:sz w:val="20"/>
                <w:szCs w:val="20"/>
                <w:color w:val="auto"/>
              </w:rPr>
            </w:pPr>
            <w:r>
              <w:rPr>
                <w:rFonts w:ascii="Times New Roman" w:cs="Times New Roman" w:eastAsia="Times New Roman" w:hAnsi="Times New Roman"/>
                <w:sz w:val="12"/>
                <w:szCs w:val="12"/>
                <w:color w:val="auto"/>
              </w:rPr>
              <w:t>tax</w:t>
            </w:r>
          </w:p>
        </w:tc>
        <w:tc>
          <w:tcPr>
            <w:tcW w:w="1500" w:type="dxa"/>
            <w:vAlign w:val="bottom"/>
            <w:gridSpan w:val="4"/>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5420" w:type="dxa"/>
            <w:vAlign w:val="bottom"/>
            <w:gridSpan w:val="2"/>
            <w:vMerge w:val="continue"/>
          </w:tcPr>
          <w:p>
            <w:pPr>
              <w:spacing w:after="0"/>
              <w:rPr>
                <w:sz w:val="14"/>
                <w:szCs w:val="14"/>
                <w:color w:val="auto"/>
              </w:rPr>
            </w:pPr>
          </w:p>
        </w:tc>
        <w:tc>
          <w:tcPr>
            <w:tcW w:w="960" w:type="dxa"/>
            <w:vAlign w:val="bottom"/>
          </w:tcPr>
          <w:p>
            <w:pPr>
              <w:jc w:val="center"/>
              <w:ind w:left="360"/>
              <w:spacing w:after="0"/>
              <w:rPr>
                <w:sz w:val="20"/>
                <w:szCs w:val="20"/>
                <w:color w:val="auto"/>
              </w:rPr>
            </w:pPr>
            <w:r>
              <w:rPr>
                <w:rFonts w:ascii="Times New Roman" w:cs="Times New Roman" w:eastAsia="Times New Roman" w:hAnsi="Times New Roman"/>
                <w:sz w:val="12"/>
                <w:szCs w:val="12"/>
                <w:color w:val="auto"/>
                <w:w w:val="97"/>
              </w:rPr>
              <w:t>profit</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4"/>
          </w:tcPr>
          <w:p>
            <w:pPr>
              <w:jc w:val="center"/>
              <w:ind w:right="100"/>
              <w:spacing w:after="0"/>
              <w:rPr>
                <w:sz w:val="20"/>
                <w:szCs w:val="20"/>
                <w:color w:val="auto"/>
              </w:rPr>
            </w:pPr>
            <w:r>
              <w:rPr>
                <w:rFonts w:ascii="Times New Roman" w:cs="Times New Roman" w:eastAsia="Times New Roman" w:hAnsi="Times New Roman"/>
                <w:sz w:val="12"/>
                <w:szCs w:val="12"/>
                <w:color w:val="auto"/>
              </w:rPr>
              <w:t>expense</w:t>
            </w:r>
          </w:p>
        </w:tc>
        <w:tc>
          <w:tcPr>
            <w:tcW w:w="1500" w:type="dxa"/>
            <w:vAlign w:val="bottom"/>
            <w:gridSpan w:val="4"/>
          </w:tcPr>
          <w:p>
            <w:pPr>
              <w:jc w:val="center"/>
              <w:ind w:right="100"/>
              <w:spacing w:after="0"/>
              <w:rPr>
                <w:sz w:val="20"/>
                <w:szCs w:val="20"/>
                <w:color w:val="auto"/>
              </w:rPr>
            </w:pPr>
            <w:r>
              <w:rPr>
                <w:rFonts w:ascii="Times New Roman" w:cs="Times New Roman" w:eastAsia="Times New Roman" w:hAnsi="Times New Roman"/>
                <w:sz w:val="12"/>
                <w:szCs w:val="12"/>
                <w:color w:val="auto"/>
              </w:rPr>
              <w:t>income</w:t>
            </w:r>
          </w:p>
        </w:tc>
        <w:tc>
          <w:tcPr>
            <w:tcW w:w="14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EPS</w:t>
            </w:r>
          </w:p>
        </w:tc>
        <w:tc>
          <w:tcPr>
            <w:tcW w:w="0" w:type="dxa"/>
            <w:vAlign w:val="bottom"/>
          </w:tcPr>
          <w:p>
            <w:pPr>
              <w:spacing w:after="0"/>
              <w:rPr>
                <w:sz w:val="1"/>
                <w:szCs w:val="1"/>
                <w:color w:val="auto"/>
              </w:rPr>
            </w:pPr>
          </w:p>
        </w:tc>
      </w:tr>
      <w:tr>
        <w:trPr>
          <w:trHeight w:val="142"/>
        </w:trPr>
        <w:tc>
          <w:tcPr>
            <w:tcW w:w="54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Reported (U.S. GAAP)</w:t>
            </w:r>
          </w:p>
        </w:tc>
        <w:tc>
          <w:tcPr>
            <w:tcW w:w="9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$161.3</w:t>
            </w: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$32.4</w:t>
            </w: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$136.0</w:t>
            </w: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w:t>
            </w:r>
          </w:p>
        </w:tc>
        <w:tc>
          <w:tcPr>
            <w:tcW w:w="0" w:type="dxa"/>
            <w:vAlign w:val="bottom"/>
          </w:tcPr>
          <w:p>
            <w:pPr>
              <w:spacing w:after="0"/>
              <w:rPr>
                <w:sz w:val="1"/>
                <w:szCs w:val="1"/>
                <w:color w:val="auto"/>
              </w:rPr>
            </w:pPr>
          </w:p>
        </w:tc>
      </w:tr>
      <w:tr>
        <w:trPr>
          <w:trHeight w:val="153"/>
        </w:trPr>
        <w:tc>
          <w:tcPr>
            <w:tcW w:w="54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Unallocated items:</w:t>
            </w: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42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 xml:space="preserve">Restructuring and other charges </w:t>
            </w:r>
            <w:r>
              <w:rPr>
                <w:rFonts w:ascii="Times New Roman" w:cs="Times New Roman" w:eastAsia="Times New Roman" w:hAnsi="Times New Roman"/>
                <w:sz w:val="15"/>
                <w:szCs w:val="15"/>
                <w:color w:val="auto"/>
                <w:vertAlign w:val="superscript"/>
              </w:rPr>
              <w:t>(1)</w:t>
            </w:r>
          </w:p>
        </w:tc>
        <w:tc>
          <w:tcPr>
            <w:tcW w:w="9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(0.01)</w:t>
            </w:r>
          </w:p>
        </w:tc>
        <w:tc>
          <w:tcPr>
            <w:tcW w:w="0" w:type="dxa"/>
            <w:vAlign w:val="bottom"/>
          </w:tcPr>
          <w:p>
            <w:pPr>
              <w:spacing w:after="0"/>
              <w:rPr>
                <w:sz w:val="1"/>
                <w:szCs w:val="1"/>
                <w:color w:val="auto"/>
              </w:rPr>
            </w:pPr>
          </w:p>
        </w:tc>
      </w:tr>
      <w:tr>
        <w:trPr>
          <w:trHeight w:val="153"/>
        </w:trPr>
        <w:tc>
          <w:tcPr>
            <w:tcW w:w="5420" w:type="dxa"/>
            <w:vAlign w:val="bottom"/>
            <w:tcBorders>
              <w:bottom w:val="single" w:sz="8" w:color="CCEEFF"/>
            </w:tcBorders>
            <w:gridSpan w:val="2"/>
          </w:tcPr>
          <w:p>
            <w:pPr>
              <w:spacing w:after="0" w:line="153" w:lineRule="exact"/>
              <w:rPr>
                <w:sz w:val="20"/>
                <w:szCs w:val="20"/>
                <w:color w:val="auto"/>
              </w:rPr>
            </w:pPr>
            <w:r>
              <w:rPr>
                <w:rFonts w:ascii="Times New Roman" w:cs="Times New Roman" w:eastAsia="Times New Roman" w:hAnsi="Times New Roman"/>
                <w:sz w:val="12"/>
                <w:szCs w:val="12"/>
                <w:color w:val="auto"/>
              </w:rPr>
              <w:t xml:space="preserve">Amortization of acquisition-related intangible assets </w:t>
            </w:r>
            <w:r>
              <w:rPr>
                <w:rFonts w:ascii="Times New Roman" w:cs="Times New Roman" w:eastAsia="Times New Roman" w:hAnsi="Times New Roman"/>
                <w:sz w:val="15"/>
                <w:szCs w:val="15"/>
                <w:color w:val="auto"/>
                <w:vertAlign w:val="superscript"/>
              </w:rPr>
              <w:t>(2)</w:t>
            </w:r>
          </w:p>
        </w:tc>
        <w:tc>
          <w:tcPr>
            <w:tcW w:w="9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0.01</w:t>
            </w:r>
          </w:p>
        </w:tc>
        <w:tc>
          <w:tcPr>
            <w:tcW w:w="0" w:type="dxa"/>
            <w:vAlign w:val="bottom"/>
          </w:tcPr>
          <w:p>
            <w:pPr>
              <w:spacing w:after="0"/>
              <w:rPr>
                <w:sz w:val="1"/>
                <w:szCs w:val="1"/>
                <w:color w:val="auto"/>
              </w:rPr>
            </w:pPr>
          </w:p>
        </w:tc>
      </w:tr>
      <w:tr>
        <w:trPr>
          <w:trHeight w:val="142"/>
        </w:trPr>
        <w:tc>
          <w:tcPr>
            <w:tcW w:w="5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Adjusted (Non-U.S. GAAP)</w:t>
            </w:r>
          </w:p>
        </w:tc>
        <w:tc>
          <w:tcPr>
            <w:tcW w:w="96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$160.6</w:t>
            </w:r>
          </w:p>
        </w:tc>
        <w:tc>
          <w:tcPr>
            <w:tcW w:w="2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$32.2</w:t>
            </w:r>
          </w:p>
        </w:tc>
        <w:tc>
          <w:tcPr>
            <w:tcW w:w="2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$136.1</w:t>
            </w:r>
          </w:p>
        </w:tc>
        <w:tc>
          <w:tcPr>
            <w:tcW w:w="2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w:t>
            </w:r>
          </w:p>
        </w:tc>
        <w:tc>
          <w:tcPr>
            <w:tcW w:w="0" w:type="dxa"/>
            <w:vAlign w:val="bottom"/>
          </w:tcPr>
          <w:p>
            <w:pPr>
              <w:spacing w:after="0"/>
              <w:rPr>
                <w:sz w:val="1"/>
                <w:szCs w:val="1"/>
                <w:color w:val="auto"/>
              </w:rPr>
            </w:pPr>
          </w:p>
        </w:tc>
      </w:tr>
      <w:tr>
        <w:trPr>
          <w:trHeight w:val="347"/>
        </w:trPr>
        <w:tc>
          <w:tcPr>
            <w:tcW w:w="5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vMerge w:val="restart"/>
          </w:tcPr>
          <w:p>
            <w:pPr>
              <w:jc w:val="center"/>
              <w:ind w:left="340"/>
              <w:spacing w:after="0"/>
              <w:rPr>
                <w:sz w:val="20"/>
                <w:szCs w:val="20"/>
                <w:color w:val="auto"/>
              </w:rPr>
            </w:pPr>
            <w:r>
              <w:rPr>
                <w:rFonts w:ascii="Times New Roman" w:cs="Times New Roman" w:eastAsia="Times New Roman" w:hAnsi="Times New Roman"/>
                <w:sz w:val="12"/>
                <w:szCs w:val="12"/>
                <w:color w:val="auto"/>
                <w:w w:val="99"/>
              </w:rPr>
              <w:t>Operating</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gridSpan w:val="4"/>
          </w:tcPr>
          <w:p>
            <w:pPr>
              <w:jc w:val="center"/>
              <w:ind w:right="100"/>
              <w:spacing w:after="0"/>
              <w:rPr>
                <w:sz w:val="20"/>
                <w:szCs w:val="20"/>
                <w:color w:val="auto"/>
              </w:rPr>
            </w:pPr>
            <w:r>
              <w:rPr>
                <w:rFonts w:ascii="Times New Roman" w:cs="Times New Roman" w:eastAsia="Times New Roman" w:hAnsi="Times New Roman"/>
                <w:sz w:val="12"/>
                <w:szCs w:val="12"/>
                <w:color w:val="auto"/>
                <w:w w:val="99"/>
              </w:rPr>
              <w:t>Income</w:t>
            </w:r>
          </w:p>
        </w:tc>
        <w:tc>
          <w:tcPr>
            <w:tcW w:w="150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2"/>
                <w:szCs w:val="12"/>
                <w:color w:val="auto"/>
              </w:rPr>
              <w:t>Net</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Diluted</w:t>
            </w:r>
          </w:p>
        </w:tc>
        <w:tc>
          <w:tcPr>
            <w:tcW w:w="0" w:type="dxa"/>
            <w:vAlign w:val="bottom"/>
          </w:tcPr>
          <w:p>
            <w:pPr>
              <w:spacing w:after="0"/>
              <w:rPr>
                <w:sz w:val="1"/>
                <w:szCs w:val="1"/>
                <w:color w:val="auto"/>
              </w:rPr>
            </w:pPr>
          </w:p>
        </w:tc>
      </w:tr>
      <w:tr>
        <w:trPr>
          <w:trHeight w:val="119"/>
        </w:trPr>
        <w:tc>
          <w:tcPr>
            <w:tcW w:w="542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Nine Months ended September 30, 2024</w:t>
            </w:r>
          </w:p>
        </w:tc>
        <w:tc>
          <w:tcPr>
            <w:tcW w:w="9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00" w:type="dxa"/>
            <w:vAlign w:val="bottom"/>
            <w:gridSpan w:val="4"/>
          </w:tcPr>
          <w:p>
            <w:pPr>
              <w:jc w:val="center"/>
              <w:ind w:right="120"/>
              <w:spacing w:after="0" w:line="119" w:lineRule="exact"/>
              <w:rPr>
                <w:sz w:val="20"/>
                <w:szCs w:val="20"/>
                <w:color w:val="auto"/>
              </w:rPr>
            </w:pPr>
            <w:r>
              <w:rPr>
                <w:rFonts w:ascii="Times New Roman" w:cs="Times New Roman" w:eastAsia="Times New Roman" w:hAnsi="Times New Roman"/>
                <w:sz w:val="12"/>
                <w:szCs w:val="12"/>
                <w:color w:val="auto"/>
                <w:w w:val="95"/>
              </w:rPr>
              <w:t>tax</w:t>
            </w:r>
          </w:p>
        </w:tc>
        <w:tc>
          <w:tcPr>
            <w:tcW w:w="1500" w:type="dxa"/>
            <w:vAlign w:val="bottom"/>
            <w:gridSpan w:val="4"/>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5420" w:type="dxa"/>
            <w:vAlign w:val="bottom"/>
            <w:gridSpan w:val="2"/>
            <w:vMerge w:val="continue"/>
          </w:tcPr>
          <w:p>
            <w:pPr>
              <w:spacing w:after="0"/>
              <w:rPr>
                <w:sz w:val="13"/>
                <w:szCs w:val="13"/>
                <w:color w:val="auto"/>
              </w:rPr>
            </w:pPr>
          </w:p>
        </w:tc>
        <w:tc>
          <w:tcPr>
            <w:tcW w:w="960" w:type="dxa"/>
            <w:vAlign w:val="bottom"/>
          </w:tcPr>
          <w:p>
            <w:pPr>
              <w:jc w:val="center"/>
              <w:ind w:left="340"/>
              <w:spacing w:after="0"/>
              <w:rPr>
                <w:sz w:val="20"/>
                <w:szCs w:val="20"/>
                <w:color w:val="auto"/>
              </w:rPr>
            </w:pPr>
            <w:r>
              <w:rPr>
                <w:rFonts w:ascii="Times New Roman" w:cs="Times New Roman" w:eastAsia="Times New Roman" w:hAnsi="Times New Roman"/>
                <w:sz w:val="12"/>
                <w:szCs w:val="12"/>
                <w:color w:val="auto"/>
              </w:rPr>
              <w:t>profit</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gridSpan w:val="4"/>
          </w:tcPr>
          <w:p>
            <w:pPr>
              <w:jc w:val="center"/>
              <w:ind w:right="120"/>
              <w:spacing w:after="0"/>
              <w:rPr>
                <w:sz w:val="20"/>
                <w:szCs w:val="20"/>
                <w:color w:val="auto"/>
              </w:rPr>
            </w:pPr>
            <w:r>
              <w:rPr>
                <w:rFonts w:ascii="Times New Roman" w:cs="Times New Roman" w:eastAsia="Times New Roman" w:hAnsi="Times New Roman"/>
                <w:sz w:val="12"/>
                <w:szCs w:val="12"/>
                <w:color w:val="auto"/>
                <w:w w:val="98"/>
              </w:rPr>
              <w:t>expense</w:t>
            </w:r>
          </w:p>
        </w:tc>
        <w:tc>
          <w:tcPr>
            <w:tcW w:w="1500" w:type="dxa"/>
            <w:vAlign w:val="bottom"/>
            <w:gridSpan w:val="4"/>
          </w:tcPr>
          <w:p>
            <w:pPr>
              <w:jc w:val="center"/>
              <w:ind w:right="120"/>
              <w:spacing w:after="0"/>
              <w:rPr>
                <w:sz w:val="20"/>
                <w:szCs w:val="20"/>
                <w:color w:val="auto"/>
              </w:rPr>
            </w:pPr>
            <w:r>
              <w:rPr>
                <w:rFonts w:ascii="Times New Roman" w:cs="Times New Roman" w:eastAsia="Times New Roman" w:hAnsi="Times New Roman"/>
                <w:sz w:val="12"/>
                <w:szCs w:val="12"/>
                <w:color w:val="auto"/>
                <w:w w:val="96"/>
              </w:rPr>
              <w:t>income</w:t>
            </w:r>
          </w:p>
        </w:tc>
        <w:tc>
          <w:tcPr>
            <w:tcW w:w="14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EPS</w:t>
            </w:r>
          </w:p>
        </w:tc>
        <w:tc>
          <w:tcPr>
            <w:tcW w:w="0" w:type="dxa"/>
            <w:vAlign w:val="bottom"/>
          </w:tcPr>
          <w:p>
            <w:pPr>
              <w:spacing w:after="0"/>
              <w:rPr>
                <w:sz w:val="1"/>
                <w:szCs w:val="1"/>
                <w:color w:val="auto"/>
              </w:rPr>
            </w:pPr>
          </w:p>
        </w:tc>
      </w:tr>
      <w:tr>
        <w:trPr>
          <w:trHeight w:val="142"/>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Reported (U.S. GAAP)</w:t>
            </w:r>
          </w:p>
        </w:tc>
        <w:tc>
          <w:tcPr>
            <w:tcW w:w="2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$410.3</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$70.7</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$362.6</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$4.91</w:t>
            </w:r>
          </w:p>
        </w:tc>
        <w:tc>
          <w:tcPr>
            <w:tcW w:w="0" w:type="dxa"/>
            <w:vAlign w:val="bottom"/>
          </w:tcPr>
          <w:p>
            <w:pPr>
              <w:spacing w:after="0"/>
              <w:rPr>
                <w:sz w:val="1"/>
                <w:szCs w:val="1"/>
                <w:color w:val="auto"/>
              </w:rPr>
            </w:pPr>
          </w:p>
        </w:tc>
      </w:tr>
      <w:tr>
        <w:trPr>
          <w:trHeight w:val="153"/>
        </w:trPr>
        <w:tc>
          <w:tcPr>
            <w:tcW w:w="54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Unallocated items:</w:t>
            </w: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42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 xml:space="preserve">Restructuring and other charges </w:t>
            </w:r>
            <w:r>
              <w:rPr>
                <w:rFonts w:ascii="Times New Roman" w:cs="Times New Roman" w:eastAsia="Times New Roman" w:hAnsi="Times New Roman"/>
                <w:sz w:val="15"/>
                <w:szCs w:val="15"/>
                <w:color w:val="auto"/>
                <w:vertAlign w:val="superscript"/>
              </w:rPr>
              <w:t>(1)</w:t>
            </w:r>
          </w:p>
        </w:tc>
        <w:tc>
          <w:tcPr>
            <w:tcW w:w="9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(0.01)</w:t>
            </w:r>
          </w:p>
        </w:tc>
        <w:tc>
          <w:tcPr>
            <w:tcW w:w="0" w:type="dxa"/>
            <w:vAlign w:val="bottom"/>
          </w:tcPr>
          <w:p>
            <w:pPr>
              <w:spacing w:after="0"/>
              <w:rPr>
                <w:sz w:val="1"/>
                <w:szCs w:val="1"/>
                <w:color w:val="auto"/>
              </w:rPr>
            </w:pPr>
          </w:p>
        </w:tc>
      </w:tr>
      <w:tr>
        <w:trPr>
          <w:trHeight w:val="153"/>
        </w:trPr>
        <w:tc>
          <w:tcPr>
            <w:tcW w:w="5420" w:type="dxa"/>
            <w:vAlign w:val="bottom"/>
            <w:gridSpan w:val="2"/>
          </w:tcPr>
          <w:p>
            <w:pPr>
              <w:spacing w:after="0" w:line="153" w:lineRule="exact"/>
              <w:rPr>
                <w:sz w:val="20"/>
                <w:szCs w:val="20"/>
                <w:color w:val="auto"/>
              </w:rPr>
            </w:pPr>
            <w:r>
              <w:rPr>
                <w:rFonts w:ascii="Times New Roman" w:cs="Times New Roman" w:eastAsia="Times New Roman" w:hAnsi="Times New Roman"/>
                <w:sz w:val="12"/>
                <w:szCs w:val="12"/>
                <w:color w:val="auto"/>
              </w:rPr>
              <w:t xml:space="preserve">Amortization of acquisition-related intangible assets </w:t>
            </w:r>
            <w:r>
              <w:rPr>
                <w:rFonts w:ascii="Times New Roman" w:cs="Times New Roman" w:eastAsia="Times New Roman" w:hAnsi="Times New Roman"/>
                <w:sz w:val="15"/>
                <w:szCs w:val="15"/>
                <w:color w:val="auto"/>
                <w:vertAlign w:val="superscript"/>
              </w:rPr>
              <w:t>(2)</w:t>
            </w:r>
          </w:p>
        </w:tc>
        <w:tc>
          <w:tcPr>
            <w:tcW w:w="9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0.03</w:t>
            </w:r>
          </w:p>
        </w:tc>
        <w:tc>
          <w:tcPr>
            <w:tcW w:w="0" w:type="dxa"/>
            <w:vAlign w:val="bottom"/>
          </w:tcPr>
          <w:p>
            <w:pPr>
              <w:spacing w:after="0"/>
              <w:rPr>
                <w:sz w:val="1"/>
                <w:szCs w:val="1"/>
                <w:color w:val="auto"/>
              </w:rPr>
            </w:pPr>
          </w:p>
        </w:tc>
      </w:tr>
      <w:tr>
        <w:trPr>
          <w:trHeight w:val="142"/>
        </w:trPr>
        <w:tc>
          <w:tcPr>
            <w:tcW w:w="54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Adjusted (Non-U.S. GAAP)</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$410.0</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$70.5</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$364.1</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$4.93</w:t>
            </w:r>
          </w:p>
        </w:tc>
        <w:tc>
          <w:tcPr>
            <w:tcW w:w="0" w:type="dxa"/>
            <w:vAlign w:val="bottom"/>
          </w:tcPr>
          <w:p>
            <w:pPr>
              <w:spacing w:after="0"/>
              <w:rPr>
                <w:sz w:val="1"/>
                <w:szCs w:val="1"/>
                <w:color w:val="auto"/>
              </w:rPr>
            </w:pPr>
          </w:p>
        </w:tc>
      </w:tr>
    </w:tbl>
    <w:p>
      <w:pPr>
        <w:sectPr>
          <w:pgSz w:w="11900" w:h="16838" w:orient="portrait"/>
          <w:cols w:equalWidth="0" w:num="1">
            <w:col w:w="11300"/>
          </w:cols>
          <w:pgMar w:left="300" w:top="992" w:right="299" w:bottom="1440" w:gutter="0" w:footer="0" w:header="0"/>
        </w:sectPr>
      </w:pPr>
    </w:p>
    <w:bookmarkStart w:id="11" w:name="page12"/>
    <w:bookmarkEnd w:id="11"/>
    <w:p>
      <w:pPr>
        <w:ind w:left="268" w:hanging="268"/>
        <w:spacing w:after="0" w:line="261" w:lineRule="auto"/>
        <w:tabs>
          <w:tab w:leader="none" w:pos="26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the three and nine months ended September 30, 2025, the Company recorded charges of $2.5 million and $21.9 million, respectively, related to restructuring programs. During the three and nine months ended September 30, 2025, the Company recorded $0.9 million and $17.5 million, respectively, of the charges within other expense (income), related to severance and acceleration of depreciation and lease costs in connection with the Company's 2025 restructuring plan. The Company recorded the remaining $1.6 million and $4.4 million, respectively, within selling, general and administrative expenses, related to our plan to optimize the legal structure of the Company and its subsidiaries. Restructuring and other charges were a net benefit $0.9 million for the three and nine months ended September 30, 2024. The net benefit represented the impact of two items, the first of which is a $2.5 million benefit recorded within other expense (income) related to revised severance estimates in connection with the Company's 2022 restructuring plan. This benefit was partially offset by $1.6 million of expense recorded within selling, general and administrative expenses, related to our plan to optimize the legal structure of the Company and its subsidiaries.</w:t>
      </w:r>
    </w:p>
    <w:p>
      <w:pPr>
        <w:spacing w:after="0" w:line="131" w:lineRule="exact"/>
        <w:rPr>
          <w:rFonts w:ascii="Times New Roman" w:cs="Times New Roman" w:eastAsia="Times New Roman" w:hAnsi="Times New Roman"/>
          <w:sz w:val="13"/>
          <w:szCs w:val="13"/>
          <w:color w:val="auto"/>
        </w:rPr>
      </w:pPr>
    </w:p>
    <w:p>
      <w:pPr>
        <w:ind w:left="268" w:hanging="268"/>
        <w:spacing w:after="0" w:line="265" w:lineRule="auto"/>
        <w:tabs>
          <w:tab w:leader="none" w:pos="26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252525"/>
        </w:rPr>
        <w:t xml:space="preserve">During the </w:t>
      </w:r>
      <w:r>
        <w:rPr>
          <w:rFonts w:ascii="Times New Roman" w:cs="Times New Roman" w:eastAsia="Times New Roman" w:hAnsi="Times New Roman"/>
          <w:sz w:val="13"/>
          <w:szCs w:val="13"/>
          <w:color w:val="000000"/>
        </w:rPr>
        <w:t>nine months ended September 30, 2025</w:t>
      </w:r>
      <w:r>
        <w:rPr>
          <w:rFonts w:ascii="Times New Roman" w:cs="Times New Roman" w:eastAsia="Times New Roman" w:hAnsi="Times New Roman"/>
          <w:sz w:val="13"/>
          <w:szCs w:val="13"/>
          <w:color w:val="252525"/>
        </w:rPr>
        <w:t xml:space="preserve">, the Company recorded </w:t>
      </w:r>
      <w:r>
        <w:rPr>
          <w:rFonts w:ascii="Times New Roman" w:cs="Times New Roman" w:eastAsia="Times New Roman" w:hAnsi="Times New Roman"/>
          <w:sz w:val="13"/>
          <w:szCs w:val="13"/>
          <w:color w:val="000000"/>
        </w:rPr>
        <w:t>$0.2 million</w:t>
      </w:r>
      <w:r>
        <w:rPr>
          <w:rFonts w:ascii="Times New Roman" w:cs="Times New Roman" w:eastAsia="Times New Roman" w:hAnsi="Times New Roman"/>
          <w:sz w:val="13"/>
          <w:szCs w:val="13"/>
          <w:color w:val="252525"/>
        </w:rPr>
        <w:t xml:space="preserve"> of amortization expense within operating profit associated with an intangible asset acquired during </w:t>
      </w:r>
      <w:r>
        <w:rPr>
          <w:rFonts w:ascii="Times New Roman" w:cs="Times New Roman" w:eastAsia="Times New Roman" w:hAnsi="Times New Roman"/>
          <w:sz w:val="13"/>
          <w:szCs w:val="13"/>
          <w:color w:val="000000"/>
        </w:rPr>
        <w:t>the second quarter of</w:t>
      </w:r>
      <w:r>
        <w:rPr>
          <w:rFonts w:ascii="Times New Roman" w:cs="Times New Roman" w:eastAsia="Times New Roman" w:hAnsi="Times New Roman"/>
          <w:sz w:val="13"/>
          <w:szCs w:val="13"/>
          <w:color w:val="252525"/>
        </w:rPr>
        <w:t xml:space="preserve"> </w:t>
      </w:r>
      <w:r>
        <w:rPr>
          <w:rFonts w:ascii="Times New Roman" w:cs="Times New Roman" w:eastAsia="Times New Roman" w:hAnsi="Times New Roman"/>
          <w:sz w:val="13"/>
          <w:szCs w:val="13"/>
          <w:color w:val="000000"/>
        </w:rPr>
        <w:t xml:space="preserve">2020. During the </w:t>
      </w:r>
      <w:r>
        <w:rPr>
          <w:rFonts w:ascii="Times New Roman" w:cs="Times New Roman" w:eastAsia="Times New Roman" w:hAnsi="Times New Roman"/>
          <w:sz w:val="13"/>
          <w:szCs w:val="13"/>
          <w:color w:val="252525"/>
        </w:rPr>
        <w:t>three and nine months ended</w:t>
      </w:r>
      <w:r>
        <w:rPr>
          <w:rFonts w:ascii="Times New Roman" w:cs="Times New Roman" w:eastAsia="Times New Roman" w:hAnsi="Times New Roman"/>
          <w:sz w:val="13"/>
          <w:szCs w:val="13"/>
          <w:color w:val="000000"/>
        </w:rPr>
        <w:t xml:space="preserve"> September 30, 2025, the Company recorded $0.4 million and $1.3 million, respectively, of amortization expense in association with an acquisition of increased ownership interest in Daikyo. During the </w:t>
      </w:r>
      <w:r>
        <w:rPr>
          <w:rFonts w:ascii="Times New Roman" w:cs="Times New Roman" w:eastAsia="Times New Roman" w:hAnsi="Times New Roman"/>
          <w:sz w:val="13"/>
          <w:szCs w:val="13"/>
          <w:color w:val="252525"/>
        </w:rPr>
        <w:t>three and nine months ended</w:t>
      </w:r>
      <w:r>
        <w:rPr>
          <w:rFonts w:ascii="Times New Roman" w:cs="Times New Roman" w:eastAsia="Times New Roman" w:hAnsi="Times New Roman"/>
          <w:sz w:val="13"/>
          <w:szCs w:val="13"/>
          <w:color w:val="000000"/>
        </w:rPr>
        <w:t xml:space="preserve"> September 30, 2024, </w:t>
      </w:r>
      <w:r>
        <w:rPr>
          <w:rFonts w:ascii="Times New Roman" w:cs="Times New Roman" w:eastAsia="Times New Roman" w:hAnsi="Times New Roman"/>
          <w:sz w:val="13"/>
          <w:szCs w:val="13"/>
          <w:color w:val="252525"/>
        </w:rPr>
        <w:t>the Company recorded</w:t>
      </w:r>
      <w:r>
        <w:rPr>
          <w:rFonts w:ascii="Times New Roman" w:cs="Times New Roman" w:eastAsia="Times New Roman" w:hAnsi="Times New Roman"/>
          <w:sz w:val="13"/>
          <w:szCs w:val="13"/>
          <w:color w:val="000000"/>
        </w:rPr>
        <w:t xml:space="preserve"> $0.2 million and $0.6 million, respectively, </w:t>
      </w:r>
      <w:r>
        <w:rPr>
          <w:rFonts w:ascii="Times New Roman" w:cs="Times New Roman" w:eastAsia="Times New Roman" w:hAnsi="Times New Roman"/>
          <w:sz w:val="13"/>
          <w:szCs w:val="13"/>
          <w:color w:val="252525"/>
        </w:rPr>
        <w:t>of amortization expense within operating profit</w:t>
      </w:r>
      <w:r>
        <w:rPr>
          <w:rFonts w:ascii="Times New Roman" w:cs="Times New Roman" w:eastAsia="Times New Roman" w:hAnsi="Times New Roman"/>
          <w:sz w:val="13"/>
          <w:szCs w:val="13"/>
          <w:color w:val="000000"/>
        </w:rPr>
        <w:t xml:space="preserve"> </w:t>
      </w:r>
      <w:r>
        <w:rPr>
          <w:rFonts w:ascii="Times New Roman" w:cs="Times New Roman" w:eastAsia="Times New Roman" w:hAnsi="Times New Roman"/>
          <w:sz w:val="13"/>
          <w:szCs w:val="13"/>
          <w:color w:val="252525"/>
        </w:rPr>
        <w:t xml:space="preserve">associated with an intangible asset acquired during </w:t>
      </w:r>
      <w:r>
        <w:rPr>
          <w:rFonts w:ascii="Times New Roman" w:cs="Times New Roman" w:eastAsia="Times New Roman" w:hAnsi="Times New Roman"/>
          <w:sz w:val="13"/>
          <w:szCs w:val="13"/>
          <w:color w:val="000000"/>
        </w:rPr>
        <w:t>the second quarter of 2020. During the</w:t>
      </w:r>
      <w:r>
        <w:rPr>
          <w:rFonts w:ascii="Times New Roman" w:cs="Times New Roman" w:eastAsia="Times New Roman" w:hAnsi="Times New Roman"/>
          <w:sz w:val="13"/>
          <w:szCs w:val="13"/>
          <w:color w:val="252525"/>
        </w:rPr>
        <w:t xml:space="preserve"> three and nine months ended </w:t>
      </w:r>
      <w:r>
        <w:rPr>
          <w:rFonts w:ascii="Times New Roman" w:cs="Times New Roman" w:eastAsia="Times New Roman" w:hAnsi="Times New Roman"/>
          <w:sz w:val="13"/>
          <w:szCs w:val="13"/>
          <w:color w:val="000000"/>
        </w:rPr>
        <w:t>September 30, 2024, the Company recorded $0.6 million and $1.6 million, respectively,</w:t>
      </w:r>
      <w:r>
        <w:rPr>
          <w:rFonts w:ascii="Times New Roman" w:cs="Times New Roman" w:eastAsia="Times New Roman" w:hAnsi="Times New Roman"/>
          <w:sz w:val="13"/>
          <w:szCs w:val="13"/>
          <w:color w:val="252525"/>
        </w:rPr>
        <w:t xml:space="preserve"> </w:t>
      </w:r>
      <w:r>
        <w:rPr>
          <w:rFonts w:ascii="Times New Roman" w:cs="Times New Roman" w:eastAsia="Times New Roman" w:hAnsi="Times New Roman"/>
          <w:sz w:val="13"/>
          <w:szCs w:val="13"/>
          <w:color w:val="000000"/>
        </w:rPr>
        <w:t xml:space="preserve">of amortization expense </w:t>
      </w:r>
      <w:r>
        <w:rPr>
          <w:rFonts w:ascii="Times New Roman" w:cs="Times New Roman" w:eastAsia="Times New Roman" w:hAnsi="Times New Roman"/>
          <w:sz w:val="13"/>
          <w:szCs w:val="13"/>
          <w:color w:val="252525"/>
        </w:rPr>
        <w:t>in association with an acquisition of increased ownership interest in Daikyo.</w:t>
      </w:r>
    </w:p>
    <w:p>
      <w:pPr>
        <w:sectPr>
          <w:pgSz w:w="11900" w:h="16838" w:orient="portrait"/>
          <w:cols w:equalWidth="0" w:num="1">
            <w:col w:w="11288"/>
          </w:cols>
          <w:pgMar w:left="292" w:top="989" w:right="31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WEST PHARMACEUTICAL SERVICES</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RECONCILIATION OF NON-U.S. GAAP FINANCIAL MEASURES (UNAUDITED)</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Please refer to “Non-U.S. GAAP Financial Measures” for more information</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(in millions, except per share data)</w:t>
      </w:r>
    </w:p>
    <w:p>
      <w:pPr>
        <w:spacing w:after="0" w:line="1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 xml:space="preserve">Reconciliation of Reported Net Sales to Organic Net Sales by Segment </w:t>
      </w:r>
      <w:r>
        <w:rPr>
          <w:rFonts w:ascii="Times New Roman" w:cs="Times New Roman" w:eastAsia="Times New Roman" w:hAnsi="Times New Roman"/>
          <w:sz w:val="17"/>
          <w:szCs w:val="17"/>
          <w:b w:val="1"/>
          <w:bCs w:val="1"/>
          <w:color w:val="auto"/>
          <w:vertAlign w:val="superscript"/>
        </w:rPr>
        <w:t>(3)</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40" w:type="dxa"/>
            <w:vAlign w:val="bottom"/>
            <w:gridSpan w:val="3"/>
          </w:tcPr>
          <w:p>
            <w:pPr>
              <w:ind w:left="620"/>
              <w:spacing w:after="0"/>
              <w:rPr>
                <w:sz w:val="20"/>
                <w:szCs w:val="20"/>
                <w:color w:val="auto"/>
              </w:rPr>
            </w:pPr>
            <w:r>
              <w:rPr>
                <w:rFonts w:ascii="Times New Roman" w:cs="Times New Roman" w:eastAsia="Times New Roman" w:hAnsi="Times New Roman"/>
                <w:sz w:val="12"/>
                <w:szCs w:val="12"/>
                <w:color w:val="auto"/>
              </w:rPr>
              <w:t>Reported Net Sales (U.S. GAAP)</w:t>
            </w: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Organic Net Sales Growth Rate (Decline) (Non-</w:t>
            </w:r>
          </w:p>
        </w:tc>
      </w:tr>
      <w:tr>
        <w:trPr>
          <w:trHeight w:val="158"/>
        </w:trPr>
        <w:tc>
          <w:tcPr>
            <w:tcW w:w="30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1720" w:type="dxa"/>
            <w:vAlign w:val="bottom"/>
            <w:tcBorders>
              <w:top w:val="single" w:sz="8" w:color="auto"/>
            </w:tcBorders>
          </w:tcPr>
          <w:p>
            <w:pPr>
              <w:jc w:val="right"/>
              <w:ind w:right="840"/>
              <w:spacing w:after="0"/>
              <w:rPr>
                <w:sz w:val="20"/>
                <w:szCs w:val="20"/>
                <w:color w:val="auto"/>
              </w:rPr>
            </w:pPr>
            <w:r>
              <w:rPr>
                <w:rFonts w:ascii="Times New Roman" w:cs="Times New Roman" w:eastAsia="Times New Roman" w:hAnsi="Times New Roman"/>
                <w:sz w:val="12"/>
                <w:szCs w:val="12"/>
                <w:color w:val="auto"/>
              </w:rPr>
              <w:t>2025</w:t>
            </w:r>
          </w:p>
        </w:tc>
        <w:tc>
          <w:tcPr>
            <w:tcW w:w="1140" w:type="dxa"/>
            <w:vAlign w:val="bottom"/>
            <w:tcBorders>
              <w:top w:val="single" w:sz="8" w:color="auto"/>
            </w:tcBorders>
          </w:tcPr>
          <w:p>
            <w:pPr>
              <w:jc w:val="right"/>
              <w:ind w:right="520"/>
              <w:spacing w:after="0"/>
              <w:rPr>
                <w:sz w:val="20"/>
                <w:szCs w:val="20"/>
                <w:color w:val="auto"/>
              </w:rPr>
            </w:pPr>
            <w:r>
              <w:rPr>
                <w:rFonts w:ascii="Times New Roman" w:cs="Times New Roman" w:eastAsia="Times New Roman" w:hAnsi="Times New Roman"/>
                <w:sz w:val="12"/>
                <w:szCs w:val="12"/>
                <w:color w:val="auto"/>
              </w:rPr>
              <w:t>2024</w:t>
            </w:r>
          </w:p>
        </w:tc>
        <w:tc>
          <w:tcPr>
            <w:tcW w:w="80" w:type="dxa"/>
            <w:vAlign w:val="bottom"/>
          </w:tcPr>
          <w:p>
            <w:pPr>
              <w:spacing w:after="0"/>
              <w:rPr>
                <w:sz w:val="13"/>
                <w:szCs w:val="13"/>
                <w:color w:val="auto"/>
              </w:rPr>
            </w:pPr>
          </w:p>
        </w:tc>
        <w:tc>
          <w:tcPr>
            <w:tcW w:w="152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Percent Change</w:t>
            </w:r>
          </w:p>
        </w:tc>
        <w:tc>
          <w:tcPr>
            <w:tcW w:w="14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rPr>
              <w:t>Impact of Currency</w:t>
            </w:r>
          </w:p>
        </w:tc>
        <w:tc>
          <w:tcPr>
            <w:tcW w:w="2400" w:type="dxa"/>
            <w:vAlign w:val="bottom"/>
          </w:tcPr>
          <w:p>
            <w:pPr>
              <w:jc w:val="center"/>
              <w:spacing w:after="0" w:line="159" w:lineRule="exact"/>
              <w:rPr>
                <w:sz w:val="20"/>
                <w:szCs w:val="20"/>
                <w:color w:val="auto"/>
              </w:rPr>
            </w:pPr>
            <w:r>
              <w:rPr>
                <w:rFonts w:ascii="Times New Roman" w:cs="Times New Roman" w:eastAsia="Times New Roman" w:hAnsi="Times New Roman"/>
                <w:sz w:val="12"/>
                <w:szCs w:val="12"/>
                <w:color w:val="auto"/>
                <w:w w:val="97"/>
              </w:rPr>
              <w:t xml:space="preserve">U.S. GAAP) </w:t>
            </w:r>
            <w:r>
              <w:rPr>
                <w:rFonts w:ascii="Times New Roman" w:cs="Times New Roman" w:eastAsia="Times New Roman" w:hAnsi="Times New Roman"/>
                <w:sz w:val="15"/>
                <w:szCs w:val="15"/>
                <w:color w:val="auto"/>
                <w:w w:val="97"/>
                <w:vertAlign w:val="superscript"/>
              </w:rPr>
              <w:t>(3)</w:t>
            </w:r>
          </w:p>
        </w:tc>
      </w:tr>
      <w:tr>
        <w:trPr>
          <w:trHeight w:val="142"/>
        </w:trPr>
        <w:tc>
          <w:tcPr>
            <w:tcW w:w="3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Proprietary Products</w:t>
            </w:r>
          </w:p>
        </w:tc>
        <w:tc>
          <w:tcPr>
            <w:tcW w:w="1720" w:type="dxa"/>
            <w:vAlign w:val="bottom"/>
            <w:tcBorders>
              <w:top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$647.5</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$601.4</w:t>
            </w:r>
          </w:p>
        </w:tc>
        <w:tc>
          <w:tcPr>
            <w:tcW w:w="8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7.7 %</w:t>
            </w:r>
          </w:p>
        </w:tc>
        <w:tc>
          <w:tcPr>
            <w:tcW w:w="8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2.6 %</w:t>
            </w:r>
          </w:p>
        </w:tc>
        <w:tc>
          <w:tcPr>
            <w:tcW w:w="2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5.1 %</w:t>
            </w:r>
          </w:p>
        </w:tc>
      </w:tr>
      <w:tr>
        <w:trPr>
          <w:trHeight w:val="153"/>
        </w:trPr>
        <w:tc>
          <w:tcPr>
            <w:tcW w:w="3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Contract-Manufactured Products</w:t>
            </w:r>
          </w:p>
        </w:tc>
        <w:tc>
          <w:tcPr>
            <w:tcW w:w="17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color w:val="auto"/>
              </w:rPr>
              <w:t>157.1</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145.5</w:t>
            </w:r>
          </w:p>
        </w:tc>
        <w:tc>
          <w:tcPr>
            <w:tcW w:w="8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8.0 %</w:t>
            </w:r>
          </w:p>
        </w:tc>
        <w:tc>
          <w:tcPr>
            <w:tcW w:w="8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3.1 %</w:t>
            </w: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4.9 %</w:t>
            </w:r>
          </w:p>
        </w:tc>
      </w:tr>
      <w:tr>
        <w:trPr>
          <w:trHeight w:val="142"/>
        </w:trPr>
        <w:tc>
          <w:tcPr>
            <w:tcW w:w="3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Total</w:t>
            </w:r>
          </w:p>
        </w:tc>
        <w:tc>
          <w:tcPr>
            <w:tcW w:w="1720" w:type="dxa"/>
            <w:vAlign w:val="bottom"/>
            <w:tcBorders>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$804.6</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$746.9</w:t>
            </w:r>
          </w:p>
        </w:tc>
        <w:tc>
          <w:tcPr>
            <w:tcW w:w="80" w:type="dxa"/>
            <w:vAlign w:val="bottom"/>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7.7 %</w:t>
            </w:r>
          </w:p>
        </w:tc>
        <w:tc>
          <w:tcPr>
            <w:tcW w:w="80" w:type="dxa"/>
            <w:vAlign w:val="bottom"/>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2.7 %</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5.0 %</w:t>
            </w:r>
          </w:p>
        </w:tc>
      </w:tr>
      <w:tr>
        <w:trPr>
          <w:trHeight w:val="511"/>
        </w:trPr>
        <w:tc>
          <w:tcPr>
            <w:tcW w:w="29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2"/>
                <w:szCs w:val="12"/>
                <w:color w:val="auto"/>
              </w:rPr>
              <w:t>Reported Net Sales (U.S. GAAP)</w:t>
            </w: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Organic Net Sales Growth Rate (Decline) (Non-</w:t>
            </w:r>
          </w:p>
        </w:tc>
      </w:tr>
      <w:tr>
        <w:trPr>
          <w:trHeight w:val="160"/>
        </w:trPr>
        <w:tc>
          <w:tcPr>
            <w:tcW w:w="30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1720" w:type="dxa"/>
            <w:vAlign w:val="bottom"/>
          </w:tcPr>
          <w:p>
            <w:pPr>
              <w:jc w:val="right"/>
              <w:ind w:right="840"/>
              <w:spacing w:after="0"/>
              <w:rPr>
                <w:sz w:val="20"/>
                <w:szCs w:val="20"/>
                <w:color w:val="auto"/>
              </w:rPr>
            </w:pPr>
            <w:r>
              <w:rPr>
                <w:rFonts w:ascii="Times New Roman" w:cs="Times New Roman" w:eastAsia="Times New Roman" w:hAnsi="Times New Roman"/>
                <w:sz w:val="12"/>
                <w:szCs w:val="12"/>
                <w:color w:val="auto"/>
              </w:rPr>
              <w:t>2025</w:t>
            </w:r>
          </w:p>
        </w:tc>
        <w:tc>
          <w:tcPr>
            <w:tcW w:w="1140" w:type="dxa"/>
            <w:vAlign w:val="bottom"/>
          </w:tcPr>
          <w:p>
            <w:pPr>
              <w:jc w:val="right"/>
              <w:ind w:right="520"/>
              <w:spacing w:after="0"/>
              <w:rPr>
                <w:sz w:val="20"/>
                <w:szCs w:val="20"/>
                <w:color w:val="auto"/>
              </w:rPr>
            </w:pPr>
            <w:r>
              <w:rPr>
                <w:rFonts w:ascii="Times New Roman" w:cs="Times New Roman" w:eastAsia="Times New Roman" w:hAnsi="Times New Roman"/>
                <w:sz w:val="12"/>
                <w:szCs w:val="12"/>
                <w:color w:val="auto"/>
              </w:rPr>
              <w:t>2024</w:t>
            </w:r>
          </w:p>
        </w:tc>
        <w:tc>
          <w:tcPr>
            <w:tcW w:w="80" w:type="dxa"/>
            <w:vAlign w:val="bottom"/>
          </w:tcPr>
          <w:p>
            <w:pPr>
              <w:spacing w:after="0"/>
              <w:rPr>
                <w:sz w:val="13"/>
                <w:szCs w:val="13"/>
                <w:color w:val="auto"/>
              </w:rPr>
            </w:pPr>
          </w:p>
        </w:tc>
        <w:tc>
          <w:tcPr>
            <w:tcW w:w="152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Percent Change</w:t>
            </w:r>
          </w:p>
        </w:tc>
        <w:tc>
          <w:tcPr>
            <w:tcW w:w="14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rPr>
              <w:t>Impact of Currency</w:t>
            </w:r>
          </w:p>
        </w:tc>
        <w:tc>
          <w:tcPr>
            <w:tcW w:w="2400" w:type="dxa"/>
            <w:vAlign w:val="bottom"/>
          </w:tcPr>
          <w:p>
            <w:pPr>
              <w:jc w:val="center"/>
              <w:spacing w:after="0" w:line="160" w:lineRule="exact"/>
              <w:rPr>
                <w:sz w:val="20"/>
                <w:szCs w:val="20"/>
                <w:color w:val="auto"/>
              </w:rPr>
            </w:pPr>
            <w:r>
              <w:rPr>
                <w:rFonts w:ascii="Times New Roman" w:cs="Times New Roman" w:eastAsia="Times New Roman" w:hAnsi="Times New Roman"/>
                <w:sz w:val="12"/>
                <w:szCs w:val="12"/>
                <w:color w:val="auto"/>
                <w:w w:val="97"/>
              </w:rPr>
              <w:t xml:space="preserve">U.S. GAAP) </w:t>
            </w:r>
            <w:r>
              <w:rPr>
                <w:rFonts w:ascii="Times New Roman" w:cs="Times New Roman" w:eastAsia="Times New Roman" w:hAnsi="Times New Roman"/>
                <w:sz w:val="15"/>
                <w:szCs w:val="15"/>
                <w:color w:val="auto"/>
                <w:w w:val="97"/>
                <w:vertAlign w:val="superscript"/>
              </w:rPr>
              <w:t>(3)</w:t>
            </w:r>
          </w:p>
        </w:tc>
      </w:tr>
      <w:tr>
        <w:trPr>
          <w:trHeight w:val="142"/>
        </w:trPr>
        <w:tc>
          <w:tcPr>
            <w:tcW w:w="2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Proprietary Products</w:t>
            </w:r>
          </w:p>
        </w:tc>
        <w:tc>
          <w:tcPr>
            <w:tcW w:w="20" w:type="dxa"/>
            <w:vAlign w:val="bottom"/>
            <w:tcBorders>
              <w:top w:val="single" w:sz="8" w:color="auto"/>
            </w:tcBorders>
            <w:shd w:val="clear" w:color="auto" w:fill="CCEEFF"/>
          </w:tcPr>
          <w:p>
            <w:pPr>
              <w:spacing w:after="0"/>
              <w:rPr>
                <w:sz w:val="12"/>
                <w:szCs w:val="12"/>
                <w:color w:val="auto"/>
              </w:rPr>
            </w:pPr>
          </w:p>
        </w:tc>
        <w:tc>
          <w:tcPr>
            <w:tcW w:w="1720" w:type="dxa"/>
            <w:vAlign w:val="bottom"/>
            <w:tcBorders>
              <w:top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$1,830.3</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$1,720.6</w:t>
            </w:r>
          </w:p>
        </w:tc>
        <w:tc>
          <w:tcPr>
            <w:tcW w:w="8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6.4 %</w:t>
            </w:r>
          </w:p>
        </w:tc>
        <w:tc>
          <w:tcPr>
            <w:tcW w:w="8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1.1 %</w:t>
            </w:r>
          </w:p>
        </w:tc>
        <w:tc>
          <w:tcPr>
            <w:tcW w:w="2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5.3 %</w:t>
            </w:r>
          </w:p>
        </w:tc>
      </w:tr>
      <w:tr>
        <w:trPr>
          <w:trHeight w:val="153"/>
        </w:trPr>
        <w:tc>
          <w:tcPr>
            <w:tcW w:w="30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Contract-Manufactured Products</w:t>
            </w:r>
          </w:p>
        </w:tc>
        <w:tc>
          <w:tcPr>
            <w:tcW w:w="172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438.8</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423.8</w:t>
            </w:r>
          </w:p>
        </w:tc>
        <w:tc>
          <w:tcPr>
            <w:tcW w:w="8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3.5 %</w:t>
            </w:r>
          </w:p>
        </w:tc>
        <w:tc>
          <w:tcPr>
            <w:tcW w:w="8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1.4 %</w:t>
            </w:r>
          </w:p>
        </w:tc>
        <w:tc>
          <w:tcPr>
            <w:tcW w:w="2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2.1 %</w:t>
            </w:r>
          </w:p>
        </w:tc>
      </w:tr>
      <w:tr>
        <w:trPr>
          <w:trHeight w:val="142"/>
        </w:trPr>
        <w:tc>
          <w:tcPr>
            <w:tcW w:w="29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Total</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720" w:type="dxa"/>
            <w:vAlign w:val="bottom"/>
            <w:tcBorders>
              <w:top w:val="single" w:sz="8" w:color="auto"/>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$2,269.1</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$2,144.4</w:t>
            </w:r>
          </w:p>
        </w:tc>
        <w:tc>
          <w:tcPr>
            <w:tcW w:w="8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5.8 %</w:t>
            </w:r>
          </w:p>
        </w:tc>
        <w:tc>
          <w:tcPr>
            <w:tcW w:w="8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1.1 %</w:t>
            </w:r>
          </w:p>
        </w:tc>
        <w:tc>
          <w:tcPr>
            <w:tcW w:w="2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4.7 %</w:t>
            </w:r>
          </w:p>
        </w:tc>
      </w:tr>
    </w:tbl>
    <w:p>
      <w:pPr>
        <w:spacing w:after="0" w:line="3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 xml:space="preserve">Reconciliation of Proprietary Products Segment Organic Net Sales by Product Category </w:t>
      </w:r>
      <w:r>
        <w:rPr>
          <w:rFonts w:ascii="Times New Roman" w:cs="Times New Roman" w:eastAsia="Times New Roman" w:hAnsi="Times New Roman"/>
          <w:sz w:val="17"/>
          <w:szCs w:val="17"/>
          <w:b w:val="1"/>
          <w:bCs w:val="1"/>
          <w:color w:val="auto"/>
          <w:vertAlign w:val="superscript"/>
        </w:rPr>
        <w:t>(3)</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60" w:type="dxa"/>
            <w:vAlign w:val="bottom"/>
            <w:gridSpan w:val="5"/>
          </w:tcPr>
          <w:p>
            <w:pPr>
              <w:ind w:left="620"/>
              <w:spacing w:after="0"/>
              <w:rPr>
                <w:sz w:val="20"/>
                <w:szCs w:val="20"/>
                <w:color w:val="auto"/>
              </w:rPr>
            </w:pPr>
            <w:r>
              <w:rPr>
                <w:rFonts w:ascii="Times New Roman" w:cs="Times New Roman" w:eastAsia="Times New Roman" w:hAnsi="Times New Roman"/>
                <w:sz w:val="12"/>
                <w:szCs w:val="12"/>
                <w:color w:val="auto"/>
              </w:rPr>
              <w:t>Reported Net Sales (U.S. GAAP)</w:t>
            </w: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Organic Net Sales Growth Rate (Decline) (Non-</w:t>
            </w:r>
          </w:p>
        </w:tc>
      </w:tr>
      <w:tr>
        <w:trPr>
          <w:trHeight w:val="158"/>
        </w:trPr>
        <w:tc>
          <w:tcPr>
            <w:tcW w:w="30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1720" w:type="dxa"/>
            <w:vAlign w:val="bottom"/>
            <w:tcBorders>
              <w:top w:val="single" w:sz="8" w:color="auto"/>
            </w:tcBorders>
          </w:tcPr>
          <w:p>
            <w:pPr>
              <w:jc w:val="right"/>
              <w:ind w:right="820"/>
              <w:spacing w:after="0"/>
              <w:rPr>
                <w:sz w:val="20"/>
                <w:szCs w:val="20"/>
                <w:color w:val="auto"/>
              </w:rPr>
            </w:pPr>
            <w:r>
              <w:rPr>
                <w:rFonts w:ascii="Times New Roman" w:cs="Times New Roman" w:eastAsia="Times New Roman" w:hAnsi="Times New Roman"/>
                <w:sz w:val="12"/>
                <w:szCs w:val="12"/>
                <w:color w:val="auto"/>
              </w:rPr>
              <w:t>2025</w:t>
            </w:r>
          </w:p>
        </w:tc>
        <w:tc>
          <w:tcPr>
            <w:tcW w:w="1140" w:type="dxa"/>
            <w:vAlign w:val="bottom"/>
            <w:tcBorders>
              <w:top w:val="single" w:sz="8" w:color="auto"/>
            </w:tcBorders>
          </w:tcPr>
          <w:p>
            <w:pPr>
              <w:jc w:val="right"/>
              <w:ind w:right="520"/>
              <w:spacing w:after="0"/>
              <w:rPr>
                <w:sz w:val="20"/>
                <w:szCs w:val="20"/>
                <w:color w:val="auto"/>
              </w:rPr>
            </w:pPr>
            <w:r>
              <w:rPr>
                <w:rFonts w:ascii="Times New Roman" w:cs="Times New Roman" w:eastAsia="Times New Roman" w:hAnsi="Times New Roman"/>
                <w:sz w:val="12"/>
                <w:szCs w:val="12"/>
                <w:color w:val="auto"/>
              </w:rPr>
              <w:t>2024</w:t>
            </w:r>
          </w:p>
        </w:tc>
        <w:tc>
          <w:tcPr>
            <w:tcW w:w="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Percent Change</w:t>
            </w:r>
          </w:p>
        </w:tc>
        <w:tc>
          <w:tcPr>
            <w:tcW w:w="14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rPr>
              <w:t>Impact of Currency</w:t>
            </w:r>
          </w:p>
        </w:tc>
        <w:tc>
          <w:tcPr>
            <w:tcW w:w="2400" w:type="dxa"/>
            <w:vAlign w:val="bottom"/>
          </w:tcPr>
          <w:p>
            <w:pPr>
              <w:jc w:val="center"/>
              <w:spacing w:after="0" w:line="159" w:lineRule="exact"/>
              <w:rPr>
                <w:sz w:val="20"/>
                <w:szCs w:val="20"/>
                <w:color w:val="auto"/>
              </w:rPr>
            </w:pPr>
            <w:r>
              <w:rPr>
                <w:rFonts w:ascii="Times New Roman" w:cs="Times New Roman" w:eastAsia="Times New Roman" w:hAnsi="Times New Roman"/>
                <w:sz w:val="12"/>
                <w:szCs w:val="12"/>
                <w:color w:val="auto"/>
                <w:w w:val="97"/>
              </w:rPr>
              <w:t xml:space="preserve">U.S. GAAP) </w:t>
            </w:r>
            <w:r>
              <w:rPr>
                <w:rFonts w:ascii="Times New Roman" w:cs="Times New Roman" w:eastAsia="Times New Roman" w:hAnsi="Times New Roman"/>
                <w:sz w:val="15"/>
                <w:szCs w:val="15"/>
                <w:color w:val="auto"/>
                <w:w w:val="97"/>
                <w:vertAlign w:val="superscript"/>
              </w:rPr>
              <w:t>(3)</w:t>
            </w:r>
          </w:p>
        </w:tc>
      </w:tr>
      <w:tr>
        <w:trPr>
          <w:trHeight w:val="142"/>
        </w:trPr>
        <w:tc>
          <w:tcPr>
            <w:tcW w:w="3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HVP Components</w:t>
            </w:r>
          </w:p>
        </w:tc>
        <w:tc>
          <w:tcPr>
            <w:tcW w:w="1720" w:type="dxa"/>
            <w:vAlign w:val="bottom"/>
            <w:tcBorders>
              <w:top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$390.0</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$335.4</w:t>
            </w: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16.3 %</w:t>
            </w:r>
          </w:p>
        </w:tc>
        <w:tc>
          <w:tcPr>
            <w:tcW w:w="8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3.0 %</w:t>
            </w:r>
          </w:p>
        </w:tc>
        <w:tc>
          <w:tcPr>
            <w:tcW w:w="2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13.3 %</w:t>
            </w:r>
          </w:p>
        </w:tc>
      </w:tr>
      <w:tr>
        <w:trPr>
          <w:trHeight w:val="153"/>
        </w:trPr>
        <w:tc>
          <w:tcPr>
            <w:tcW w:w="30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HVP Delivery Devices</w:t>
            </w:r>
          </w:p>
        </w:tc>
        <w:tc>
          <w:tcPr>
            <w:tcW w:w="172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99.1</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117.5</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w:t>
            </w:r>
          </w:p>
        </w:tc>
        <w:tc>
          <w:tcPr>
            <w:tcW w:w="8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1.0 %</w:t>
            </w:r>
          </w:p>
        </w:tc>
        <w:tc>
          <w:tcPr>
            <w:tcW w:w="2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w:t>
            </w:r>
          </w:p>
        </w:tc>
      </w:tr>
      <w:tr>
        <w:trPr>
          <w:trHeight w:val="153"/>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Standard Products</w:t>
            </w:r>
          </w:p>
        </w:tc>
        <w:tc>
          <w:tcPr>
            <w:tcW w:w="1720" w:type="dxa"/>
            <w:vAlign w:val="bottom"/>
            <w:tcBorders>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158.4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148.5</w:t>
            </w: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6.7 %</w:t>
            </w:r>
          </w:p>
        </w:tc>
        <w:tc>
          <w:tcPr>
            <w:tcW w:w="80" w:type="dxa"/>
            <w:vAlign w:val="bottom"/>
            <w:shd w:val="clear" w:color="auto" w:fill="CCEEFF"/>
          </w:tcPr>
          <w:p>
            <w:pPr>
              <w:spacing w:after="0"/>
              <w:rPr>
                <w:sz w:val="13"/>
                <w:szCs w:val="1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3.1 %</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3.6 %</w:t>
            </w:r>
          </w:p>
        </w:tc>
      </w:tr>
      <w:tr>
        <w:trPr>
          <w:trHeight w:val="142"/>
        </w:trPr>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Total Proprietary Products</w:t>
            </w:r>
          </w:p>
        </w:tc>
        <w:tc>
          <w:tcPr>
            <w:tcW w:w="17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color w:val="auto"/>
              </w:rPr>
              <w:t>$647.5</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$601.4</w:t>
            </w:r>
          </w:p>
        </w:tc>
        <w:tc>
          <w:tcPr>
            <w:tcW w:w="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7.7 %</w:t>
            </w:r>
          </w:p>
        </w:tc>
        <w:tc>
          <w:tcPr>
            <w:tcW w:w="80" w:type="dxa"/>
            <w:vAlign w:val="bottom"/>
          </w:tcPr>
          <w:p>
            <w:pPr>
              <w:spacing w:after="0"/>
              <w:rPr>
                <w:sz w:val="12"/>
                <w:szCs w:val="1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2.6 %</w:t>
            </w: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5.1 %</w:t>
            </w:r>
          </w:p>
        </w:tc>
      </w:tr>
      <w:tr>
        <w:trPr>
          <w:trHeight w:val="511"/>
        </w:trPr>
        <w:tc>
          <w:tcPr>
            <w:tcW w:w="29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2"/>
                <w:szCs w:val="12"/>
                <w:color w:val="auto"/>
              </w:rPr>
              <w:t>Reported Net Sales (U.S. GAAP)</w:t>
            </w:r>
          </w:p>
        </w:tc>
        <w:tc>
          <w:tcPr>
            <w:tcW w:w="100" w:type="dxa"/>
            <w:vAlign w:val="bottom"/>
            <w:gridSpan w:val="3"/>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Organic Net Sales Growth Rate (Decline) (Non-</w:t>
            </w:r>
          </w:p>
        </w:tc>
      </w:tr>
      <w:tr>
        <w:trPr>
          <w:trHeight w:val="160"/>
        </w:trPr>
        <w:tc>
          <w:tcPr>
            <w:tcW w:w="30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1720" w:type="dxa"/>
            <w:vAlign w:val="bottom"/>
          </w:tcPr>
          <w:p>
            <w:pPr>
              <w:jc w:val="right"/>
              <w:ind w:right="840"/>
              <w:spacing w:after="0"/>
              <w:rPr>
                <w:sz w:val="20"/>
                <w:szCs w:val="20"/>
                <w:color w:val="auto"/>
              </w:rPr>
            </w:pPr>
            <w:r>
              <w:rPr>
                <w:rFonts w:ascii="Times New Roman" w:cs="Times New Roman" w:eastAsia="Times New Roman" w:hAnsi="Times New Roman"/>
                <w:sz w:val="12"/>
                <w:szCs w:val="12"/>
                <w:color w:val="auto"/>
              </w:rPr>
              <w:t>2025</w:t>
            </w:r>
          </w:p>
        </w:tc>
        <w:tc>
          <w:tcPr>
            <w:tcW w:w="1140" w:type="dxa"/>
            <w:vAlign w:val="bottom"/>
          </w:tcPr>
          <w:p>
            <w:pPr>
              <w:jc w:val="right"/>
              <w:ind w:right="520"/>
              <w:spacing w:after="0"/>
              <w:rPr>
                <w:sz w:val="20"/>
                <w:szCs w:val="20"/>
                <w:color w:val="auto"/>
              </w:rPr>
            </w:pPr>
            <w:r>
              <w:rPr>
                <w:rFonts w:ascii="Times New Roman" w:cs="Times New Roman" w:eastAsia="Times New Roman" w:hAnsi="Times New Roman"/>
                <w:sz w:val="12"/>
                <w:szCs w:val="12"/>
                <w:color w:val="auto"/>
              </w:rPr>
              <w:t>2024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Percent Change</w:t>
            </w:r>
          </w:p>
        </w:tc>
        <w:tc>
          <w:tcPr>
            <w:tcW w:w="14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rPr>
              <w:t>Impact of Currency</w:t>
            </w:r>
          </w:p>
        </w:tc>
        <w:tc>
          <w:tcPr>
            <w:tcW w:w="2400" w:type="dxa"/>
            <w:vAlign w:val="bottom"/>
          </w:tcPr>
          <w:p>
            <w:pPr>
              <w:jc w:val="center"/>
              <w:spacing w:after="0" w:line="160" w:lineRule="exact"/>
              <w:rPr>
                <w:sz w:val="20"/>
                <w:szCs w:val="20"/>
                <w:color w:val="auto"/>
              </w:rPr>
            </w:pPr>
            <w:r>
              <w:rPr>
                <w:rFonts w:ascii="Times New Roman" w:cs="Times New Roman" w:eastAsia="Times New Roman" w:hAnsi="Times New Roman"/>
                <w:sz w:val="12"/>
                <w:szCs w:val="12"/>
                <w:color w:val="auto"/>
                <w:w w:val="97"/>
              </w:rPr>
              <w:t xml:space="preserve">U.S. GAAP) </w:t>
            </w:r>
            <w:r>
              <w:rPr>
                <w:rFonts w:ascii="Times New Roman" w:cs="Times New Roman" w:eastAsia="Times New Roman" w:hAnsi="Times New Roman"/>
                <w:sz w:val="15"/>
                <w:szCs w:val="15"/>
                <w:color w:val="auto"/>
                <w:w w:val="97"/>
                <w:vertAlign w:val="superscript"/>
              </w:rPr>
              <w:t>(3)</w:t>
            </w:r>
          </w:p>
        </w:tc>
      </w:tr>
      <w:tr>
        <w:trPr>
          <w:trHeight w:val="142"/>
        </w:trPr>
        <w:tc>
          <w:tcPr>
            <w:tcW w:w="2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HVP Components</w:t>
            </w:r>
          </w:p>
        </w:tc>
        <w:tc>
          <w:tcPr>
            <w:tcW w:w="20" w:type="dxa"/>
            <w:vAlign w:val="bottom"/>
            <w:tcBorders>
              <w:top w:val="single" w:sz="8" w:color="auto"/>
            </w:tcBorders>
            <w:shd w:val="clear" w:color="auto" w:fill="CCEEFF"/>
          </w:tcPr>
          <w:p>
            <w:pPr>
              <w:spacing w:after="0"/>
              <w:rPr>
                <w:sz w:val="12"/>
                <w:szCs w:val="12"/>
                <w:color w:val="auto"/>
              </w:rPr>
            </w:pPr>
          </w:p>
        </w:tc>
        <w:tc>
          <w:tcPr>
            <w:tcW w:w="1720" w:type="dxa"/>
            <w:vAlign w:val="bottom"/>
            <w:tcBorders>
              <w:top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$1,061.2</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$980.9</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8.2 %</w:t>
            </w:r>
          </w:p>
        </w:tc>
        <w:tc>
          <w:tcPr>
            <w:tcW w:w="8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1.3 %</w:t>
            </w:r>
          </w:p>
        </w:tc>
        <w:tc>
          <w:tcPr>
            <w:tcW w:w="2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6.9 %</w:t>
            </w:r>
          </w:p>
        </w:tc>
      </w:tr>
      <w:tr>
        <w:trPr>
          <w:trHeight w:val="153"/>
        </w:trPr>
        <w:tc>
          <w:tcPr>
            <w:tcW w:w="30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HVP Delivery Devices</w:t>
            </w:r>
          </w:p>
        </w:tc>
        <w:tc>
          <w:tcPr>
            <w:tcW w:w="172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296.0</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271.6</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9.0 %</w:t>
            </w:r>
          </w:p>
        </w:tc>
        <w:tc>
          <w:tcPr>
            <w:tcW w:w="8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0.6 %</w:t>
            </w:r>
          </w:p>
        </w:tc>
        <w:tc>
          <w:tcPr>
            <w:tcW w:w="2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8.4 %</w:t>
            </w:r>
          </w:p>
        </w:tc>
      </w:tr>
      <w:tr>
        <w:trPr>
          <w:trHeight w:val="153"/>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Standard Products</w:t>
            </w:r>
          </w:p>
        </w:tc>
        <w:tc>
          <w:tcPr>
            <w:tcW w:w="172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473.1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468.1</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1.1 %</w:t>
            </w:r>
          </w:p>
        </w:tc>
        <w:tc>
          <w:tcPr>
            <w:tcW w:w="8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0.9 %</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0.2 %</w:t>
            </w:r>
          </w:p>
        </w:tc>
      </w:tr>
      <w:tr>
        <w:trPr>
          <w:trHeight w:val="142"/>
        </w:trPr>
        <w:tc>
          <w:tcPr>
            <w:tcW w:w="29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Total Proprietary Products</w:t>
            </w:r>
          </w:p>
        </w:tc>
        <w:tc>
          <w:tcPr>
            <w:tcW w:w="20" w:type="dxa"/>
            <w:vAlign w:val="bottom"/>
            <w:tcBorders>
              <w:top w:val="single" w:sz="8" w:color="auto"/>
              <w:bottom w:val="single" w:sz="8" w:color="auto"/>
            </w:tcBorders>
          </w:tcPr>
          <w:p>
            <w:pPr>
              <w:spacing w:after="0"/>
              <w:rPr>
                <w:sz w:val="12"/>
                <w:szCs w:val="12"/>
                <w:color w:val="auto"/>
              </w:rPr>
            </w:pPr>
          </w:p>
        </w:tc>
        <w:tc>
          <w:tcPr>
            <w:tcW w:w="172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color w:val="auto"/>
              </w:rPr>
              <w:t>$1,830.3</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$1,720.6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6.4 %</w:t>
            </w:r>
          </w:p>
        </w:tc>
        <w:tc>
          <w:tcPr>
            <w:tcW w:w="80" w:type="dxa"/>
            <w:vAlign w:val="bottom"/>
          </w:tcPr>
          <w:p>
            <w:pPr>
              <w:spacing w:after="0"/>
              <w:rPr>
                <w:sz w:val="12"/>
                <w:szCs w:val="1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1.1 %</w:t>
            </w:r>
          </w:p>
        </w:tc>
        <w:tc>
          <w:tcPr>
            <w:tcW w:w="2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5.3 %</w:t>
            </w:r>
          </w:p>
        </w:tc>
      </w:tr>
    </w:tbl>
    <w:p>
      <w:pPr>
        <w:sectPr>
          <w:pgSz w:w="11900" w:h="16838" w:orient="portrait"/>
          <w:cols w:equalWidth="0" w:num="1">
            <w:col w:w="11300"/>
          </w:cols>
          <w:pgMar w:left="300" w:top="992" w:right="299" w:bottom="1440" w:gutter="0" w:footer="0" w:header="0"/>
        </w:sectPr>
      </w:pPr>
    </w:p>
    <w:bookmarkStart w:id="13" w:name="page14"/>
    <w:bookmarkEnd w:id="13"/>
    <w:p>
      <w:pPr>
        <w:jc w:val="center"/>
        <w:ind w:right="-7"/>
        <w:spacing w:after="0"/>
        <w:rPr>
          <w:sz w:val="20"/>
          <w:szCs w:val="20"/>
          <w:color w:val="auto"/>
        </w:rPr>
      </w:pPr>
      <w:r>
        <w:rPr>
          <w:rFonts w:ascii="Times New Roman" w:cs="Times New Roman" w:eastAsia="Times New Roman" w:hAnsi="Times New Roman"/>
          <w:sz w:val="13"/>
          <w:szCs w:val="13"/>
          <w:b w:val="1"/>
          <w:bCs w:val="1"/>
          <w:color w:val="auto"/>
        </w:rPr>
        <w:t xml:space="preserve">Reconciliation of Proprietary Products Segment Organic Net Sales by Market Group </w:t>
      </w:r>
      <w:r>
        <w:rPr>
          <w:rFonts w:ascii="Times New Roman" w:cs="Times New Roman" w:eastAsia="Times New Roman" w:hAnsi="Times New Roman"/>
          <w:sz w:val="17"/>
          <w:szCs w:val="17"/>
          <w:b w:val="1"/>
          <w:bCs w:val="1"/>
          <w:color w:val="auto"/>
          <w:vertAlign w:val="superscript"/>
        </w:rPr>
        <w:t>(3)</w:t>
      </w:r>
    </w:p>
    <w:p>
      <w:pPr>
        <w:spacing w:after="0" w:line="320" w:lineRule="exact"/>
        <w:rPr>
          <w:sz w:val="20"/>
          <w:szCs w:val="20"/>
          <w:color w:val="auto"/>
        </w:rPr>
      </w:pPr>
    </w:p>
    <w:tbl>
      <w:tblPr>
        <w:tblLayout w:type="fixed"/>
        <w:tblInd w:w="8" w:type="dxa"/>
        <w:tblCellMar>
          <w:top w:w="0" w:type="dxa"/>
          <w:left w:w="0" w:type="dxa"/>
          <w:bottom w:w="0" w:type="dxa"/>
          <w:right w:w="0" w:type="dxa"/>
        </w:tblCellMar>
      </w:tblPr>
      <w:tr>
        <w:trPr>
          <w:trHeight w:val="158"/>
        </w:trPr>
        <w:tc>
          <w:tcPr>
            <w:tcW w:w="2980" w:type="dxa"/>
            <w:vAlign w:val="bottom"/>
          </w:tcPr>
          <w:p>
            <w:pPr>
              <w:spacing w:after="0"/>
              <w:rPr>
                <w:sz w:val="13"/>
                <w:szCs w:val="13"/>
                <w:color w:val="auto"/>
              </w:rPr>
            </w:pPr>
          </w:p>
        </w:tc>
        <w:tc>
          <w:tcPr>
            <w:tcW w:w="2960" w:type="dxa"/>
            <w:vAlign w:val="bottom"/>
            <w:gridSpan w:val="3"/>
          </w:tcPr>
          <w:p>
            <w:pPr>
              <w:ind w:left="640"/>
              <w:spacing w:after="0"/>
              <w:rPr>
                <w:sz w:val="20"/>
                <w:szCs w:val="20"/>
                <w:color w:val="auto"/>
              </w:rPr>
            </w:pPr>
            <w:r>
              <w:rPr>
                <w:rFonts w:ascii="Times New Roman" w:cs="Times New Roman" w:eastAsia="Times New Roman" w:hAnsi="Times New Roman"/>
                <w:sz w:val="12"/>
                <w:szCs w:val="12"/>
                <w:color w:val="auto"/>
              </w:rPr>
              <w:t>Reported Net Sales (U.S. GAAP)</w:t>
            </w: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Organic Net Sales Growth Rate (Decline) (Non-</w:t>
            </w:r>
          </w:p>
        </w:tc>
      </w:tr>
      <w:tr>
        <w:trPr>
          <w:trHeight w:val="160"/>
        </w:trPr>
        <w:tc>
          <w:tcPr>
            <w:tcW w:w="29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1740" w:type="dxa"/>
            <w:vAlign w:val="bottom"/>
            <w:tcBorders>
              <w:top w:val="single" w:sz="8" w:color="auto"/>
            </w:tcBorders>
          </w:tcPr>
          <w:p>
            <w:pPr>
              <w:jc w:val="right"/>
              <w:ind w:right="840"/>
              <w:spacing w:after="0"/>
              <w:rPr>
                <w:sz w:val="20"/>
                <w:szCs w:val="20"/>
                <w:color w:val="auto"/>
              </w:rPr>
            </w:pPr>
            <w:r>
              <w:rPr>
                <w:rFonts w:ascii="Times New Roman" w:cs="Times New Roman" w:eastAsia="Times New Roman" w:hAnsi="Times New Roman"/>
                <w:sz w:val="12"/>
                <w:szCs w:val="12"/>
                <w:color w:val="auto"/>
              </w:rPr>
              <w:t>2025</w:t>
            </w:r>
          </w:p>
        </w:tc>
        <w:tc>
          <w:tcPr>
            <w:tcW w:w="1140" w:type="dxa"/>
            <w:vAlign w:val="bottom"/>
            <w:tcBorders>
              <w:top w:val="single" w:sz="8" w:color="auto"/>
            </w:tcBorders>
          </w:tcPr>
          <w:p>
            <w:pPr>
              <w:jc w:val="right"/>
              <w:ind w:right="520"/>
              <w:spacing w:after="0"/>
              <w:rPr>
                <w:sz w:val="20"/>
                <w:szCs w:val="20"/>
                <w:color w:val="auto"/>
              </w:rPr>
            </w:pPr>
            <w:r>
              <w:rPr>
                <w:rFonts w:ascii="Times New Roman" w:cs="Times New Roman" w:eastAsia="Times New Roman" w:hAnsi="Times New Roman"/>
                <w:sz w:val="12"/>
                <w:szCs w:val="12"/>
                <w:color w:val="auto"/>
              </w:rPr>
              <w:t>2024</w:t>
            </w:r>
          </w:p>
        </w:tc>
        <w:tc>
          <w:tcPr>
            <w:tcW w:w="80" w:type="dxa"/>
            <w:vAlign w:val="bottom"/>
          </w:tcPr>
          <w:p>
            <w:pPr>
              <w:spacing w:after="0"/>
              <w:rPr>
                <w:sz w:val="13"/>
                <w:szCs w:val="13"/>
                <w:color w:val="auto"/>
              </w:rPr>
            </w:pPr>
          </w:p>
        </w:tc>
        <w:tc>
          <w:tcPr>
            <w:tcW w:w="152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Percent Change</w:t>
            </w:r>
          </w:p>
        </w:tc>
        <w:tc>
          <w:tcPr>
            <w:tcW w:w="14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rPr>
              <w:t>Impact of Currency</w:t>
            </w:r>
          </w:p>
        </w:tc>
        <w:tc>
          <w:tcPr>
            <w:tcW w:w="2400" w:type="dxa"/>
            <w:vAlign w:val="bottom"/>
          </w:tcPr>
          <w:p>
            <w:pPr>
              <w:jc w:val="center"/>
              <w:spacing w:after="0" w:line="160" w:lineRule="exact"/>
              <w:rPr>
                <w:sz w:val="20"/>
                <w:szCs w:val="20"/>
                <w:color w:val="auto"/>
              </w:rPr>
            </w:pPr>
            <w:r>
              <w:rPr>
                <w:rFonts w:ascii="Times New Roman" w:cs="Times New Roman" w:eastAsia="Times New Roman" w:hAnsi="Times New Roman"/>
                <w:sz w:val="12"/>
                <w:szCs w:val="12"/>
                <w:color w:val="auto"/>
                <w:w w:val="97"/>
              </w:rPr>
              <w:t xml:space="preserve">U.S. GAAP) </w:t>
            </w:r>
            <w:r>
              <w:rPr>
                <w:rFonts w:ascii="Times New Roman" w:cs="Times New Roman" w:eastAsia="Times New Roman" w:hAnsi="Times New Roman"/>
                <w:sz w:val="15"/>
                <w:szCs w:val="15"/>
                <w:color w:val="auto"/>
                <w:w w:val="97"/>
                <w:vertAlign w:val="superscript"/>
              </w:rPr>
              <w:t>(3)</w:t>
            </w:r>
          </w:p>
        </w:tc>
      </w:tr>
      <w:tr>
        <w:trPr>
          <w:trHeight w:val="142"/>
        </w:trPr>
        <w:tc>
          <w:tcPr>
            <w:tcW w:w="2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Biologics</w:t>
            </w:r>
          </w:p>
        </w:tc>
        <w:tc>
          <w:tcPr>
            <w:tcW w:w="1740" w:type="dxa"/>
            <w:vAlign w:val="bottom"/>
            <w:tcBorders>
              <w:top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$329.1</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$296.4</w:t>
            </w:r>
          </w:p>
        </w:tc>
        <w:tc>
          <w:tcPr>
            <w:tcW w:w="8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11.0 %</w:t>
            </w:r>
          </w:p>
        </w:tc>
        <w:tc>
          <w:tcPr>
            <w:tcW w:w="8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2.7 %</w:t>
            </w:r>
          </w:p>
        </w:tc>
        <w:tc>
          <w:tcPr>
            <w:tcW w:w="2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8.3 %</w:t>
            </w:r>
          </w:p>
        </w:tc>
      </w:tr>
      <w:tr>
        <w:trPr>
          <w:trHeight w:val="153"/>
        </w:trPr>
        <w:tc>
          <w:tcPr>
            <w:tcW w:w="2980" w:type="dxa"/>
            <w:vAlign w:val="bottom"/>
          </w:tcPr>
          <w:p>
            <w:pPr>
              <w:spacing w:after="0"/>
              <w:rPr>
                <w:sz w:val="20"/>
                <w:szCs w:val="20"/>
                <w:color w:val="auto"/>
              </w:rPr>
            </w:pPr>
            <w:r>
              <w:rPr>
                <w:rFonts w:ascii="Times New Roman" w:cs="Times New Roman" w:eastAsia="Times New Roman" w:hAnsi="Times New Roman"/>
                <w:sz w:val="12"/>
                <w:szCs w:val="12"/>
                <w:color w:val="auto"/>
              </w:rPr>
              <w:t>Pharma</w:t>
            </w:r>
          </w:p>
        </w:tc>
        <w:tc>
          <w:tcPr>
            <w:tcW w:w="174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182.5</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174.3</w:t>
            </w:r>
          </w:p>
        </w:tc>
        <w:tc>
          <w:tcPr>
            <w:tcW w:w="8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4.7 %</w:t>
            </w:r>
          </w:p>
        </w:tc>
        <w:tc>
          <w:tcPr>
            <w:tcW w:w="8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3.3 %</w:t>
            </w:r>
          </w:p>
        </w:tc>
        <w:tc>
          <w:tcPr>
            <w:tcW w:w="2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1.4 %</w:t>
            </w:r>
          </w:p>
        </w:tc>
      </w:tr>
      <w:tr>
        <w:trPr>
          <w:trHeight w:val="153"/>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Generics</w:t>
            </w:r>
          </w:p>
        </w:tc>
        <w:tc>
          <w:tcPr>
            <w:tcW w:w="1740" w:type="dxa"/>
            <w:vAlign w:val="bottom"/>
            <w:tcBorders>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135.9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130.7</w:t>
            </w:r>
          </w:p>
        </w:tc>
        <w:tc>
          <w:tcPr>
            <w:tcW w:w="80" w:type="dxa"/>
            <w:vAlign w:val="bottom"/>
            <w:shd w:val="clear" w:color="auto" w:fill="CCEEFF"/>
          </w:tcPr>
          <w:p>
            <w:pPr>
              <w:spacing w:after="0"/>
              <w:rPr>
                <w:sz w:val="13"/>
                <w:szCs w:val="1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4.0 %</w:t>
            </w:r>
          </w:p>
        </w:tc>
        <w:tc>
          <w:tcPr>
            <w:tcW w:w="80" w:type="dxa"/>
            <w:vAlign w:val="bottom"/>
            <w:shd w:val="clear" w:color="auto" w:fill="CCEEFF"/>
          </w:tcPr>
          <w:p>
            <w:pPr>
              <w:spacing w:after="0"/>
              <w:rPr>
                <w:sz w:val="13"/>
                <w:szCs w:val="1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1.4 %</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2.6 %</w:t>
            </w:r>
          </w:p>
        </w:tc>
      </w:tr>
      <w:tr>
        <w:trPr>
          <w:trHeight w:val="142"/>
        </w:trPr>
        <w:tc>
          <w:tcPr>
            <w:tcW w:w="29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Total Proprietary Products</w:t>
            </w:r>
          </w:p>
        </w:tc>
        <w:tc>
          <w:tcPr>
            <w:tcW w:w="17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color w:val="auto"/>
              </w:rPr>
              <w:t>$647.5</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$601.4</w:t>
            </w:r>
          </w:p>
        </w:tc>
        <w:tc>
          <w:tcPr>
            <w:tcW w:w="80" w:type="dxa"/>
            <w:vAlign w:val="bottom"/>
          </w:tcPr>
          <w:p>
            <w:pPr>
              <w:spacing w:after="0"/>
              <w:rPr>
                <w:sz w:val="12"/>
                <w:szCs w:val="1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7.7 %</w:t>
            </w:r>
          </w:p>
        </w:tc>
        <w:tc>
          <w:tcPr>
            <w:tcW w:w="80" w:type="dxa"/>
            <w:vAlign w:val="bottom"/>
          </w:tcPr>
          <w:p>
            <w:pPr>
              <w:spacing w:after="0"/>
              <w:rPr>
                <w:sz w:val="12"/>
                <w:szCs w:val="1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2.6 %</w:t>
            </w: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5.1 %</w:t>
            </w:r>
          </w:p>
        </w:tc>
      </w:tr>
      <w:tr>
        <w:trPr>
          <w:trHeight w:val="504"/>
        </w:trPr>
        <w:tc>
          <w:tcPr>
            <w:tcW w:w="2980" w:type="dxa"/>
            <w:vAlign w:val="bottom"/>
          </w:tcPr>
          <w:p>
            <w:pPr>
              <w:spacing w:after="0"/>
              <w:rPr>
                <w:sz w:val="24"/>
                <w:szCs w:val="24"/>
                <w:color w:val="auto"/>
              </w:rPr>
            </w:pPr>
          </w:p>
        </w:tc>
        <w:tc>
          <w:tcPr>
            <w:tcW w:w="2960" w:type="dxa"/>
            <w:vAlign w:val="bottom"/>
            <w:gridSpan w:val="3"/>
          </w:tcPr>
          <w:p>
            <w:pPr>
              <w:ind w:left="640"/>
              <w:spacing w:after="0"/>
              <w:rPr>
                <w:sz w:val="20"/>
                <w:szCs w:val="20"/>
                <w:color w:val="auto"/>
              </w:rPr>
            </w:pPr>
            <w:r>
              <w:rPr>
                <w:rFonts w:ascii="Times New Roman" w:cs="Times New Roman" w:eastAsia="Times New Roman" w:hAnsi="Times New Roman"/>
                <w:sz w:val="12"/>
                <w:szCs w:val="12"/>
                <w:color w:val="auto"/>
              </w:rPr>
              <w:t>Reported Net Sales (U.S. GAAP)</w:t>
            </w: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Organic Net Sales Growth Rate (Decline) (Non-</w:t>
            </w:r>
          </w:p>
        </w:tc>
      </w:tr>
      <w:tr>
        <w:trPr>
          <w:trHeight w:val="158"/>
        </w:trPr>
        <w:tc>
          <w:tcPr>
            <w:tcW w:w="29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1740" w:type="dxa"/>
            <w:vAlign w:val="bottom"/>
            <w:tcBorders>
              <w:top w:val="single" w:sz="8" w:color="auto"/>
            </w:tcBorders>
          </w:tcPr>
          <w:p>
            <w:pPr>
              <w:jc w:val="right"/>
              <w:ind w:right="840"/>
              <w:spacing w:after="0"/>
              <w:rPr>
                <w:sz w:val="20"/>
                <w:szCs w:val="20"/>
                <w:color w:val="auto"/>
              </w:rPr>
            </w:pPr>
            <w:r>
              <w:rPr>
                <w:rFonts w:ascii="Times New Roman" w:cs="Times New Roman" w:eastAsia="Times New Roman" w:hAnsi="Times New Roman"/>
                <w:sz w:val="12"/>
                <w:szCs w:val="12"/>
                <w:color w:val="auto"/>
              </w:rPr>
              <w:t>2025</w:t>
            </w:r>
          </w:p>
        </w:tc>
        <w:tc>
          <w:tcPr>
            <w:tcW w:w="1140" w:type="dxa"/>
            <w:vAlign w:val="bottom"/>
            <w:tcBorders>
              <w:top w:val="single" w:sz="8" w:color="auto"/>
            </w:tcBorders>
          </w:tcPr>
          <w:p>
            <w:pPr>
              <w:jc w:val="right"/>
              <w:ind w:right="520"/>
              <w:spacing w:after="0"/>
              <w:rPr>
                <w:sz w:val="20"/>
                <w:szCs w:val="20"/>
                <w:color w:val="auto"/>
              </w:rPr>
            </w:pPr>
            <w:r>
              <w:rPr>
                <w:rFonts w:ascii="Times New Roman" w:cs="Times New Roman" w:eastAsia="Times New Roman" w:hAnsi="Times New Roman"/>
                <w:sz w:val="12"/>
                <w:szCs w:val="12"/>
                <w:color w:val="auto"/>
              </w:rPr>
              <w:t>2024</w:t>
            </w:r>
          </w:p>
        </w:tc>
        <w:tc>
          <w:tcPr>
            <w:tcW w:w="80" w:type="dxa"/>
            <w:vAlign w:val="bottom"/>
          </w:tcPr>
          <w:p>
            <w:pPr>
              <w:spacing w:after="0"/>
              <w:rPr>
                <w:sz w:val="13"/>
                <w:szCs w:val="13"/>
                <w:color w:val="auto"/>
              </w:rPr>
            </w:pPr>
          </w:p>
        </w:tc>
        <w:tc>
          <w:tcPr>
            <w:tcW w:w="152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Percent Change</w:t>
            </w:r>
          </w:p>
        </w:tc>
        <w:tc>
          <w:tcPr>
            <w:tcW w:w="14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rPr>
              <w:t>Impact of Currency</w:t>
            </w:r>
          </w:p>
        </w:tc>
        <w:tc>
          <w:tcPr>
            <w:tcW w:w="2400" w:type="dxa"/>
            <w:vAlign w:val="bottom"/>
          </w:tcPr>
          <w:p>
            <w:pPr>
              <w:jc w:val="center"/>
              <w:spacing w:after="0" w:line="159" w:lineRule="exact"/>
              <w:rPr>
                <w:sz w:val="20"/>
                <w:szCs w:val="20"/>
                <w:color w:val="auto"/>
              </w:rPr>
            </w:pPr>
            <w:r>
              <w:rPr>
                <w:rFonts w:ascii="Times New Roman" w:cs="Times New Roman" w:eastAsia="Times New Roman" w:hAnsi="Times New Roman"/>
                <w:sz w:val="12"/>
                <w:szCs w:val="12"/>
                <w:color w:val="auto"/>
                <w:w w:val="97"/>
              </w:rPr>
              <w:t xml:space="preserve">U.S. GAAP) </w:t>
            </w:r>
            <w:r>
              <w:rPr>
                <w:rFonts w:ascii="Times New Roman" w:cs="Times New Roman" w:eastAsia="Times New Roman" w:hAnsi="Times New Roman"/>
                <w:sz w:val="15"/>
                <w:szCs w:val="15"/>
                <w:color w:val="auto"/>
                <w:w w:val="97"/>
                <w:vertAlign w:val="superscript"/>
              </w:rPr>
              <w:t>(3)</w:t>
            </w:r>
          </w:p>
        </w:tc>
      </w:tr>
      <w:tr>
        <w:trPr>
          <w:trHeight w:val="142"/>
        </w:trPr>
        <w:tc>
          <w:tcPr>
            <w:tcW w:w="2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Biologics</w:t>
            </w:r>
          </w:p>
        </w:tc>
        <w:tc>
          <w:tcPr>
            <w:tcW w:w="1740" w:type="dxa"/>
            <w:vAlign w:val="bottom"/>
            <w:tcBorders>
              <w:top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$886.1</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$811.4</w:t>
            </w:r>
          </w:p>
        </w:tc>
        <w:tc>
          <w:tcPr>
            <w:tcW w:w="8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9.2 %</w:t>
            </w:r>
          </w:p>
        </w:tc>
        <w:tc>
          <w:tcPr>
            <w:tcW w:w="8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1.4 %</w:t>
            </w:r>
          </w:p>
        </w:tc>
        <w:tc>
          <w:tcPr>
            <w:tcW w:w="2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7.8 %</w:t>
            </w:r>
          </w:p>
        </w:tc>
      </w:tr>
      <w:tr>
        <w:trPr>
          <w:trHeight w:val="153"/>
        </w:trPr>
        <w:tc>
          <w:tcPr>
            <w:tcW w:w="2980" w:type="dxa"/>
            <w:vAlign w:val="bottom"/>
          </w:tcPr>
          <w:p>
            <w:pPr>
              <w:spacing w:after="0"/>
              <w:rPr>
                <w:sz w:val="20"/>
                <w:szCs w:val="20"/>
                <w:color w:val="auto"/>
              </w:rPr>
            </w:pPr>
            <w:r>
              <w:rPr>
                <w:rFonts w:ascii="Times New Roman" w:cs="Times New Roman" w:eastAsia="Times New Roman" w:hAnsi="Times New Roman"/>
                <w:sz w:val="12"/>
                <w:szCs w:val="12"/>
                <w:color w:val="auto"/>
              </w:rPr>
              <w:t>Pharma</w:t>
            </w:r>
          </w:p>
        </w:tc>
        <w:tc>
          <w:tcPr>
            <w:tcW w:w="174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561.6</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530.8</w:t>
            </w:r>
          </w:p>
        </w:tc>
        <w:tc>
          <w:tcPr>
            <w:tcW w:w="8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5.8 %</w:t>
            </w:r>
          </w:p>
        </w:tc>
        <w:tc>
          <w:tcPr>
            <w:tcW w:w="8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1.4 %</w:t>
            </w:r>
          </w:p>
        </w:tc>
        <w:tc>
          <w:tcPr>
            <w:tcW w:w="2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4.4 %</w:t>
            </w:r>
          </w:p>
        </w:tc>
      </w:tr>
      <w:tr>
        <w:trPr>
          <w:trHeight w:val="153"/>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Generics</w:t>
            </w:r>
          </w:p>
        </w:tc>
        <w:tc>
          <w:tcPr>
            <w:tcW w:w="1740" w:type="dxa"/>
            <w:vAlign w:val="bottom"/>
            <w:tcBorders>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382.6</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378.4</w:t>
            </w:r>
          </w:p>
        </w:tc>
        <w:tc>
          <w:tcPr>
            <w:tcW w:w="80" w:type="dxa"/>
            <w:vAlign w:val="bottom"/>
            <w:shd w:val="clear" w:color="auto" w:fill="CCEEFF"/>
          </w:tcPr>
          <w:p>
            <w:pPr>
              <w:spacing w:after="0"/>
              <w:rPr>
                <w:sz w:val="13"/>
                <w:szCs w:val="1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1.1 %</w:t>
            </w:r>
          </w:p>
        </w:tc>
        <w:tc>
          <w:tcPr>
            <w:tcW w:w="80" w:type="dxa"/>
            <w:vAlign w:val="bottom"/>
            <w:shd w:val="clear" w:color="auto" w:fill="CCEEFF"/>
          </w:tcPr>
          <w:p>
            <w:pPr>
              <w:spacing w:after="0"/>
              <w:rPr>
                <w:sz w:val="13"/>
                <w:szCs w:val="1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1.1 %</w:t>
            </w:r>
          </w:p>
        </w:tc>
      </w:tr>
      <w:tr>
        <w:trPr>
          <w:trHeight w:val="142"/>
        </w:trPr>
        <w:tc>
          <w:tcPr>
            <w:tcW w:w="29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Total Proprietary Products</w:t>
            </w:r>
          </w:p>
        </w:tc>
        <w:tc>
          <w:tcPr>
            <w:tcW w:w="17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color w:val="auto"/>
              </w:rPr>
              <w:t>$1,830.3</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$1,720.6</w:t>
            </w:r>
          </w:p>
        </w:tc>
        <w:tc>
          <w:tcPr>
            <w:tcW w:w="80" w:type="dxa"/>
            <w:vAlign w:val="bottom"/>
          </w:tcPr>
          <w:p>
            <w:pPr>
              <w:spacing w:after="0"/>
              <w:rPr>
                <w:sz w:val="12"/>
                <w:szCs w:val="1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6.4 %</w:t>
            </w:r>
          </w:p>
        </w:tc>
        <w:tc>
          <w:tcPr>
            <w:tcW w:w="80" w:type="dxa"/>
            <w:vAlign w:val="bottom"/>
          </w:tcPr>
          <w:p>
            <w:pPr>
              <w:spacing w:after="0"/>
              <w:rPr>
                <w:sz w:val="12"/>
                <w:szCs w:val="1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1.1 %</w:t>
            </w: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5.3 %</w:t>
            </w:r>
          </w:p>
        </w:tc>
      </w:tr>
    </w:tbl>
    <w:p>
      <w:pPr>
        <w:spacing w:after="0" w:line="20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b w:val="1"/>
          <w:bCs w:val="1"/>
          <w:color w:val="auto"/>
        </w:rPr>
        <w:t xml:space="preserve">Reconciliation of Reported Net Sales to Organic Net Sales by Geography </w:t>
      </w:r>
      <w:r>
        <w:rPr>
          <w:rFonts w:ascii="Times New Roman" w:cs="Times New Roman" w:eastAsia="Times New Roman" w:hAnsi="Times New Roman"/>
          <w:sz w:val="17"/>
          <w:szCs w:val="17"/>
          <w:b w:val="1"/>
          <w:bCs w:val="1"/>
          <w:color w:val="auto"/>
          <w:vertAlign w:val="superscript"/>
        </w:rPr>
        <w:t>(3)</w:t>
      </w:r>
    </w:p>
    <w:p>
      <w:pPr>
        <w:spacing w:after="0" w:line="320" w:lineRule="exact"/>
        <w:rPr>
          <w:sz w:val="20"/>
          <w:szCs w:val="20"/>
          <w:color w:val="auto"/>
        </w:rPr>
      </w:pPr>
    </w:p>
    <w:tbl>
      <w:tblPr>
        <w:tblLayout w:type="fixed"/>
        <w:tblInd w:w="8" w:type="dxa"/>
        <w:tblCellMar>
          <w:top w:w="0" w:type="dxa"/>
          <w:left w:w="0" w:type="dxa"/>
          <w:bottom w:w="0" w:type="dxa"/>
          <w:right w:w="0" w:type="dxa"/>
        </w:tblCellMar>
      </w:tblPr>
      <w:tr>
        <w:trPr>
          <w:trHeight w:val="158"/>
        </w:trPr>
        <w:tc>
          <w:tcPr>
            <w:tcW w:w="2980" w:type="dxa"/>
            <w:vAlign w:val="bottom"/>
          </w:tcPr>
          <w:p>
            <w:pPr>
              <w:spacing w:after="0"/>
              <w:rPr>
                <w:sz w:val="13"/>
                <w:szCs w:val="13"/>
                <w:color w:val="auto"/>
              </w:rPr>
            </w:pPr>
          </w:p>
        </w:tc>
        <w:tc>
          <w:tcPr>
            <w:tcW w:w="2960" w:type="dxa"/>
            <w:vAlign w:val="bottom"/>
            <w:gridSpan w:val="3"/>
          </w:tcPr>
          <w:p>
            <w:pPr>
              <w:ind w:left="640"/>
              <w:spacing w:after="0"/>
              <w:rPr>
                <w:sz w:val="20"/>
                <w:szCs w:val="20"/>
                <w:color w:val="auto"/>
              </w:rPr>
            </w:pPr>
            <w:r>
              <w:rPr>
                <w:rFonts w:ascii="Times New Roman" w:cs="Times New Roman" w:eastAsia="Times New Roman" w:hAnsi="Times New Roman"/>
                <w:sz w:val="12"/>
                <w:szCs w:val="12"/>
                <w:color w:val="auto"/>
              </w:rPr>
              <w:t>Reported Net Sales (U.S. GAAP)</w:t>
            </w: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Organic Net Sales Growth Rate (Decline) (Non-</w:t>
            </w:r>
          </w:p>
        </w:tc>
      </w:tr>
      <w:tr>
        <w:trPr>
          <w:trHeight w:val="160"/>
        </w:trPr>
        <w:tc>
          <w:tcPr>
            <w:tcW w:w="29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1740" w:type="dxa"/>
            <w:vAlign w:val="bottom"/>
            <w:tcBorders>
              <w:top w:val="single" w:sz="8" w:color="auto"/>
            </w:tcBorders>
          </w:tcPr>
          <w:p>
            <w:pPr>
              <w:jc w:val="right"/>
              <w:ind w:right="840"/>
              <w:spacing w:after="0"/>
              <w:rPr>
                <w:sz w:val="20"/>
                <w:szCs w:val="20"/>
                <w:color w:val="auto"/>
              </w:rPr>
            </w:pPr>
            <w:r>
              <w:rPr>
                <w:rFonts w:ascii="Times New Roman" w:cs="Times New Roman" w:eastAsia="Times New Roman" w:hAnsi="Times New Roman"/>
                <w:sz w:val="12"/>
                <w:szCs w:val="12"/>
                <w:color w:val="auto"/>
              </w:rPr>
              <w:t>2025</w:t>
            </w:r>
          </w:p>
        </w:tc>
        <w:tc>
          <w:tcPr>
            <w:tcW w:w="1140" w:type="dxa"/>
            <w:vAlign w:val="bottom"/>
            <w:tcBorders>
              <w:top w:val="single" w:sz="8" w:color="auto"/>
            </w:tcBorders>
          </w:tcPr>
          <w:p>
            <w:pPr>
              <w:jc w:val="right"/>
              <w:ind w:right="520"/>
              <w:spacing w:after="0"/>
              <w:rPr>
                <w:sz w:val="20"/>
                <w:szCs w:val="20"/>
                <w:color w:val="auto"/>
              </w:rPr>
            </w:pPr>
            <w:r>
              <w:rPr>
                <w:rFonts w:ascii="Times New Roman" w:cs="Times New Roman" w:eastAsia="Times New Roman" w:hAnsi="Times New Roman"/>
                <w:sz w:val="12"/>
                <w:szCs w:val="12"/>
                <w:color w:val="auto"/>
              </w:rPr>
              <w:t>2024</w:t>
            </w:r>
          </w:p>
        </w:tc>
        <w:tc>
          <w:tcPr>
            <w:tcW w:w="80" w:type="dxa"/>
            <w:vAlign w:val="bottom"/>
          </w:tcPr>
          <w:p>
            <w:pPr>
              <w:spacing w:after="0"/>
              <w:rPr>
                <w:sz w:val="13"/>
                <w:szCs w:val="13"/>
                <w:color w:val="auto"/>
              </w:rPr>
            </w:pPr>
          </w:p>
        </w:tc>
        <w:tc>
          <w:tcPr>
            <w:tcW w:w="152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Percent Change</w:t>
            </w:r>
          </w:p>
        </w:tc>
        <w:tc>
          <w:tcPr>
            <w:tcW w:w="14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rPr>
              <w:t>Impact of Currency</w:t>
            </w:r>
          </w:p>
        </w:tc>
        <w:tc>
          <w:tcPr>
            <w:tcW w:w="2400" w:type="dxa"/>
            <w:vAlign w:val="bottom"/>
          </w:tcPr>
          <w:p>
            <w:pPr>
              <w:jc w:val="center"/>
              <w:spacing w:after="0" w:line="160" w:lineRule="exact"/>
              <w:rPr>
                <w:sz w:val="20"/>
                <w:szCs w:val="20"/>
                <w:color w:val="auto"/>
              </w:rPr>
            </w:pPr>
            <w:r>
              <w:rPr>
                <w:rFonts w:ascii="Times New Roman" w:cs="Times New Roman" w:eastAsia="Times New Roman" w:hAnsi="Times New Roman"/>
                <w:sz w:val="12"/>
                <w:szCs w:val="12"/>
                <w:color w:val="auto"/>
                <w:w w:val="97"/>
              </w:rPr>
              <w:t xml:space="preserve">U.S. GAAP) </w:t>
            </w:r>
            <w:r>
              <w:rPr>
                <w:rFonts w:ascii="Times New Roman" w:cs="Times New Roman" w:eastAsia="Times New Roman" w:hAnsi="Times New Roman"/>
                <w:sz w:val="15"/>
                <w:szCs w:val="15"/>
                <w:color w:val="auto"/>
                <w:w w:val="97"/>
                <w:vertAlign w:val="superscript"/>
              </w:rPr>
              <w:t>(3)</w:t>
            </w:r>
          </w:p>
        </w:tc>
      </w:tr>
      <w:tr>
        <w:trPr>
          <w:trHeight w:val="142"/>
        </w:trPr>
        <w:tc>
          <w:tcPr>
            <w:tcW w:w="2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Americas</w:t>
            </w:r>
          </w:p>
        </w:tc>
        <w:tc>
          <w:tcPr>
            <w:tcW w:w="1740" w:type="dxa"/>
            <w:vAlign w:val="bottom"/>
            <w:tcBorders>
              <w:top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$375.3</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$356.5</w:t>
            </w:r>
          </w:p>
        </w:tc>
        <w:tc>
          <w:tcPr>
            <w:tcW w:w="8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5.3 %</w:t>
            </w:r>
          </w:p>
        </w:tc>
        <w:tc>
          <w:tcPr>
            <w:tcW w:w="8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0.1 %</w:t>
            </w:r>
          </w:p>
        </w:tc>
        <w:tc>
          <w:tcPr>
            <w:tcW w:w="2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5.2 %</w:t>
            </w:r>
          </w:p>
        </w:tc>
      </w:tr>
      <w:tr>
        <w:trPr>
          <w:trHeight w:val="153"/>
        </w:trPr>
        <w:tc>
          <w:tcPr>
            <w:tcW w:w="2980" w:type="dxa"/>
            <w:vAlign w:val="bottom"/>
          </w:tcPr>
          <w:p>
            <w:pPr>
              <w:spacing w:after="0"/>
              <w:rPr>
                <w:sz w:val="20"/>
                <w:szCs w:val="20"/>
                <w:color w:val="auto"/>
              </w:rPr>
            </w:pPr>
            <w:r>
              <w:rPr>
                <w:rFonts w:ascii="Times New Roman" w:cs="Times New Roman" w:eastAsia="Times New Roman" w:hAnsi="Times New Roman"/>
                <w:sz w:val="12"/>
                <w:szCs w:val="12"/>
                <w:color w:val="auto"/>
              </w:rPr>
              <w:t>Europe, Middle East, Africa</w:t>
            </w:r>
          </w:p>
        </w:tc>
        <w:tc>
          <w:tcPr>
            <w:tcW w:w="174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361.1</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330.1</w:t>
            </w:r>
          </w:p>
        </w:tc>
        <w:tc>
          <w:tcPr>
            <w:tcW w:w="8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9.4 %</w:t>
            </w:r>
          </w:p>
        </w:tc>
        <w:tc>
          <w:tcPr>
            <w:tcW w:w="8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6.3 %</w:t>
            </w:r>
          </w:p>
        </w:tc>
        <w:tc>
          <w:tcPr>
            <w:tcW w:w="2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3.1 %</w:t>
            </w:r>
          </w:p>
        </w:tc>
      </w:tr>
      <w:tr>
        <w:trPr>
          <w:trHeight w:val="153"/>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Asia Pacific</w:t>
            </w:r>
          </w:p>
        </w:tc>
        <w:tc>
          <w:tcPr>
            <w:tcW w:w="1740" w:type="dxa"/>
            <w:vAlign w:val="bottom"/>
            <w:tcBorders>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68.2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60.3</w:t>
            </w:r>
          </w:p>
        </w:tc>
        <w:tc>
          <w:tcPr>
            <w:tcW w:w="80" w:type="dxa"/>
            <w:vAlign w:val="bottom"/>
            <w:shd w:val="clear" w:color="auto" w:fill="CCEEFF"/>
          </w:tcPr>
          <w:p>
            <w:pPr>
              <w:spacing w:after="0"/>
              <w:rPr>
                <w:sz w:val="13"/>
                <w:szCs w:val="1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13.1 %</w:t>
            </w:r>
          </w:p>
        </w:tc>
        <w:tc>
          <w:tcPr>
            <w:tcW w:w="80" w:type="dxa"/>
            <w:vAlign w:val="bottom"/>
            <w:shd w:val="clear" w:color="auto" w:fill="CCEEFF"/>
          </w:tcPr>
          <w:p>
            <w:pPr>
              <w:spacing w:after="0"/>
              <w:rPr>
                <w:sz w:val="13"/>
                <w:szCs w:val="1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14.9 %</w:t>
            </w:r>
          </w:p>
        </w:tc>
      </w:tr>
      <w:tr>
        <w:trPr>
          <w:trHeight w:val="142"/>
        </w:trPr>
        <w:tc>
          <w:tcPr>
            <w:tcW w:w="29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Total</w:t>
            </w:r>
          </w:p>
        </w:tc>
        <w:tc>
          <w:tcPr>
            <w:tcW w:w="17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color w:val="auto"/>
              </w:rPr>
              <w:t>$804.6</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$746.9</w:t>
            </w:r>
          </w:p>
        </w:tc>
        <w:tc>
          <w:tcPr>
            <w:tcW w:w="80" w:type="dxa"/>
            <w:vAlign w:val="bottom"/>
          </w:tcPr>
          <w:p>
            <w:pPr>
              <w:spacing w:after="0"/>
              <w:rPr>
                <w:sz w:val="12"/>
                <w:szCs w:val="1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7.7 %</w:t>
            </w:r>
          </w:p>
        </w:tc>
        <w:tc>
          <w:tcPr>
            <w:tcW w:w="80" w:type="dxa"/>
            <w:vAlign w:val="bottom"/>
          </w:tcPr>
          <w:p>
            <w:pPr>
              <w:spacing w:after="0"/>
              <w:rPr>
                <w:sz w:val="12"/>
                <w:szCs w:val="1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2.7 %</w:t>
            </w: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5.0 %</w:t>
            </w:r>
          </w:p>
        </w:tc>
      </w:tr>
      <w:tr>
        <w:trPr>
          <w:trHeight w:val="502"/>
        </w:trPr>
        <w:tc>
          <w:tcPr>
            <w:tcW w:w="2980" w:type="dxa"/>
            <w:vAlign w:val="bottom"/>
          </w:tcPr>
          <w:p>
            <w:pPr>
              <w:spacing w:after="0"/>
              <w:rPr>
                <w:sz w:val="24"/>
                <w:szCs w:val="24"/>
                <w:color w:val="auto"/>
              </w:rPr>
            </w:pPr>
          </w:p>
        </w:tc>
        <w:tc>
          <w:tcPr>
            <w:tcW w:w="2960" w:type="dxa"/>
            <w:vAlign w:val="bottom"/>
            <w:gridSpan w:val="3"/>
          </w:tcPr>
          <w:p>
            <w:pPr>
              <w:ind w:left="640"/>
              <w:spacing w:after="0"/>
              <w:rPr>
                <w:sz w:val="20"/>
                <w:szCs w:val="20"/>
                <w:color w:val="auto"/>
              </w:rPr>
            </w:pPr>
            <w:r>
              <w:rPr>
                <w:rFonts w:ascii="Times New Roman" w:cs="Times New Roman" w:eastAsia="Times New Roman" w:hAnsi="Times New Roman"/>
                <w:sz w:val="12"/>
                <w:szCs w:val="12"/>
                <w:color w:val="auto"/>
              </w:rPr>
              <w:t>Reported Net Sales (U.S. GAAP)</w:t>
            </w: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Organic Net Sales Growth Rate (Decline) (Non-</w:t>
            </w:r>
          </w:p>
        </w:tc>
      </w:tr>
      <w:tr>
        <w:trPr>
          <w:trHeight w:val="160"/>
        </w:trPr>
        <w:tc>
          <w:tcPr>
            <w:tcW w:w="29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1740" w:type="dxa"/>
            <w:vAlign w:val="bottom"/>
            <w:tcBorders>
              <w:top w:val="single" w:sz="8" w:color="auto"/>
            </w:tcBorders>
          </w:tcPr>
          <w:p>
            <w:pPr>
              <w:jc w:val="right"/>
              <w:ind w:right="840"/>
              <w:spacing w:after="0"/>
              <w:rPr>
                <w:sz w:val="20"/>
                <w:szCs w:val="20"/>
                <w:color w:val="auto"/>
              </w:rPr>
            </w:pPr>
            <w:r>
              <w:rPr>
                <w:rFonts w:ascii="Times New Roman" w:cs="Times New Roman" w:eastAsia="Times New Roman" w:hAnsi="Times New Roman"/>
                <w:sz w:val="12"/>
                <w:szCs w:val="12"/>
                <w:color w:val="auto"/>
              </w:rPr>
              <w:t>2025</w:t>
            </w:r>
          </w:p>
        </w:tc>
        <w:tc>
          <w:tcPr>
            <w:tcW w:w="1140" w:type="dxa"/>
            <w:vAlign w:val="bottom"/>
            <w:tcBorders>
              <w:top w:val="single" w:sz="8" w:color="auto"/>
            </w:tcBorders>
          </w:tcPr>
          <w:p>
            <w:pPr>
              <w:jc w:val="right"/>
              <w:ind w:right="520"/>
              <w:spacing w:after="0"/>
              <w:rPr>
                <w:sz w:val="20"/>
                <w:szCs w:val="20"/>
                <w:color w:val="auto"/>
              </w:rPr>
            </w:pPr>
            <w:r>
              <w:rPr>
                <w:rFonts w:ascii="Times New Roman" w:cs="Times New Roman" w:eastAsia="Times New Roman" w:hAnsi="Times New Roman"/>
                <w:sz w:val="12"/>
                <w:szCs w:val="12"/>
                <w:color w:val="auto"/>
              </w:rPr>
              <w:t>2024</w:t>
            </w:r>
          </w:p>
        </w:tc>
        <w:tc>
          <w:tcPr>
            <w:tcW w:w="80" w:type="dxa"/>
            <w:vAlign w:val="bottom"/>
          </w:tcPr>
          <w:p>
            <w:pPr>
              <w:spacing w:after="0"/>
              <w:rPr>
                <w:sz w:val="13"/>
                <w:szCs w:val="13"/>
                <w:color w:val="auto"/>
              </w:rPr>
            </w:pPr>
          </w:p>
        </w:tc>
        <w:tc>
          <w:tcPr>
            <w:tcW w:w="152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Percent Change</w:t>
            </w:r>
          </w:p>
        </w:tc>
        <w:tc>
          <w:tcPr>
            <w:tcW w:w="14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rPr>
              <w:t>Impact of Currency</w:t>
            </w:r>
          </w:p>
        </w:tc>
        <w:tc>
          <w:tcPr>
            <w:tcW w:w="2400" w:type="dxa"/>
            <w:vAlign w:val="bottom"/>
          </w:tcPr>
          <w:p>
            <w:pPr>
              <w:jc w:val="center"/>
              <w:spacing w:after="0" w:line="160" w:lineRule="exact"/>
              <w:rPr>
                <w:sz w:val="20"/>
                <w:szCs w:val="20"/>
                <w:color w:val="auto"/>
              </w:rPr>
            </w:pPr>
            <w:r>
              <w:rPr>
                <w:rFonts w:ascii="Times New Roman" w:cs="Times New Roman" w:eastAsia="Times New Roman" w:hAnsi="Times New Roman"/>
                <w:sz w:val="12"/>
                <w:szCs w:val="12"/>
                <w:color w:val="auto"/>
                <w:w w:val="97"/>
              </w:rPr>
              <w:t xml:space="preserve">U.S. GAAP) </w:t>
            </w:r>
            <w:r>
              <w:rPr>
                <w:rFonts w:ascii="Times New Roman" w:cs="Times New Roman" w:eastAsia="Times New Roman" w:hAnsi="Times New Roman"/>
                <w:sz w:val="15"/>
                <w:szCs w:val="15"/>
                <w:color w:val="auto"/>
                <w:w w:val="97"/>
                <w:vertAlign w:val="superscript"/>
              </w:rPr>
              <w:t>(3)</w:t>
            </w:r>
          </w:p>
        </w:tc>
      </w:tr>
      <w:tr>
        <w:trPr>
          <w:trHeight w:val="142"/>
        </w:trPr>
        <w:tc>
          <w:tcPr>
            <w:tcW w:w="2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Americas</w:t>
            </w:r>
          </w:p>
        </w:tc>
        <w:tc>
          <w:tcPr>
            <w:tcW w:w="1740" w:type="dxa"/>
            <w:vAlign w:val="bottom"/>
            <w:tcBorders>
              <w:top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$1,063.9</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$957.1</w:t>
            </w:r>
          </w:p>
        </w:tc>
        <w:tc>
          <w:tcPr>
            <w:tcW w:w="8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11.2 %</w:t>
            </w:r>
          </w:p>
        </w:tc>
        <w:tc>
          <w:tcPr>
            <w:tcW w:w="8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2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11.5 %</w:t>
            </w:r>
          </w:p>
        </w:tc>
      </w:tr>
      <w:tr>
        <w:trPr>
          <w:trHeight w:val="153"/>
        </w:trPr>
        <w:tc>
          <w:tcPr>
            <w:tcW w:w="2980" w:type="dxa"/>
            <w:vAlign w:val="bottom"/>
          </w:tcPr>
          <w:p>
            <w:pPr>
              <w:spacing w:after="0"/>
              <w:rPr>
                <w:sz w:val="20"/>
                <w:szCs w:val="20"/>
                <w:color w:val="auto"/>
              </w:rPr>
            </w:pPr>
            <w:r>
              <w:rPr>
                <w:rFonts w:ascii="Times New Roman" w:cs="Times New Roman" w:eastAsia="Times New Roman" w:hAnsi="Times New Roman"/>
                <w:sz w:val="12"/>
                <w:szCs w:val="12"/>
                <w:color w:val="auto"/>
              </w:rPr>
              <w:t>Europe, Middle East, Africa</w:t>
            </w:r>
          </w:p>
        </w:tc>
        <w:tc>
          <w:tcPr>
            <w:tcW w:w="174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1,017.7</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1,000.5</w:t>
            </w:r>
          </w:p>
        </w:tc>
        <w:tc>
          <w:tcPr>
            <w:tcW w:w="8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1.7 %</w:t>
            </w:r>
          </w:p>
        </w:tc>
        <w:tc>
          <w:tcPr>
            <w:tcW w:w="8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3.1 %</w:t>
            </w:r>
          </w:p>
        </w:tc>
        <w:tc>
          <w:tcPr>
            <w:tcW w:w="2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r>
      <w:tr>
        <w:trPr>
          <w:trHeight w:val="153"/>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Asia Pacific</w:t>
            </w:r>
          </w:p>
        </w:tc>
        <w:tc>
          <w:tcPr>
            <w:tcW w:w="1740" w:type="dxa"/>
            <w:vAlign w:val="bottom"/>
            <w:tcBorders>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187.5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186.8</w:t>
            </w:r>
          </w:p>
        </w:tc>
        <w:tc>
          <w:tcPr>
            <w:tcW w:w="80" w:type="dxa"/>
            <w:vAlign w:val="bottom"/>
            <w:shd w:val="clear" w:color="auto" w:fill="CCEEFF"/>
          </w:tcPr>
          <w:p>
            <w:pPr>
              <w:spacing w:after="0"/>
              <w:rPr>
                <w:sz w:val="13"/>
                <w:szCs w:val="1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0.4 %</w:t>
            </w:r>
          </w:p>
        </w:tc>
        <w:tc>
          <w:tcPr>
            <w:tcW w:w="80" w:type="dxa"/>
            <w:vAlign w:val="bottom"/>
            <w:shd w:val="clear" w:color="auto" w:fill="CCEEFF"/>
          </w:tcPr>
          <w:p>
            <w:pPr>
              <w:spacing w:after="0"/>
              <w:rPr>
                <w:sz w:val="13"/>
                <w:szCs w:val="1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2.1 %</w:t>
            </w:r>
          </w:p>
        </w:tc>
      </w:tr>
      <w:tr>
        <w:trPr>
          <w:trHeight w:val="142"/>
        </w:trPr>
        <w:tc>
          <w:tcPr>
            <w:tcW w:w="29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Total</w:t>
            </w:r>
          </w:p>
        </w:tc>
        <w:tc>
          <w:tcPr>
            <w:tcW w:w="17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color w:val="auto"/>
              </w:rPr>
              <w:t>$2,269.1</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$2,144.4</w:t>
            </w:r>
          </w:p>
        </w:tc>
        <w:tc>
          <w:tcPr>
            <w:tcW w:w="80" w:type="dxa"/>
            <w:vAlign w:val="bottom"/>
          </w:tcPr>
          <w:p>
            <w:pPr>
              <w:spacing w:after="0"/>
              <w:rPr>
                <w:sz w:val="12"/>
                <w:szCs w:val="1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5.8 %</w:t>
            </w:r>
          </w:p>
        </w:tc>
        <w:tc>
          <w:tcPr>
            <w:tcW w:w="80" w:type="dxa"/>
            <w:vAlign w:val="bottom"/>
          </w:tcPr>
          <w:p>
            <w:pPr>
              <w:spacing w:after="0"/>
              <w:rPr>
                <w:sz w:val="12"/>
                <w:szCs w:val="1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1.1 %</w:t>
            </w: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4.7 %</w:t>
            </w:r>
          </w:p>
        </w:tc>
      </w:tr>
    </w:tbl>
    <w:p>
      <w:pPr>
        <w:spacing w:after="0" w:line="372" w:lineRule="exact"/>
        <w:rPr>
          <w:sz w:val="20"/>
          <w:szCs w:val="20"/>
          <w:color w:val="auto"/>
        </w:rPr>
      </w:pPr>
    </w:p>
    <w:p>
      <w:pPr>
        <w:ind w:left="268" w:right="60" w:hanging="268"/>
        <w:spacing w:after="0" w:line="281" w:lineRule="auto"/>
        <w:tabs>
          <w:tab w:leader="none" w:pos="260" w:val="left"/>
        </w:tabs>
        <w:numPr>
          <w:ilvl w:val="0"/>
          <w:numId w:val="12"/>
        </w:numPr>
        <w:rPr>
          <w:rFonts w:ascii="Times New Roman" w:cs="Times New Roman" w:eastAsia="Times New Roman" w:hAnsi="Times New Roman"/>
          <w:sz w:val="13"/>
          <w:szCs w:val="13"/>
          <w:color w:val="252525"/>
        </w:rPr>
      </w:pPr>
      <w:r>
        <w:rPr>
          <w:rFonts w:ascii="Times New Roman" w:cs="Times New Roman" w:eastAsia="Times New Roman" w:hAnsi="Times New Roman"/>
          <w:sz w:val="13"/>
          <w:szCs w:val="13"/>
          <w:color w:val="auto"/>
        </w:rPr>
        <w:t>Organic net sales exclude the impact from acquisitions and/or divestitures and translate the current-period reported sales of subsidiaries whose functional currency is other than the U.S. Dollar at the applicable foreign currency exchange rates in effect during the comparable prior-year period.</w:t>
      </w:r>
    </w:p>
    <w:p>
      <w:pPr>
        <w:sectPr>
          <w:pgSz w:w="11900" w:h="16838" w:orient="portrait"/>
          <w:cols w:equalWidth="0" w:num="1">
            <w:col w:w="11308"/>
          </w:cols>
          <w:pgMar w:left="292" w:top="1383" w:right="299" w:bottom="1440" w:gutter="0" w:footer="0" w:header="0"/>
        </w:sectPr>
      </w:pPr>
    </w:p>
    <w:bookmarkStart w:id="14" w:name="page15"/>
    <w:bookmarkEnd w:id="14"/>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WEST PHARMACEUTICAL SERVICES</w:t>
      </w:r>
    </w:p>
    <w:p>
      <w:pPr>
        <w:spacing w:after="0" w:line="2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RECONCILIATION OF NON-U.S. GAAP FINANCIAL MEASURES (UNAUDITED)</w:t>
      </w:r>
    </w:p>
    <w:p>
      <w:pPr>
        <w:spacing w:after="0" w:line="1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i w:val="1"/>
          <w:iCs w:val="1"/>
          <w:color w:val="auto"/>
        </w:rPr>
        <w:t>Please refer to “Non-U.S. GAAP Financial Measures” for more information</w:t>
      </w:r>
    </w:p>
    <w:p>
      <w:pPr>
        <w:spacing w:after="0" w:line="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i w:val="1"/>
          <w:iCs w:val="1"/>
          <w:color w:val="auto"/>
        </w:rPr>
        <w:t>(in millions, except per share data)</w:t>
      </w:r>
    </w:p>
    <w:p>
      <w:pPr>
        <w:spacing w:after="0" w:line="16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Reconciliation of Reported-Diluted EPS Guidance to Adjusted-Diluted EPS Guidance</w:t>
      </w:r>
    </w:p>
    <w:p>
      <w:pPr>
        <w:spacing w:after="0" w:line="199"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5540" w:type="dxa"/>
            <w:vAlign w:val="bottom"/>
          </w:tcPr>
          <w:p>
            <w:pPr>
              <w:spacing w:after="0"/>
              <w:rPr>
                <w:sz w:val="13"/>
                <w:szCs w:val="13"/>
                <w:color w:val="auto"/>
              </w:rPr>
            </w:pPr>
          </w:p>
        </w:tc>
        <w:tc>
          <w:tcPr>
            <w:tcW w:w="166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2024 Actual</w:t>
            </w: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8"/>
              </w:rPr>
              <w:t>2025 Guidance</w:t>
            </w:r>
          </w:p>
        </w:tc>
        <w:tc>
          <w:tcPr>
            <w:tcW w:w="21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 Change</w:t>
            </w:r>
          </w:p>
        </w:tc>
      </w:tr>
      <w:tr>
        <w:trPr>
          <w:trHeight w:val="142"/>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Reported-diluted EPS (U.S. GAAP)</w:t>
            </w: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$6.69</w:t>
            </w:r>
          </w:p>
        </w:tc>
        <w:tc>
          <w:tcPr>
            <w:tcW w:w="80" w:type="dxa"/>
            <w:vAlign w:val="bottom"/>
            <w:tcBorders>
              <w:top w:val="single" w:sz="8" w:color="CCEEFF"/>
            </w:tcBorders>
            <w:shd w:val="clear" w:color="auto" w:fill="CCEEFF"/>
          </w:tcPr>
          <w:p>
            <w:pPr>
              <w:spacing w:after="0"/>
              <w:rPr>
                <w:sz w:val="12"/>
                <w:szCs w:val="12"/>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$6.75 to $6.80</w:t>
            </w:r>
          </w:p>
        </w:tc>
        <w:tc>
          <w:tcPr>
            <w:tcW w:w="80" w:type="dxa"/>
            <w:vAlign w:val="bottom"/>
            <w:tcBorders>
              <w:top w:val="single" w:sz="8" w:color="CCEEFF"/>
            </w:tcBorders>
            <w:shd w:val="clear" w:color="auto" w:fill="CCEEFF"/>
          </w:tcPr>
          <w:p>
            <w:pPr>
              <w:spacing w:after="0"/>
              <w:rPr>
                <w:sz w:val="12"/>
                <w:szCs w:val="12"/>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0.9% to 1.6%</w:t>
            </w:r>
          </w:p>
        </w:tc>
      </w:tr>
      <w:tr>
        <w:trPr>
          <w:trHeight w:val="153"/>
        </w:trPr>
        <w:tc>
          <w:tcPr>
            <w:tcW w:w="55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Restructuring and other charges</w:t>
            </w:r>
          </w:p>
        </w:tc>
        <w:tc>
          <w:tcPr>
            <w:tcW w:w="15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0.02</w:t>
            </w:r>
          </w:p>
        </w:tc>
        <w:tc>
          <w:tcPr>
            <w:tcW w:w="80" w:type="dxa"/>
            <w:vAlign w:val="bottom"/>
          </w:tcPr>
          <w:p>
            <w:pPr>
              <w:spacing w:after="0"/>
              <w:rPr>
                <w:sz w:val="13"/>
                <w:szCs w:val="1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0.28</w:t>
            </w:r>
          </w:p>
        </w:tc>
        <w:tc>
          <w:tcPr>
            <w:tcW w:w="80" w:type="dxa"/>
            <w:vAlign w:val="bottom"/>
          </w:tcPr>
          <w:p>
            <w:pPr>
              <w:spacing w:after="0"/>
              <w:rPr>
                <w:sz w:val="13"/>
                <w:szCs w:val="13"/>
                <w:color w:val="auto"/>
              </w:rPr>
            </w:pPr>
          </w:p>
        </w:tc>
        <w:tc>
          <w:tcPr>
            <w:tcW w:w="2140" w:type="dxa"/>
            <w:vAlign w:val="bottom"/>
          </w:tcPr>
          <w:p>
            <w:pPr>
              <w:spacing w:after="0"/>
              <w:rPr>
                <w:sz w:val="13"/>
                <w:szCs w:val="13"/>
                <w:color w:val="auto"/>
              </w:rPr>
            </w:pPr>
          </w:p>
        </w:tc>
      </w:tr>
      <w:tr>
        <w:trPr>
          <w:trHeight w:val="15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Amortization of acquisition-related intangible assets</w:t>
            </w:r>
          </w:p>
        </w:tc>
        <w:tc>
          <w:tcPr>
            <w:tcW w:w="1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0.04</w:t>
            </w:r>
          </w:p>
        </w:tc>
        <w:tc>
          <w:tcPr>
            <w:tcW w:w="80" w:type="dxa"/>
            <w:vAlign w:val="bottom"/>
            <w:shd w:val="clear" w:color="auto" w:fill="CCEEFF"/>
          </w:tcPr>
          <w:p>
            <w:pPr>
              <w:spacing w:after="0"/>
              <w:rPr>
                <w:sz w:val="13"/>
                <w:szCs w:val="13"/>
                <w:color w:val="auto"/>
              </w:rPr>
            </w:pPr>
          </w:p>
        </w:tc>
        <w:tc>
          <w:tcPr>
            <w:tcW w:w="18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0.03</w:t>
            </w:r>
          </w:p>
        </w:tc>
        <w:tc>
          <w:tcPr>
            <w:tcW w:w="80" w:type="dxa"/>
            <w:vAlign w:val="bottom"/>
            <w:shd w:val="clear" w:color="auto" w:fill="CCEEFF"/>
          </w:tcPr>
          <w:p>
            <w:pPr>
              <w:spacing w:after="0"/>
              <w:rPr>
                <w:sz w:val="13"/>
                <w:szCs w:val="13"/>
                <w:color w:val="auto"/>
              </w:rPr>
            </w:pPr>
          </w:p>
        </w:tc>
        <w:tc>
          <w:tcPr>
            <w:tcW w:w="2140" w:type="dxa"/>
            <w:vAlign w:val="bottom"/>
            <w:tcBorders>
              <w:bottom w:val="single" w:sz="8" w:color="auto"/>
            </w:tcBorders>
            <w:shd w:val="clear" w:color="auto" w:fill="CCEEFF"/>
          </w:tcPr>
          <w:p>
            <w:pPr>
              <w:spacing w:after="0"/>
              <w:rPr>
                <w:sz w:val="13"/>
                <w:szCs w:val="13"/>
                <w:color w:val="auto"/>
              </w:rPr>
            </w:pPr>
          </w:p>
        </w:tc>
      </w:tr>
      <w:tr>
        <w:trPr>
          <w:trHeight w:val="187"/>
        </w:trPr>
        <w:tc>
          <w:tcPr>
            <w:tcW w:w="55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 xml:space="preserve">Adjusted-diluted EPS (Non-U.S. GAAP) </w:t>
            </w:r>
            <w:r>
              <w:rPr>
                <w:rFonts w:ascii="Times New Roman" w:cs="Times New Roman" w:eastAsia="Times New Roman" w:hAnsi="Times New Roman"/>
                <w:sz w:val="15"/>
                <w:szCs w:val="15"/>
                <w:color w:val="auto"/>
                <w:vertAlign w:val="superscript"/>
              </w:rPr>
              <w:t>(4)</w:t>
            </w:r>
          </w:p>
        </w:tc>
        <w:tc>
          <w:tcPr>
            <w:tcW w:w="15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$6.75</w:t>
            </w:r>
          </w:p>
        </w:tc>
        <w:tc>
          <w:tcPr>
            <w:tcW w:w="8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$7.06 to $7.11</w:t>
            </w:r>
          </w:p>
        </w:tc>
        <w:tc>
          <w:tcPr>
            <w:tcW w:w="80" w:type="dxa"/>
            <w:vAlign w:val="bottom"/>
          </w:tcPr>
          <w:p>
            <w:pPr>
              <w:spacing w:after="0"/>
              <w:rPr>
                <w:sz w:val="16"/>
                <w:szCs w:val="16"/>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4.6% to 5.3%</w:t>
            </w:r>
          </w:p>
        </w:tc>
      </w:tr>
    </w:tbl>
    <w:p>
      <w:pPr>
        <w:spacing w:after="0" w:line="327" w:lineRule="exact"/>
        <w:rPr>
          <w:sz w:val="20"/>
          <w:szCs w:val="20"/>
          <w:color w:val="auto"/>
        </w:rPr>
      </w:pPr>
    </w:p>
    <w:p>
      <w:pPr>
        <w:ind w:left="268" w:right="60" w:hanging="268"/>
        <w:spacing w:after="0" w:line="262" w:lineRule="auto"/>
        <w:tabs>
          <w:tab w:leader="none" w:pos="260" w:val="left"/>
        </w:tabs>
        <w:numPr>
          <w:ilvl w:val="0"/>
          <w:numId w:val="13"/>
        </w:numPr>
        <w:rPr>
          <w:rFonts w:ascii="Times New Roman" w:cs="Times New Roman" w:eastAsia="Times New Roman" w:hAnsi="Times New Roman"/>
          <w:sz w:val="13"/>
          <w:szCs w:val="13"/>
          <w:color w:val="252525"/>
        </w:rPr>
      </w:pPr>
      <w:r>
        <w:rPr>
          <w:rFonts w:ascii="Times New Roman" w:cs="Times New Roman" w:eastAsia="Times New Roman" w:hAnsi="Times New Roman"/>
          <w:sz w:val="13"/>
          <w:szCs w:val="13"/>
          <w:color w:val="auto"/>
        </w:rPr>
        <w:t>We have opted not to forecast 2025 tax benefits from stock-based compensation in the fourth quarter, as they are out of the Company’s control. Instead, we recognize the benefits as they occur. In the first nine months of 2025, tax benefits associated with stock-based compensation increased adjusted-diluted EPS by $0.05. Any future tax benefits associated with stock-based compensation that we receive in 2025 would provide a positive adjustment to our full-year EPS guidance. In full-year 2024, tax benefits associated with stock-based compensation increased adjusted-diluted EPS by $0.26. See “Full-year 2025 Financial Guidance” and “Non-U.S. GAAP Financial Measures” in today’s press release for additional information regarding adjusted-diluted EPS.</w:t>
      </w:r>
    </w:p>
    <w:p>
      <w:pPr>
        <w:sectPr>
          <w:pgSz w:w="11900" w:h="16838" w:orient="portrait"/>
          <w:cols w:equalWidth="0" w:num="1">
            <w:col w:w="11288"/>
          </w:cols>
          <w:pgMar w:left="292" w:top="992" w:right="319" w:bottom="1440" w:gutter="0" w:footer="0" w:header="0"/>
        </w:sectPr>
      </w:pPr>
    </w:p>
    <w:bookmarkStart w:id="15" w:name="page16"/>
    <w:bookmarkEnd w:id="15"/>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WEST PHARMACEUTICAL SERVICES</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 (UNAUDITED)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0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(in millions, except per share data)</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September 30,</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Pr>
          <w:p>
            <w:pPr>
              <w:jc w:val="right"/>
              <w:ind w:right="423"/>
              <w:spacing w:after="0"/>
              <w:rPr>
                <w:sz w:val="20"/>
                <w:szCs w:val="20"/>
                <w:color w:val="auto"/>
              </w:rPr>
            </w:pPr>
            <w:r>
              <w:rPr>
                <w:rFonts w:ascii="Times New Roman" w:cs="Times New Roman" w:eastAsia="Times New Roman" w:hAnsi="Times New Roman"/>
                <w:sz w:val="11"/>
                <w:szCs w:val="11"/>
                <w:color w:val="auto"/>
              </w:rPr>
              <w:t>December 31,</w:t>
            </w:r>
          </w:p>
        </w:tc>
        <w:tc>
          <w:tcPr>
            <w:tcW w:w="0" w:type="dxa"/>
            <w:vAlign w:val="bottom"/>
          </w:tcPr>
          <w:p>
            <w:pPr>
              <w:spacing w:after="0"/>
              <w:rPr>
                <w:sz w:val="1"/>
                <w:szCs w:val="1"/>
                <w:color w:val="auto"/>
              </w:rPr>
            </w:pPr>
          </w:p>
        </w:tc>
      </w:tr>
      <w:tr>
        <w:trPr>
          <w:trHeight w:val="149"/>
        </w:trPr>
        <w:tc>
          <w:tcPr>
            <w:tcW w:w="8060" w:type="dxa"/>
            <w:vAlign w:val="bottom"/>
            <w:tcBorders>
              <w:bottom w:val="single" w:sz="8" w:color="CCEEFF"/>
            </w:tcBorders>
            <w:vMerge w:val="continue"/>
          </w:tcPr>
          <w:p>
            <w:pPr>
              <w:spacing w:after="0"/>
              <w:rPr>
                <w:sz w:val="12"/>
                <w:szCs w:val="12"/>
                <w:color w:val="auto"/>
              </w:rPr>
            </w:pPr>
          </w:p>
        </w:tc>
        <w:tc>
          <w:tcPr>
            <w:tcW w:w="114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color w:val="auto"/>
              </w:rPr>
              <w:t>2025</w:t>
            </w: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1"/>
                <w:szCs w:val="11"/>
                <w:color w:val="auto"/>
              </w:rPr>
              <w:t>2024</w:t>
            </w:r>
          </w:p>
        </w:tc>
        <w:tc>
          <w:tcPr>
            <w:tcW w:w="0" w:type="dxa"/>
            <w:vAlign w:val="bottom"/>
          </w:tcPr>
          <w:p>
            <w:pPr>
              <w:spacing w:after="0"/>
              <w:rPr>
                <w:sz w:val="1"/>
                <w:szCs w:val="1"/>
                <w:color w:val="auto"/>
              </w:rPr>
            </w:pPr>
          </w:p>
        </w:tc>
      </w:tr>
      <w:tr>
        <w:trPr>
          <w:trHeight w:val="143"/>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ASSETS</w:t>
            </w:r>
          </w:p>
        </w:tc>
        <w:tc>
          <w:tcPr>
            <w:tcW w:w="1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8060" w:type="dxa"/>
            <w:vAlign w:val="bottom"/>
          </w:tcPr>
          <w:p>
            <w:pPr>
              <w:spacing w:after="0"/>
              <w:rPr>
                <w:sz w:val="20"/>
                <w:szCs w:val="20"/>
                <w:color w:val="auto"/>
              </w:rPr>
            </w:pPr>
            <w:r>
              <w:rPr>
                <w:rFonts w:ascii="Times New Roman" w:cs="Times New Roman" w:eastAsia="Times New Roman" w:hAnsi="Times New Roman"/>
                <w:sz w:val="11"/>
                <w:szCs w:val="11"/>
                <w:color w:val="auto"/>
              </w:rPr>
              <w:t>Current assets:</w:t>
            </w: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140" w:type="dxa"/>
            <w:vAlign w:val="bottom"/>
            <w:shd w:val="clear" w:color="auto" w:fill="CCEEFF"/>
          </w:tcPr>
          <w:p>
            <w:pPr>
              <w:jc w:val="right"/>
              <w:ind w:right="1003"/>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628.5</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484.6</w:t>
            </w:r>
          </w:p>
        </w:tc>
        <w:tc>
          <w:tcPr>
            <w:tcW w:w="0" w:type="dxa"/>
            <w:vAlign w:val="bottom"/>
          </w:tcPr>
          <w:p>
            <w:pPr>
              <w:spacing w:after="0"/>
              <w:rPr>
                <w:sz w:val="1"/>
                <w:szCs w:val="1"/>
                <w:color w:val="auto"/>
              </w:rPr>
            </w:pPr>
          </w:p>
        </w:tc>
      </w:tr>
      <w:tr>
        <w:trPr>
          <w:trHeight w:val="150"/>
        </w:trPr>
        <w:tc>
          <w:tcPr>
            <w:tcW w:w="80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Accounts receivable, net</w:t>
            </w:r>
          </w:p>
        </w:tc>
        <w:tc>
          <w:tcPr>
            <w:tcW w:w="1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625.0</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552.5</w:t>
            </w:r>
          </w:p>
        </w:tc>
        <w:tc>
          <w:tcPr>
            <w:tcW w:w="0" w:type="dxa"/>
            <w:vAlign w:val="bottom"/>
          </w:tcPr>
          <w:p>
            <w:pPr>
              <w:spacing w:after="0"/>
              <w:rPr>
                <w:sz w:val="1"/>
                <w:szCs w:val="1"/>
                <w:color w:val="auto"/>
              </w:rPr>
            </w:pPr>
          </w:p>
        </w:tc>
      </w:tr>
      <w:tr>
        <w:trPr>
          <w:trHeight w:val="156"/>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Inventories</w:t>
            </w:r>
          </w:p>
        </w:tc>
        <w:tc>
          <w:tcPr>
            <w:tcW w:w="11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438.0</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377.0</w:t>
            </w:r>
          </w:p>
        </w:tc>
        <w:tc>
          <w:tcPr>
            <w:tcW w:w="0" w:type="dxa"/>
            <w:vAlign w:val="bottom"/>
          </w:tcPr>
          <w:p>
            <w:pPr>
              <w:spacing w:after="0"/>
              <w:rPr>
                <w:sz w:val="1"/>
                <w:szCs w:val="1"/>
                <w:color w:val="auto"/>
              </w:rPr>
            </w:pPr>
          </w:p>
        </w:tc>
      </w:tr>
      <w:tr>
        <w:trPr>
          <w:trHeight w:val="150"/>
        </w:trPr>
        <w:tc>
          <w:tcPr>
            <w:tcW w:w="8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Other current assets</w:t>
            </w:r>
          </w:p>
        </w:tc>
        <w:tc>
          <w:tcPr>
            <w:tcW w:w="1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131.8</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124.0</w:t>
            </w:r>
          </w:p>
        </w:tc>
        <w:tc>
          <w:tcPr>
            <w:tcW w:w="0" w:type="dxa"/>
            <w:vAlign w:val="bottom"/>
          </w:tcPr>
          <w:p>
            <w:pPr>
              <w:spacing w:after="0"/>
              <w:rPr>
                <w:sz w:val="1"/>
                <w:szCs w:val="1"/>
                <w:color w:val="auto"/>
              </w:rPr>
            </w:pPr>
          </w:p>
        </w:tc>
      </w:tr>
      <w:tr>
        <w:trPr>
          <w:trHeight w:val="145"/>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current assets</w:t>
            </w:r>
          </w:p>
        </w:tc>
        <w:tc>
          <w:tcPr>
            <w:tcW w:w="114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1,823.3</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1,538.1</w:t>
            </w:r>
          </w:p>
        </w:tc>
        <w:tc>
          <w:tcPr>
            <w:tcW w:w="0" w:type="dxa"/>
            <w:vAlign w:val="bottom"/>
          </w:tcPr>
          <w:p>
            <w:pPr>
              <w:spacing w:after="0"/>
              <w:rPr>
                <w:sz w:val="1"/>
                <w:szCs w:val="1"/>
                <w:color w:val="auto"/>
              </w:rPr>
            </w:pPr>
          </w:p>
        </w:tc>
      </w:tr>
      <w:tr>
        <w:trPr>
          <w:trHeight w:val="139"/>
        </w:trPr>
        <w:tc>
          <w:tcPr>
            <w:tcW w:w="8060" w:type="dxa"/>
            <w:vAlign w:val="bottom"/>
          </w:tcPr>
          <w:p>
            <w:pPr>
              <w:spacing w:after="0"/>
              <w:rPr>
                <w:sz w:val="20"/>
                <w:szCs w:val="20"/>
                <w:color w:val="auto"/>
              </w:rPr>
            </w:pPr>
            <w:r>
              <w:rPr>
                <w:rFonts w:ascii="Times New Roman" w:cs="Times New Roman" w:eastAsia="Times New Roman" w:hAnsi="Times New Roman"/>
                <w:sz w:val="11"/>
                <w:szCs w:val="11"/>
                <w:color w:val="auto"/>
              </w:rPr>
              <w:t>Property, plant and equipment</w:t>
            </w:r>
          </w:p>
        </w:tc>
        <w:tc>
          <w:tcPr>
            <w:tcW w:w="11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3,232.9</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2,985.8</w:t>
            </w:r>
          </w:p>
        </w:tc>
        <w:tc>
          <w:tcPr>
            <w:tcW w:w="0" w:type="dxa"/>
            <w:vAlign w:val="bottom"/>
          </w:tcPr>
          <w:p>
            <w:pPr>
              <w:spacing w:after="0"/>
              <w:rPr>
                <w:sz w:val="1"/>
                <w:szCs w:val="1"/>
                <w:color w:val="auto"/>
              </w:rPr>
            </w:pPr>
          </w:p>
        </w:tc>
      </w:tr>
      <w:tr>
        <w:trPr>
          <w:trHeight w:val="15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Less: accumulated depreciation and amortization</w:t>
            </w:r>
          </w:p>
        </w:tc>
        <w:tc>
          <w:tcPr>
            <w:tcW w:w="114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1,492.3</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1,404.2</w:t>
            </w:r>
          </w:p>
        </w:tc>
        <w:tc>
          <w:tcPr>
            <w:tcW w:w="0" w:type="dxa"/>
            <w:vAlign w:val="bottom"/>
          </w:tcPr>
          <w:p>
            <w:pPr>
              <w:spacing w:after="0"/>
              <w:rPr>
                <w:sz w:val="1"/>
                <w:szCs w:val="1"/>
                <w:color w:val="auto"/>
              </w:rPr>
            </w:pPr>
          </w:p>
        </w:tc>
      </w:tr>
      <w:tr>
        <w:trPr>
          <w:trHeight w:val="139"/>
        </w:trPr>
        <w:tc>
          <w:tcPr>
            <w:tcW w:w="8060" w:type="dxa"/>
            <w:vAlign w:val="bottom"/>
          </w:tcPr>
          <w:p>
            <w:pPr>
              <w:spacing w:after="0"/>
              <w:rPr>
                <w:sz w:val="20"/>
                <w:szCs w:val="20"/>
                <w:color w:val="auto"/>
              </w:rPr>
            </w:pPr>
            <w:r>
              <w:rPr>
                <w:rFonts w:ascii="Times New Roman" w:cs="Times New Roman" w:eastAsia="Times New Roman" w:hAnsi="Times New Roman"/>
                <w:sz w:val="11"/>
                <w:szCs w:val="11"/>
                <w:color w:val="auto"/>
              </w:rPr>
              <w:t>Property, plant and equipment, net</w:t>
            </w:r>
          </w:p>
        </w:tc>
        <w:tc>
          <w:tcPr>
            <w:tcW w:w="11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1,740.6</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1,581.6</w:t>
            </w:r>
          </w:p>
        </w:tc>
        <w:tc>
          <w:tcPr>
            <w:tcW w:w="0" w:type="dxa"/>
            <w:vAlign w:val="bottom"/>
          </w:tcPr>
          <w:p>
            <w:pPr>
              <w:spacing w:after="0"/>
              <w:rPr>
                <w:sz w:val="1"/>
                <w:szCs w:val="1"/>
                <w:color w:val="auto"/>
              </w:rPr>
            </w:pPr>
          </w:p>
        </w:tc>
      </w:tr>
      <w:tr>
        <w:trPr>
          <w:trHeight w:val="15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Operating lease right-of-use assets</w:t>
            </w:r>
          </w:p>
        </w:tc>
        <w:tc>
          <w:tcPr>
            <w:tcW w:w="11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97.8</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104.5</w:t>
            </w:r>
          </w:p>
        </w:tc>
        <w:tc>
          <w:tcPr>
            <w:tcW w:w="0" w:type="dxa"/>
            <w:vAlign w:val="bottom"/>
          </w:tcPr>
          <w:p>
            <w:pPr>
              <w:spacing w:after="0"/>
              <w:rPr>
                <w:sz w:val="1"/>
                <w:szCs w:val="1"/>
                <w:color w:val="auto"/>
              </w:rPr>
            </w:pPr>
          </w:p>
        </w:tc>
      </w:tr>
      <w:tr>
        <w:trPr>
          <w:trHeight w:val="150"/>
        </w:trPr>
        <w:tc>
          <w:tcPr>
            <w:tcW w:w="8060" w:type="dxa"/>
            <w:vAlign w:val="bottom"/>
          </w:tcPr>
          <w:p>
            <w:pPr>
              <w:spacing w:after="0"/>
              <w:rPr>
                <w:sz w:val="20"/>
                <w:szCs w:val="20"/>
                <w:color w:val="auto"/>
              </w:rPr>
            </w:pPr>
            <w:r>
              <w:rPr>
                <w:rFonts w:ascii="Times New Roman" w:cs="Times New Roman" w:eastAsia="Times New Roman" w:hAnsi="Times New Roman"/>
                <w:sz w:val="11"/>
                <w:szCs w:val="11"/>
                <w:color w:val="auto"/>
              </w:rPr>
              <w:t>Investments in affiliated companies</w:t>
            </w:r>
          </w:p>
        </w:tc>
        <w:tc>
          <w:tcPr>
            <w:tcW w:w="1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220.9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202.1</w:t>
            </w:r>
          </w:p>
        </w:tc>
        <w:tc>
          <w:tcPr>
            <w:tcW w:w="0" w:type="dxa"/>
            <w:vAlign w:val="bottom"/>
          </w:tcPr>
          <w:p>
            <w:pPr>
              <w:spacing w:after="0"/>
              <w:rPr>
                <w:sz w:val="1"/>
                <w:szCs w:val="1"/>
                <w:color w:val="auto"/>
              </w:rPr>
            </w:pPr>
          </w:p>
        </w:tc>
      </w:tr>
      <w:tr>
        <w:trPr>
          <w:trHeight w:val="15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Goodwill</w:t>
            </w:r>
          </w:p>
        </w:tc>
        <w:tc>
          <w:tcPr>
            <w:tcW w:w="11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110.6</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106.0</w:t>
            </w:r>
          </w:p>
        </w:tc>
        <w:tc>
          <w:tcPr>
            <w:tcW w:w="0" w:type="dxa"/>
            <w:vAlign w:val="bottom"/>
          </w:tcPr>
          <w:p>
            <w:pPr>
              <w:spacing w:after="0"/>
              <w:rPr>
                <w:sz w:val="1"/>
                <w:szCs w:val="1"/>
                <w:color w:val="auto"/>
              </w:rPr>
            </w:pPr>
          </w:p>
        </w:tc>
      </w:tr>
      <w:tr>
        <w:trPr>
          <w:trHeight w:val="150"/>
        </w:trPr>
        <w:tc>
          <w:tcPr>
            <w:tcW w:w="8060" w:type="dxa"/>
            <w:vAlign w:val="bottom"/>
          </w:tcPr>
          <w:p>
            <w:pPr>
              <w:spacing w:after="0"/>
              <w:rPr>
                <w:sz w:val="20"/>
                <w:szCs w:val="20"/>
                <w:color w:val="auto"/>
              </w:rPr>
            </w:pPr>
            <w:r>
              <w:rPr>
                <w:rFonts w:ascii="Times New Roman" w:cs="Times New Roman" w:eastAsia="Times New Roman" w:hAnsi="Times New Roman"/>
                <w:sz w:val="11"/>
                <w:szCs w:val="11"/>
                <w:color w:val="auto"/>
              </w:rPr>
              <w:t>Intangible assets, net</w:t>
            </w:r>
          </w:p>
        </w:tc>
        <w:tc>
          <w:tcPr>
            <w:tcW w:w="1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10.8</w:t>
            </w:r>
          </w:p>
        </w:tc>
        <w:tc>
          <w:tcPr>
            <w:tcW w:w="0" w:type="dxa"/>
            <w:vAlign w:val="bottom"/>
          </w:tcPr>
          <w:p>
            <w:pPr>
              <w:spacing w:after="0"/>
              <w:rPr>
                <w:sz w:val="1"/>
                <w:szCs w:val="1"/>
                <w:color w:val="auto"/>
              </w:rPr>
            </w:pPr>
          </w:p>
        </w:tc>
      </w:tr>
      <w:tr>
        <w:trPr>
          <w:trHeight w:val="15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Deferred income taxes</w:t>
            </w:r>
          </w:p>
        </w:tc>
        <w:tc>
          <w:tcPr>
            <w:tcW w:w="11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27.9</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26.0</w:t>
            </w:r>
          </w:p>
        </w:tc>
        <w:tc>
          <w:tcPr>
            <w:tcW w:w="0" w:type="dxa"/>
            <w:vAlign w:val="bottom"/>
          </w:tcPr>
          <w:p>
            <w:pPr>
              <w:spacing w:after="0"/>
              <w:rPr>
                <w:sz w:val="1"/>
                <w:szCs w:val="1"/>
                <w:color w:val="auto"/>
              </w:rPr>
            </w:pPr>
          </w:p>
        </w:tc>
      </w:tr>
      <w:tr>
        <w:trPr>
          <w:trHeight w:val="150"/>
        </w:trPr>
        <w:tc>
          <w:tcPr>
            <w:tcW w:w="8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Other noncurrent assets</w:t>
            </w:r>
          </w:p>
        </w:tc>
        <w:tc>
          <w:tcPr>
            <w:tcW w:w="1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75.8</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74.3</w:t>
            </w:r>
          </w:p>
        </w:tc>
        <w:tc>
          <w:tcPr>
            <w:tcW w:w="0" w:type="dxa"/>
            <w:vAlign w:val="bottom"/>
          </w:tcPr>
          <w:p>
            <w:pPr>
              <w:spacing w:after="0"/>
              <w:rPr>
                <w:sz w:val="1"/>
                <w:szCs w:val="1"/>
                <w:color w:val="auto"/>
              </w:rPr>
            </w:pPr>
          </w:p>
        </w:tc>
      </w:tr>
      <w:tr>
        <w:trPr>
          <w:trHeight w:val="161"/>
        </w:trPr>
        <w:tc>
          <w:tcPr>
            <w:tcW w:w="8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Assets</w:t>
            </w:r>
          </w:p>
        </w:tc>
        <w:tc>
          <w:tcPr>
            <w:tcW w:w="1140" w:type="dxa"/>
            <w:vAlign w:val="bottom"/>
            <w:tcBorders>
              <w:bottom w:val="single" w:sz="8" w:color="auto"/>
            </w:tcBorders>
            <w:shd w:val="clear" w:color="auto" w:fill="CCEEFF"/>
          </w:tcPr>
          <w:p>
            <w:pPr>
              <w:jc w:val="right"/>
              <w:ind w:right="1003"/>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4,105.8</w:t>
            </w:r>
          </w:p>
        </w:tc>
        <w:tc>
          <w:tcPr>
            <w:tcW w:w="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3,643.4</w:t>
            </w:r>
          </w:p>
        </w:tc>
        <w:tc>
          <w:tcPr>
            <w:tcW w:w="0" w:type="dxa"/>
            <w:vAlign w:val="bottom"/>
          </w:tcPr>
          <w:p>
            <w:pPr>
              <w:spacing w:after="0"/>
              <w:rPr>
                <w:sz w:val="1"/>
                <w:szCs w:val="1"/>
                <w:color w:val="auto"/>
              </w:rPr>
            </w:pPr>
          </w:p>
        </w:tc>
      </w:tr>
      <w:tr>
        <w:trPr>
          <w:trHeight w:val="45"/>
        </w:trPr>
        <w:tc>
          <w:tcPr>
            <w:tcW w:w="80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LIABILITIES AND EQUITY</w:t>
            </w:r>
          </w:p>
        </w:tc>
        <w:tc>
          <w:tcPr>
            <w:tcW w:w="1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060" w:type="dxa"/>
            <w:vAlign w:val="bottom"/>
          </w:tcPr>
          <w:p>
            <w:pPr>
              <w:spacing w:after="0"/>
              <w:rPr>
                <w:sz w:val="20"/>
                <w:szCs w:val="20"/>
                <w:color w:val="auto"/>
              </w:rPr>
            </w:pPr>
            <w:r>
              <w:rPr>
                <w:rFonts w:ascii="Times New Roman" w:cs="Times New Roman" w:eastAsia="Times New Roman" w:hAnsi="Times New Roman"/>
                <w:sz w:val="11"/>
                <w:szCs w:val="11"/>
                <w:color w:val="auto"/>
              </w:rPr>
              <w:t>Current liabilities:</w:t>
            </w: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Accounts payable</w:t>
            </w:r>
          </w:p>
        </w:tc>
        <w:tc>
          <w:tcPr>
            <w:tcW w:w="1140" w:type="dxa"/>
            <w:vAlign w:val="bottom"/>
            <w:shd w:val="clear" w:color="auto" w:fill="CCEEFF"/>
          </w:tcPr>
          <w:p>
            <w:pPr>
              <w:jc w:val="right"/>
              <w:ind w:right="1003"/>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255.8</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239.3</w:t>
            </w:r>
          </w:p>
        </w:tc>
        <w:tc>
          <w:tcPr>
            <w:tcW w:w="0" w:type="dxa"/>
            <w:vAlign w:val="bottom"/>
          </w:tcPr>
          <w:p>
            <w:pPr>
              <w:spacing w:after="0"/>
              <w:rPr>
                <w:sz w:val="1"/>
                <w:szCs w:val="1"/>
                <w:color w:val="auto"/>
              </w:rPr>
            </w:pPr>
          </w:p>
        </w:tc>
      </w:tr>
      <w:tr>
        <w:trPr>
          <w:trHeight w:val="150"/>
        </w:trPr>
        <w:tc>
          <w:tcPr>
            <w:tcW w:w="80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Accrued salaries, wages and benefits</w:t>
            </w:r>
          </w:p>
        </w:tc>
        <w:tc>
          <w:tcPr>
            <w:tcW w:w="1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111.8</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73.5</w:t>
            </w:r>
          </w:p>
        </w:tc>
        <w:tc>
          <w:tcPr>
            <w:tcW w:w="0" w:type="dxa"/>
            <w:vAlign w:val="bottom"/>
          </w:tcPr>
          <w:p>
            <w:pPr>
              <w:spacing w:after="0"/>
              <w:rPr>
                <w:sz w:val="1"/>
                <w:szCs w:val="1"/>
                <w:color w:val="auto"/>
              </w:rPr>
            </w:pPr>
          </w:p>
        </w:tc>
      </w:tr>
      <w:tr>
        <w:trPr>
          <w:trHeight w:val="156"/>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Income taxes payable</w:t>
            </w:r>
          </w:p>
        </w:tc>
        <w:tc>
          <w:tcPr>
            <w:tcW w:w="11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33.3</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31.5</w:t>
            </w:r>
          </w:p>
        </w:tc>
        <w:tc>
          <w:tcPr>
            <w:tcW w:w="0" w:type="dxa"/>
            <w:vAlign w:val="bottom"/>
          </w:tcPr>
          <w:p>
            <w:pPr>
              <w:spacing w:after="0"/>
              <w:rPr>
                <w:sz w:val="1"/>
                <w:szCs w:val="1"/>
                <w:color w:val="auto"/>
              </w:rPr>
            </w:pPr>
          </w:p>
        </w:tc>
      </w:tr>
      <w:tr>
        <w:trPr>
          <w:trHeight w:val="150"/>
        </w:trPr>
        <w:tc>
          <w:tcPr>
            <w:tcW w:w="80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Operating lease liabilities</w:t>
            </w:r>
          </w:p>
        </w:tc>
        <w:tc>
          <w:tcPr>
            <w:tcW w:w="1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17.9</w:t>
            </w:r>
          </w:p>
        </w:tc>
        <w:tc>
          <w:tcPr>
            <w:tcW w:w="0" w:type="dxa"/>
            <w:vAlign w:val="bottom"/>
          </w:tcPr>
          <w:p>
            <w:pPr>
              <w:spacing w:after="0"/>
              <w:rPr>
                <w:sz w:val="1"/>
                <w:szCs w:val="1"/>
                <w:color w:val="auto"/>
              </w:rPr>
            </w:pPr>
          </w:p>
        </w:tc>
      </w:tr>
      <w:tr>
        <w:trPr>
          <w:trHeight w:val="156"/>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Other current liabilities</w:t>
            </w:r>
          </w:p>
        </w:tc>
        <w:tc>
          <w:tcPr>
            <w:tcW w:w="114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213.1</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188.2</w:t>
            </w:r>
          </w:p>
        </w:tc>
        <w:tc>
          <w:tcPr>
            <w:tcW w:w="0" w:type="dxa"/>
            <w:vAlign w:val="bottom"/>
          </w:tcPr>
          <w:p>
            <w:pPr>
              <w:spacing w:after="0"/>
              <w:rPr>
                <w:sz w:val="1"/>
                <w:szCs w:val="1"/>
                <w:color w:val="auto"/>
              </w:rPr>
            </w:pPr>
          </w:p>
        </w:tc>
      </w:tr>
      <w:tr>
        <w:trPr>
          <w:trHeight w:val="139"/>
        </w:trPr>
        <w:tc>
          <w:tcPr>
            <w:tcW w:w="8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Total current liabilities</w:t>
            </w:r>
          </w:p>
        </w:tc>
        <w:tc>
          <w:tcPr>
            <w:tcW w:w="1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635.4</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550.4</w:t>
            </w:r>
          </w:p>
        </w:tc>
        <w:tc>
          <w:tcPr>
            <w:tcW w:w="0" w:type="dxa"/>
            <w:vAlign w:val="bottom"/>
          </w:tcPr>
          <w:p>
            <w:pPr>
              <w:spacing w:after="0"/>
              <w:rPr>
                <w:sz w:val="1"/>
                <w:szCs w:val="1"/>
                <w:color w:val="auto"/>
              </w:rPr>
            </w:pPr>
          </w:p>
        </w:tc>
      </w:tr>
      <w:tr>
        <w:trPr>
          <w:trHeight w:val="145"/>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Long-term debt</w:t>
            </w:r>
          </w:p>
        </w:tc>
        <w:tc>
          <w:tcPr>
            <w:tcW w:w="1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202.7</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202.6</w:t>
            </w:r>
          </w:p>
        </w:tc>
        <w:tc>
          <w:tcPr>
            <w:tcW w:w="0" w:type="dxa"/>
            <w:vAlign w:val="bottom"/>
          </w:tcPr>
          <w:p>
            <w:pPr>
              <w:spacing w:after="0"/>
              <w:rPr>
                <w:sz w:val="1"/>
                <w:szCs w:val="1"/>
                <w:color w:val="auto"/>
              </w:rPr>
            </w:pPr>
          </w:p>
        </w:tc>
      </w:tr>
      <w:tr>
        <w:trPr>
          <w:trHeight w:val="150"/>
        </w:trPr>
        <w:tc>
          <w:tcPr>
            <w:tcW w:w="8060" w:type="dxa"/>
            <w:vAlign w:val="bottom"/>
          </w:tcPr>
          <w:p>
            <w:pPr>
              <w:spacing w:after="0"/>
              <w:rPr>
                <w:sz w:val="20"/>
                <w:szCs w:val="20"/>
                <w:color w:val="auto"/>
              </w:rPr>
            </w:pPr>
            <w:r>
              <w:rPr>
                <w:rFonts w:ascii="Times New Roman" w:cs="Times New Roman" w:eastAsia="Times New Roman" w:hAnsi="Times New Roman"/>
                <w:sz w:val="11"/>
                <w:szCs w:val="11"/>
                <w:color w:val="auto"/>
              </w:rPr>
              <w:t>Deferred income taxes</w:t>
            </w:r>
          </w:p>
        </w:tc>
        <w:tc>
          <w:tcPr>
            <w:tcW w:w="1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22.8</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20.5</w:t>
            </w:r>
          </w:p>
        </w:tc>
        <w:tc>
          <w:tcPr>
            <w:tcW w:w="0" w:type="dxa"/>
            <w:vAlign w:val="bottom"/>
          </w:tcPr>
          <w:p>
            <w:pPr>
              <w:spacing w:after="0"/>
              <w:rPr>
                <w:sz w:val="1"/>
                <w:szCs w:val="1"/>
                <w:color w:val="auto"/>
              </w:rPr>
            </w:pPr>
          </w:p>
        </w:tc>
      </w:tr>
      <w:tr>
        <w:trPr>
          <w:trHeight w:val="15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Pension and other postretirement benefits</w:t>
            </w:r>
          </w:p>
        </w:tc>
        <w:tc>
          <w:tcPr>
            <w:tcW w:w="11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31.1</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28.2</w:t>
            </w:r>
          </w:p>
        </w:tc>
        <w:tc>
          <w:tcPr>
            <w:tcW w:w="0" w:type="dxa"/>
            <w:vAlign w:val="bottom"/>
          </w:tcPr>
          <w:p>
            <w:pPr>
              <w:spacing w:after="0"/>
              <w:rPr>
                <w:sz w:val="1"/>
                <w:szCs w:val="1"/>
                <w:color w:val="auto"/>
              </w:rPr>
            </w:pPr>
          </w:p>
        </w:tc>
      </w:tr>
      <w:tr>
        <w:trPr>
          <w:trHeight w:val="150"/>
        </w:trPr>
        <w:tc>
          <w:tcPr>
            <w:tcW w:w="8060" w:type="dxa"/>
            <w:vAlign w:val="bottom"/>
          </w:tcPr>
          <w:p>
            <w:pPr>
              <w:spacing w:after="0"/>
              <w:rPr>
                <w:sz w:val="20"/>
                <w:szCs w:val="20"/>
                <w:color w:val="auto"/>
              </w:rPr>
            </w:pPr>
            <w:r>
              <w:rPr>
                <w:rFonts w:ascii="Times New Roman" w:cs="Times New Roman" w:eastAsia="Times New Roman" w:hAnsi="Times New Roman"/>
                <w:sz w:val="11"/>
                <w:szCs w:val="11"/>
                <w:color w:val="auto"/>
              </w:rPr>
              <w:t>Operating lease liabilities</w:t>
            </w:r>
          </w:p>
        </w:tc>
        <w:tc>
          <w:tcPr>
            <w:tcW w:w="1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81.8</w:t>
            </w:r>
          </w:p>
        </w:tc>
        <w:tc>
          <w:tcPr>
            <w:tcW w:w="0" w:type="dxa"/>
            <w:vAlign w:val="bottom"/>
          </w:tcPr>
          <w:p>
            <w:pPr>
              <w:spacing w:after="0"/>
              <w:rPr>
                <w:sz w:val="1"/>
                <w:szCs w:val="1"/>
                <w:color w:val="auto"/>
              </w:rPr>
            </w:pPr>
          </w:p>
        </w:tc>
      </w:tr>
      <w:tr>
        <w:trPr>
          <w:trHeight w:val="15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Deferred compensation benefits</w:t>
            </w:r>
          </w:p>
        </w:tc>
        <w:tc>
          <w:tcPr>
            <w:tcW w:w="11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15.4</w:t>
            </w:r>
          </w:p>
        </w:tc>
        <w:tc>
          <w:tcPr>
            <w:tcW w:w="0" w:type="dxa"/>
            <w:vAlign w:val="bottom"/>
          </w:tcPr>
          <w:p>
            <w:pPr>
              <w:spacing w:after="0"/>
              <w:rPr>
                <w:sz w:val="1"/>
                <w:szCs w:val="1"/>
                <w:color w:val="auto"/>
              </w:rPr>
            </w:pPr>
          </w:p>
        </w:tc>
      </w:tr>
      <w:tr>
        <w:trPr>
          <w:trHeight w:val="150"/>
        </w:trPr>
        <w:tc>
          <w:tcPr>
            <w:tcW w:w="8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Other long-term liabilities</w:t>
            </w:r>
          </w:p>
        </w:tc>
        <w:tc>
          <w:tcPr>
            <w:tcW w:w="1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75.3</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62.2</w:t>
            </w:r>
          </w:p>
        </w:tc>
        <w:tc>
          <w:tcPr>
            <w:tcW w:w="0" w:type="dxa"/>
            <w:vAlign w:val="bottom"/>
          </w:tcPr>
          <w:p>
            <w:pPr>
              <w:spacing w:after="0"/>
              <w:rPr>
                <w:sz w:val="1"/>
                <w:szCs w:val="1"/>
                <w:color w:val="auto"/>
              </w:rPr>
            </w:pPr>
          </w:p>
        </w:tc>
      </w:tr>
      <w:tr>
        <w:trPr>
          <w:trHeight w:val="142"/>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Liabilities</w:t>
            </w:r>
          </w:p>
        </w:tc>
        <w:tc>
          <w:tcPr>
            <w:tcW w:w="114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1,054.3</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961.1</w:t>
            </w:r>
          </w:p>
        </w:tc>
        <w:tc>
          <w:tcPr>
            <w:tcW w:w="0" w:type="dxa"/>
            <w:vAlign w:val="bottom"/>
          </w:tcPr>
          <w:p>
            <w:pPr>
              <w:spacing w:after="0"/>
              <w:rPr>
                <w:sz w:val="1"/>
                <w:szCs w:val="1"/>
                <w:color w:val="auto"/>
              </w:rPr>
            </w:pPr>
          </w:p>
        </w:tc>
      </w:tr>
      <w:tr>
        <w:trPr>
          <w:trHeight w:val="55"/>
        </w:trPr>
        <w:tc>
          <w:tcPr>
            <w:tcW w:w="80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Equity:</w:t>
            </w:r>
          </w:p>
        </w:tc>
        <w:tc>
          <w:tcPr>
            <w:tcW w:w="1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0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Preferred stock, 3.0 million shares authorized; 0 shares issued and outstanding</w:t>
            </w:r>
          </w:p>
        </w:tc>
        <w:tc>
          <w:tcPr>
            <w:tcW w:w="114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Common stock, par value $0.25 per share; 200.0 million shares authorized; shares issued: September 30, 2025 - 75.3 million, December 31, 2024 - 75.3 million; shares</w:t>
            </w:r>
          </w:p>
        </w:tc>
        <w:tc>
          <w:tcPr>
            <w:tcW w:w="1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outstanding: September 30, 2025 - 71.9 million, December 31, 2024 - 72.3 million</w:t>
            </w:r>
          </w:p>
        </w:tc>
        <w:tc>
          <w:tcPr>
            <w:tcW w:w="11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18.8</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18.8</w:t>
            </w:r>
          </w:p>
        </w:tc>
        <w:tc>
          <w:tcPr>
            <w:tcW w:w="0" w:type="dxa"/>
            <w:vAlign w:val="bottom"/>
          </w:tcPr>
          <w:p>
            <w:pPr>
              <w:spacing w:after="0"/>
              <w:rPr>
                <w:sz w:val="1"/>
                <w:szCs w:val="1"/>
                <w:color w:val="auto"/>
              </w:rPr>
            </w:pPr>
          </w:p>
        </w:tc>
      </w:tr>
      <w:tr>
        <w:trPr>
          <w:trHeight w:val="150"/>
        </w:trPr>
        <w:tc>
          <w:tcPr>
            <w:tcW w:w="80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Capital in excess of par value</w:t>
            </w:r>
          </w:p>
        </w:tc>
        <w:tc>
          <w:tcPr>
            <w:tcW w:w="114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22.1</w:t>
            </w:r>
          </w:p>
        </w:tc>
        <w:tc>
          <w:tcPr>
            <w:tcW w:w="0" w:type="dxa"/>
            <w:vAlign w:val="bottom"/>
          </w:tcPr>
          <w:p>
            <w:pPr>
              <w:spacing w:after="0"/>
              <w:rPr>
                <w:sz w:val="1"/>
                <w:szCs w:val="1"/>
                <w:color w:val="auto"/>
              </w:rPr>
            </w:pPr>
          </w:p>
        </w:tc>
      </w:tr>
      <w:tr>
        <w:trPr>
          <w:trHeight w:val="156"/>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Retained earnings</w:t>
            </w:r>
          </w:p>
        </w:tc>
        <w:tc>
          <w:tcPr>
            <w:tcW w:w="11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4,262.4</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3,956.6</w:t>
            </w:r>
          </w:p>
        </w:tc>
        <w:tc>
          <w:tcPr>
            <w:tcW w:w="0" w:type="dxa"/>
            <w:vAlign w:val="bottom"/>
          </w:tcPr>
          <w:p>
            <w:pPr>
              <w:spacing w:after="0"/>
              <w:rPr>
                <w:sz w:val="1"/>
                <w:szCs w:val="1"/>
                <w:color w:val="auto"/>
              </w:rPr>
            </w:pPr>
          </w:p>
        </w:tc>
      </w:tr>
      <w:tr>
        <w:trPr>
          <w:trHeight w:val="150"/>
        </w:trPr>
        <w:tc>
          <w:tcPr>
            <w:tcW w:w="80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Accumulated other comprehensive loss</w:t>
            </w:r>
          </w:p>
        </w:tc>
        <w:tc>
          <w:tcPr>
            <w:tcW w:w="1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(258.1)</w:t>
            </w:r>
          </w:p>
        </w:tc>
        <w:tc>
          <w:tcPr>
            <w:tcW w:w="0" w:type="dxa"/>
            <w:vAlign w:val="bottom"/>
          </w:tcPr>
          <w:p>
            <w:pPr>
              <w:spacing w:after="0"/>
              <w:rPr>
                <w:sz w:val="1"/>
                <w:szCs w:val="1"/>
                <w:color w:val="auto"/>
              </w:rPr>
            </w:pPr>
          </w:p>
        </w:tc>
      </w:tr>
      <w:tr>
        <w:trPr>
          <w:trHeight w:val="174"/>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Treasury stock, at cost (September 30, 2025 - 3.4 million shares, December 31, 2024 - 3.0 million shares)</w:t>
            </w:r>
          </w:p>
        </w:tc>
        <w:tc>
          <w:tcPr>
            <w:tcW w:w="114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9"/>
              </w:rPr>
              <w:t>(1,127.4)</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(1,057.1)</w:t>
            </w:r>
          </w:p>
        </w:tc>
        <w:tc>
          <w:tcPr>
            <w:tcW w:w="0" w:type="dxa"/>
            <w:vAlign w:val="bottom"/>
          </w:tcPr>
          <w:p>
            <w:pPr>
              <w:spacing w:after="0"/>
              <w:rPr>
                <w:sz w:val="1"/>
                <w:szCs w:val="1"/>
                <w:color w:val="auto"/>
              </w:rPr>
            </w:pPr>
          </w:p>
        </w:tc>
      </w:tr>
      <w:tr>
        <w:trPr>
          <w:trHeight w:val="139"/>
        </w:trPr>
        <w:tc>
          <w:tcPr>
            <w:tcW w:w="8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Total Equity</w:t>
            </w:r>
          </w:p>
        </w:tc>
        <w:tc>
          <w:tcPr>
            <w:tcW w:w="1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3,051.5</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2,682.3</w:t>
            </w:r>
          </w:p>
        </w:tc>
        <w:tc>
          <w:tcPr>
            <w:tcW w:w="0" w:type="dxa"/>
            <w:vAlign w:val="bottom"/>
          </w:tcPr>
          <w:p>
            <w:pPr>
              <w:spacing w:after="0"/>
              <w:rPr>
                <w:sz w:val="1"/>
                <w:szCs w:val="1"/>
                <w:color w:val="auto"/>
              </w:rPr>
            </w:pPr>
          </w:p>
        </w:tc>
      </w:tr>
      <w:tr>
        <w:trPr>
          <w:trHeight w:val="161"/>
        </w:trPr>
        <w:tc>
          <w:tcPr>
            <w:tcW w:w="8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Liabilities and Equity</w:t>
            </w:r>
          </w:p>
        </w:tc>
        <w:tc>
          <w:tcPr>
            <w:tcW w:w="1140" w:type="dxa"/>
            <w:vAlign w:val="bottom"/>
            <w:tcBorders>
              <w:bottom w:val="single" w:sz="8" w:color="auto"/>
            </w:tcBorders>
            <w:shd w:val="clear" w:color="auto" w:fill="CCEEFF"/>
          </w:tcPr>
          <w:p>
            <w:pPr>
              <w:jc w:val="right"/>
              <w:ind w:right="1003"/>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4,105.8</w:t>
            </w:r>
          </w:p>
        </w:tc>
        <w:tc>
          <w:tcPr>
            <w:tcW w:w="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3,643.4</w:t>
            </w:r>
          </w:p>
        </w:tc>
        <w:tc>
          <w:tcPr>
            <w:tcW w:w="0" w:type="dxa"/>
            <w:vAlign w:val="bottom"/>
          </w:tcPr>
          <w:p>
            <w:pPr>
              <w:spacing w:after="0"/>
              <w:rPr>
                <w:sz w:val="1"/>
                <w:szCs w:val="1"/>
                <w:color w:val="auto"/>
              </w:rPr>
            </w:pPr>
          </w:p>
        </w:tc>
      </w:tr>
    </w:tbl>
    <w:p>
      <w:pPr>
        <w:sectPr>
          <w:pgSz w:w="11900" w:h="16838" w:orient="portrait"/>
          <w:cols w:equalWidth="0" w:num="1">
            <w:col w:w="11300"/>
          </w:cols>
          <w:pgMar w:left="300" w:top="992" w:right="299" w:bottom="1440" w:gutter="0" w:footer="0" w:header="0"/>
        </w:sectPr>
      </w:pPr>
    </w:p>
    <w:bookmarkStart w:id="16" w:name="page17"/>
    <w:bookmarkEnd w:id="16"/>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WEST PHARMACEUTICAL SERVICES</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 (UNAUDITED)</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19"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2"/>
          <w:szCs w:val="12"/>
          <w:color w:val="auto"/>
        </w:rPr>
        <w:t>Nine Months Ended</w:t>
      </w:r>
    </w:p>
    <w:p>
      <w:pPr>
        <w:jc w:val="center"/>
        <w:ind w:left="8060"/>
        <w:spacing w:after="0"/>
        <w:rPr>
          <w:sz w:val="20"/>
          <w:szCs w:val="20"/>
          <w:color w:val="auto"/>
        </w:rPr>
      </w:pPr>
      <w:r>
        <w:rPr>
          <w:rFonts w:ascii="Times New Roman" w:cs="Times New Roman" w:eastAsia="Times New Roman" w:hAnsi="Times New Roman"/>
          <w:sz w:val="12"/>
          <w:szCs w:val="12"/>
          <w:color w:val="auto"/>
        </w:rPr>
        <w:t>September 30,</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060" w:type="dxa"/>
            <w:vAlign w:val="bottom"/>
            <w:tcBorders>
              <w:bottom w:val="single" w:sz="8" w:color="CCEEFF"/>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2025</w:t>
            </w:r>
          </w:p>
        </w:tc>
        <w:tc>
          <w:tcPr>
            <w:tcW w:w="5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620"/>
              <w:spacing w:after="0"/>
              <w:rPr>
                <w:sz w:val="20"/>
                <w:szCs w:val="20"/>
                <w:color w:val="auto"/>
              </w:rPr>
            </w:pPr>
            <w:r>
              <w:rPr>
                <w:rFonts w:ascii="Times New Roman" w:cs="Times New Roman" w:eastAsia="Times New Roman" w:hAnsi="Times New Roman"/>
                <w:sz w:val="12"/>
                <w:szCs w:val="12"/>
                <w:color w:val="auto"/>
              </w:rPr>
              <w:t>2024</w:t>
            </w:r>
          </w:p>
        </w:tc>
      </w:tr>
      <w:tr>
        <w:trPr>
          <w:trHeight w:val="142"/>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flows from operating activities:</w:t>
            </w:r>
          </w:p>
        </w:tc>
        <w:tc>
          <w:tcPr>
            <w:tcW w:w="10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r>
      <w:tr>
        <w:trPr>
          <w:trHeight w:val="153"/>
        </w:trPr>
        <w:tc>
          <w:tcPr>
            <w:tcW w:w="80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Net income</w:t>
            </w:r>
          </w:p>
        </w:tc>
        <w:tc>
          <w:tcPr>
            <w:tcW w:w="1060" w:type="dxa"/>
            <w:vAlign w:val="bottom"/>
          </w:tcPr>
          <w:p>
            <w:pPr>
              <w:jc w:val="right"/>
              <w:ind w:right="920"/>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361.6</w:t>
            </w:r>
          </w:p>
        </w:tc>
        <w:tc>
          <w:tcPr>
            <w:tcW w:w="80" w:type="dxa"/>
            <w:vAlign w:val="bottom"/>
          </w:tcPr>
          <w:p>
            <w:pPr>
              <w:spacing w:after="0"/>
              <w:rPr>
                <w:sz w:val="13"/>
                <w:szCs w:val="13"/>
                <w:color w:val="auto"/>
              </w:rPr>
            </w:pP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362.6</w:t>
            </w:r>
          </w:p>
        </w:tc>
      </w:tr>
      <w:tr>
        <w:trPr>
          <w:trHeight w:val="153"/>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Adjustments to reconcile net income to net cash provided by operating activities:</w:t>
            </w:r>
          </w:p>
        </w:tc>
        <w:tc>
          <w:tcPr>
            <w:tcW w:w="10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53"/>
        </w:trPr>
        <w:tc>
          <w:tcPr>
            <w:tcW w:w="80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Depreciation</w:t>
            </w:r>
          </w:p>
        </w:tc>
        <w:tc>
          <w:tcPr>
            <w:tcW w:w="10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122.2</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112.0</w:t>
            </w:r>
          </w:p>
        </w:tc>
      </w:tr>
      <w:tr>
        <w:trPr>
          <w:trHeight w:val="153"/>
        </w:trPr>
        <w:tc>
          <w:tcPr>
            <w:tcW w:w="8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Amortization</w:t>
            </w:r>
          </w:p>
        </w:tc>
        <w:tc>
          <w:tcPr>
            <w:tcW w:w="10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w:t>
            </w:r>
          </w:p>
        </w:tc>
      </w:tr>
      <w:tr>
        <w:trPr>
          <w:trHeight w:val="153"/>
        </w:trPr>
        <w:tc>
          <w:tcPr>
            <w:tcW w:w="80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Stock-based compensation</w:t>
            </w:r>
          </w:p>
        </w:tc>
        <w:tc>
          <w:tcPr>
            <w:tcW w:w="10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17.1</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w:t>
            </w:r>
          </w:p>
        </w:tc>
      </w:tr>
      <w:tr>
        <w:trPr>
          <w:trHeight w:val="153"/>
        </w:trPr>
        <w:tc>
          <w:tcPr>
            <w:tcW w:w="8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Non-cash restructuring charges</w:t>
            </w:r>
          </w:p>
        </w:tc>
        <w:tc>
          <w:tcPr>
            <w:tcW w:w="10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0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Asset impairments</w:t>
            </w:r>
          </w:p>
        </w:tc>
        <w:tc>
          <w:tcPr>
            <w:tcW w:w="10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r>
      <w:tr>
        <w:trPr>
          <w:trHeight w:val="153"/>
        </w:trPr>
        <w:tc>
          <w:tcPr>
            <w:tcW w:w="8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Other non-cash items, net</w:t>
            </w:r>
          </w:p>
        </w:tc>
        <w:tc>
          <w:tcPr>
            <w:tcW w:w="10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w:t>
            </w:r>
          </w:p>
        </w:tc>
      </w:tr>
      <w:tr>
        <w:trPr>
          <w:trHeight w:val="153"/>
        </w:trPr>
        <w:tc>
          <w:tcPr>
            <w:tcW w:w="8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2"/>
                <w:szCs w:val="12"/>
                <w:color w:val="auto"/>
              </w:rPr>
              <w:t>Changes in assets and liabilities</w:t>
            </w:r>
          </w:p>
        </w:tc>
        <w:tc>
          <w:tcPr>
            <w:tcW w:w="10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(20.6)</w:t>
            </w:r>
          </w:p>
        </w:tc>
      </w:tr>
      <w:tr>
        <w:trPr>
          <w:trHeight w:val="142"/>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provided by operating activities</w:t>
            </w:r>
          </w:p>
        </w:tc>
        <w:tc>
          <w:tcPr>
            <w:tcW w:w="10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503.7</w:t>
            </w:r>
          </w:p>
        </w:tc>
        <w:tc>
          <w:tcPr>
            <w:tcW w:w="8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463.3</w:t>
            </w:r>
          </w:p>
        </w:tc>
      </w:tr>
      <w:tr>
        <w:trPr>
          <w:trHeight w:val="88"/>
        </w:trPr>
        <w:tc>
          <w:tcPr>
            <w:tcW w:w="8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0" w:type="dxa"/>
            <w:vAlign w:val="bottom"/>
          </w:tcPr>
          <w:p>
            <w:pPr>
              <w:spacing w:after="0"/>
              <w:rPr>
                <w:sz w:val="7"/>
                <w:szCs w:val="7"/>
                <w:color w:val="auto"/>
              </w:rPr>
            </w:pPr>
          </w:p>
        </w:tc>
      </w:tr>
      <w:tr>
        <w:trPr>
          <w:trHeight w:val="153"/>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flows from investing activities:</w:t>
            </w:r>
          </w:p>
        </w:tc>
        <w:tc>
          <w:tcPr>
            <w:tcW w:w="10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53"/>
        </w:trPr>
        <w:tc>
          <w:tcPr>
            <w:tcW w:w="80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Capital expenditures</w:t>
            </w:r>
          </w:p>
        </w:tc>
        <w:tc>
          <w:tcPr>
            <w:tcW w:w="10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(209.8)</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(272.1)</w:t>
            </w:r>
          </w:p>
        </w:tc>
      </w:tr>
      <w:tr>
        <w:trPr>
          <w:trHeight w:val="153"/>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Other, net</w:t>
            </w:r>
          </w:p>
        </w:tc>
        <w:tc>
          <w:tcPr>
            <w:tcW w:w="10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r>
      <w:tr>
        <w:trPr>
          <w:trHeight w:val="142"/>
        </w:trPr>
        <w:tc>
          <w:tcPr>
            <w:tcW w:w="8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Net cash used in investing activities</w:t>
            </w:r>
          </w:p>
        </w:tc>
        <w:tc>
          <w:tcPr>
            <w:tcW w:w="10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(209.8)</w:t>
            </w:r>
          </w:p>
        </w:tc>
        <w:tc>
          <w:tcPr>
            <w:tcW w:w="8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(273.9)</w:t>
            </w:r>
          </w:p>
        </w:tc>
      </w:tr>
      <w:tr>
        <w:trPr>
          <w:trHeight w:val="88"/>
        </w:trPr>
        <w:tc>
          <w:tcPr>
            <w:tcW w:w="806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r>
      <w:tr>
        <w:trPr>
          <w:trHeight w:val="153"/>
        </w:trPr>
        <w:tc>
          <w:tcPr>
            <w:tcW w:w="8060" w:type="dxa"/>
            <w:vAlign w:val="bottom"/>
          </w:tcPr>
          <w:p>
            <w:pPr>
              <w:spacing w:after="0"/>
              <w:rPr>
                <w:sz w:val="20"/>
                <w:szCs w:val="20"/>
                <w:color w:val="auto"/>
              </w:rPr>
            </w:pPr>
            <w:r>
              <w:rPr>
                <w:rFonts w:ascii="Times New Roman" w:cs="Times New Roman" w:eastAsia="Times New Roman" w:hAnsi="Times New Roman"/>
                <w:sz w:val="12"/>
                <w:szCs w:val="12"/>
                <w:color w:val="auto"/>
              </w:rPr>
              <w:t>Cash flows from financing activities:</w:t>
            </w:r>
          </w:p>
        </w:tc>
        <w:tc>
          <w:tcPr>
            <w:tcW w:w="10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3"/>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Borrowings of long-term debt</w:t>
            </w:r>
          </w:p>
        </w:tc>
        <w:tc>
          <w:tcPr>
            <w:tcW w:w="10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164.7</w:t>
            </w:r>
          </w:p>
        </w:tc>
      </w:tr>
      <w:tr>
        <w:trPr>
          <w:trHeight w:val="153"/>
        </w:trPr>
        <w:tc>
          <w:tcPr>
            <w:tcW w:w="80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Repayments of long-term debt</w:t>
            </w:r>
          </w:p>
        </w:tc>
        <w:tc>
          <w:tcPr>
            <w:tcW w:w="106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(169.0)</w:t>
            </w:r>
          </w:p>
        </w:tc>
      </w:tr>
      <w:tr>
        <w:trPr>
          <w:trHeight w:val="153"/>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Principal repayments on finance leases</w:t>
            </w:r>
          </w:p>
        </w:tc>
        <w:tc>
          <w:tcPr>
            <w:tcW w:w="10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(23.2)</w:t>
            </w:r>
          </w:p>
        </w:tc>
      </w:tr>
      <w:tr>
        <w:trPr>
          <w:trHeight w:val="153"/>
        </w:trPr>
        <w:tc>
          <w:tcPr>
            <w:tcW w:w="80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Excise tax payments</w:t>
            </w:r>
          </w:p>
        </w:tc>
        <w:tc>
          <w:tcPr>
            <w:tcW w:w="10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Dividend payments</w:t>
            </w:r>
          </w:p>
        </w:tc>
        <w:tc>
          <w:tcPr>
            <w:tcW w:w="10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(45.4)</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(43.8)</w:t>
            </w:r>
          </w:p>
        </w:tc>
      </w:tr>
      <w:tr>
        <w:trPr>
          <w:trHeight w:val="153"/>
        </w:trPr>
        <w:tc>
          <w:tcPr>
            <w:tcW w:w="80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Proceeds from stock-based compensation awards</w:t>
            </w:r>
          </w:p>
        </w:tc>
        <w:tc>
          <w:tcPr>
            <w:tcW w:w="10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24.0</w:t>
            </w:r>
          </w:p>
        </w:tc>
      </w:tr>
      <w:tr>
        <w:trPr>
          <w:trHeight w:val="153"/>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Employee stock purchase plan contributions</w:t>
            </w:r>
          </w:p>
        </w:tc>
        <w:tc>
          <w:tcPr>
            <w:tcW w:w="10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w:t>
            </w:r>
          </w:p>
        </w:tc>
      </w:tr>
      <w:tr>
        <w:trPr>
          <w:trHeight w:val="153"/>
        </w:trPr>
        <w:tc>
          <w:tcPr>
            <w:tcW w:w="80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Shares purchased under share repurchase programs</w:t>
            </w:r>
          </w:p>
        </w:tc>
        <w:tc>
          <w:tcPr>
            <w:tcW w:w="10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(134.0)</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(506.5)</w:t>
            </w:r>
          </w:p>
        </w:tc>
      </w:tr>
      <w:tr>
        <w:trPr>
          <w:trHeight w:val="153"/>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Shares repurchased for employee tax withholdings</w:t>
            </w:r>
          </w:p>
        </w:tc>
        <w:tc>
          <w:tcPr>
            <w:tcW w:w="106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w:t>
            </w:r>
          </w:p>
        </w:tc>
      </w:tr>
      <w:tr>
        <w:trPr>
          <w:trHeight w:val="142"/>
        </w:trPr>
        <w:tc>
          <w:tcPr>
            <w:tcW w:w="8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Net cash used in financing activities</w:t>
            </w:r>
          </w:p>
        </w:tc>
        <w:tc>
          <w:tcPr>
            <w:tcW w:w="10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(173.4)</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(553.7)</w:t>
            </w:r>
          </w:p>
        </w:tc>
      </w:tr>
      <w:tr>
        <w:trPr>
          <w:trHeight w:val="142"/>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Effect of exchange rates on cash</w:t>
            </w:r>
          </w:p>
        </w:tc>
        <w:tc>
          <w:tcPr>
            <w:tcW w:w="10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23.4</w:t>
            </w:r>
          </w:p>
        </w:tc>
        <w:tc>
          <w:tcPr>
            <w:tcW w:w="8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r>
      <w:tr>
        <w:trPr>
          <w:trHeight w:val="142"/>
        </w:trPr>
        <w:tc>
          <w:tcPr>
            <w:tcW w:w="8060" w:type="dxa"/>
            <w:vAlign w:val="bottom"/>
          </w:tcPr>
          <w:p>
            <w:pPr>
              <w:spacing w:after="0"/>
              <w:rPr>
                <w:sz w:val="20"/>
                <w:szCs w:val="20"/>
                <w:color w:val="auto"/>
              </w:rPr>
            </w:pPr>
            <w:r>
              <w:rPr>
                <w:rFonts w:ascii="Times New Roman" w:cs="Times New Roman" w:eastAsia="Times New Roman" w:hAnsi="Times New Roman"/>
                <w:sz w:val="12"/>
                <w:szCs w:val="12"/>
                <w:color w:val="auto"/>
              </w:rPr>
              <w:t>Net increase (decrease) in cash and cash equivalents</w:t>
            </w:r>
          </w:p>
        </w:tc>
        <w:tc>
          <w:tcPr>
            <w:tcW w:w="10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143.9</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(363.0)</w:t>
            </w:r>
          </w:p>
        </w:tc>
      </w:tr>
      <w:tr>
        <w:trPr>
          <w:trHeight w:val="108"/>
        </w:trPr>
        <w:tc>
          <w:tcPr>
            <w:tcW w:w="806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r>
      <w:tr>
        <w:trPr>
          <w:trHeight w:val="153"/>
        </w:trPr>
        <w:tc>
          <w:tcPr>
            <w:tcW w:w="8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Cash, including cash equivalents at beginning of period</w:t>
            </w:r>
          </w:p>
        </w:tc>
        <w:tc>
          <w:tcPr>
            <w:tcW w:w="10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484.6</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853.9</w:t>
            </w:r>
          </w:p>
        </w:tc>
      </w:tr>
      <w:tr>
        <w:trPr>
          <w:trHeight w:val="158"/>
        </w:trPr>
        <w:tc>
          <w:tcPr>
            <w:tcW w:w="8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including cash equivalents at end of period</w:t>
            </w:r>
          </w:p>
        </w:tc>
        <w:tc>
          <w:tcPr>
            <w:tcW w:w="1060" w:type="dxa"/>
            <w:vAlign w:val="bottom"/>
            <w:tcBorders>
              <w:bottom w:val="single" w:sz="8" w:color="auto"/>
            </w:tcBorders>
            <w:shd w:val="clear" w:color="auto" w:fill="CCEEFF"/>
          </w:tcPr>
          <w:p>
            <w:pPr>
              <w:jc w:val="right"/>
              <w:ind w:right="920"/>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628.5</w:t>
            </w: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490.9</w:t>
            </w:r>
          </w:p>
        </w:tc>
      </w:tr>
      <w:tr>
        <w:trPr>
          <w:trHeight w:val="90"/>
        </w:trPr>
        <w:tc>
          <w:tcPr>
            <w:tcW w:w="8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0" w:type="dxa"/>
            <w:vAlign w:val="bottom"/>
          </w:tcPr>
          <w:p>
            <w:pPr>
              <w:spacing w:after="0"/>
              <w:rPr>
                <w:sz w:val="7"/>
                <w:szCs w:val="7"/>
                <w:color w:val="auto"/>
              </w:rPr>
            </w:pPr>
          </w:p>
        </w:tc>
      </w:tr>
      <w:tr>
        <w:trPr>
          <w:trHeight w:val="153"/>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Supplemental cash flow information:</w:t>
            </w:r>
          </w:p>
        </w:tc>
        <w:tc>
          <w:tcPr>
            <w:tcW w:w="10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55"/>
        </w:trPr>
        <w:tc>
          <w:tcPr>
            <w:tcW w:w="80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Accrued capital expenditures</w:t>
            </w:r>
          </w:p>
        </w:tc>
        <w:tc>
          <w:tcPr>
            <w:tcW w:w="1060" w:type="dxa"/>
            <w:vAlign w:val="bottom"/>
          </w:tcPr>
          <w:p>
            <w:pPr>
              <w:jc w:val="right"/>
              <w:ind w:right="920"/>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38.1</w:t>
            </w:r>
          </w:p>
        </w:tc>
        <w:tc>
          <w:tcPr>
            <w:tcW w:w="80" w:type="dxa"/>
            <w:vAlign w:val="bottom"/>
          </w:tcPr>
          <w:p>
            <w:pPr>
              <w:spacing w:after="0"/>
              <w:rPr>
                <w:sz w:val="13"/>
                <w:szCs w:val="13"/>
                <w:color w:val="auto"/>
              </w:rPr>
            </w:pP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50.3</w:t>
            </w:r>
          </w:p>
        </w:tc>
      </w:tr>
    </w:tbl>
    <w:p>
      <w:pPr>
        <w:sectPr>
          <w:pgSz w:w="11900" w:h="16838" w:orient="portrait"/>
          <w:cols w:equalWidth="0" w:num="1">
            <w:col w:w="11300"/>
          </w:cols>
          <w:pgMar w:left="300" w:top="992" w:right="299" w:bottom="1440" w:gutter="0" w:footer="0" w:header="0"/>
        </w:sectPr>
      </w:pPr>
    </w:p>
    <w:bookmarkStart w:id="17" w:name="page18"/>
    <w:bookmarkEnd w:id="1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04"/>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lvl w:ilvl="1">
      <w:lvlJc w:val="left"/>
      <w:lvlText w:val="◦"/>
      <w:numFmt w:val="bullet"/>
      <w:start w:val="1"/>
    </w:lvl>
  </w:abstractNum>
  <w:abstractNum w:abstractNumId="6">
    <w:nsid w:val="4DB127F8"/>
    <w:multiLevelType w:val="hybridMultilevel"/>
    <w:lvl w:ilvl="0">
      <w:lvlJc w:val="left"/>
      <w:lvlText w:val="•"/>
      <w:numFmt w:val="bullet"/>
      <w:start w:val="1"/>
    </w:lvl>
    <w:lvl w:ilvl="1">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decimal"/>
      <w:start w:val="484"/>
    </w:lvl>
  </w:abstractNum>
  <w:abstractNum w:abstractNumId="9">
    <w:nsid w:val="1190CDE7"/>
    <w:multiLevelType w:val="hybridMultilevel"/>
    <w:lvl w:ilvl="0">
      <w:lvlJc w:val="left"/>
      <w:lvlText w:val="(%1)"/>
      <w:numFmt w:val="decimal"/>
      <w:start w:val="610"/>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3"/>
    </w:lvl>
  </w:abstractNum>
  <w:abstractNum w:abstractNumId="12">
    <w:nsid w:val="3352255A"/>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2025-10-23T06:18:39Z</dcterms:created>
  <dcterms:modified xsi:type="dcterms:W3CDTF">2025-10-23T06:18:39Z</dcterms:modified>
</cp:coreProperties>
</file>