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tbl>
      <w:tblPr>
        <w:tblW w:w="3179" w:type="dxa"/>
        <w:jc w:val="center"/>
        <w:tblInd w:w="0" w:type="dxa"/>
        <w:tblLayout w:type="fixed"/>
        <w:tblCellMar>
          <w:top w:w="28" w:type="dxa"/>
          <w:left w:w="28" w:type="dxa"/>
          <w:bottom w:w="28" w:type="dxa"/>
          <w:right w:w="28" w:type="dxa"/>
        </w:tblCellMar>
      </w:tblPr>
      <w:tblGrid>
        <w:gridCol w:w="1017"/>
        <w:gridCol w:w="894"/>
        <w:gridCol w:w="1268"/>
      </w:tblGrid>
      <w:tr>
        <w:trPr/>
        <w:tc>
          <w:tcPr>
            <w:tcW w:w="101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SD</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Specialized Disclosure Report</w:t>
            </w:r>
          </w:p>
          <w:p>
            <w:pPr>
              <w:pStyle w:val="TableContents"/>
              <w:bidi w:val="0"/>
              <w:spacing w:before="0" w:after="0"/>
              <w:jc w:val="center"/>
              <w:rPr/>
            </w:pPr>
            <w:r>
              <w:rPr/>
            </w:r>
          </w:p>
        </w:tc>
      </w:tr>
    </w:tbl>
    <w:tbl>
      <w:tblPr>
        <w:tblW w:w="6195" w:type="dxa"/>
        <w:jc w:val="center"/>
        <w:tblInd w:w="0" w:type="dxa"/>
        <w:tblLayout w:type="fixed"/>
        <w:tblCellMar>
          <w:top w:w="28" w:type="dxa"/>
          <w:left w:w="28" w:type="dxa"/>
          <w:bottom w:w="28" w:type="dxa"/>
          <w:right w:w="28" w:type="dxa"/>
        </w:tblCellMar>
      </w:tblPr>
      <w:tblGrid>
        <w:gridCol w:w="1984"/>
        <w:gridCol w:w="1744"/>
        <w:gridCol w:w="2467"/>
      </w:tblGrid>
      <w:tr>
        <w:trPr/>
        <w:tc>
          <w:tcPr>
            <w:tcW w:w="198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WEST PHARMACEUTICAL SERVICES, INC.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56" w:type="dxa"/>
        <w:jc w:val="center"/>
        <w:tblInd w:w="0" w:type="dxa"/>
        <w:tblLayout w:type="fixed"/>
        <w:tblCellMar>
          <w:top w:w="28" w:type="dxa"/>
          <w:left w:w="28" w:type="dxa"/>
          <w:bottom w:w="28" w:type="dxa"/>
          <w:right w:w="28" w:type="dxa"/>
        </w:tblCellMar>
      </w:tblPr>
      <w:tblGrid>
        <w:gridCol w:w="1218"/>
        <w:gridCol w:w="1068"/>
        <w:gridCol w:w="1073"/>
        <w:gridCol w:w="109"/>
        <w:gridCol w:w="109"/>
        <w:gridCol w:w="109"/>
        <w:gridCol w:w="762"/>
        <w:gridCol w:w="762"/>
        <w:gridCol w:w="770"/>
        <w:gridCol w:w="109"/>
        <w:gridCol w:w="109"/>
        <w:gridCol w:w="109"/>
        <w:gridCol w:w="481"/>
        <w:gridCol w:w="481"/>
        <w:gridCol w:w="687"/>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1-8036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23-1210010</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530 Herman O. West Drive, Exton, 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19341-1147</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rPr>
      </w:pPr>
      <w:r>
        <w:rPr>
          <w:color w:val="000000"/>
        </w:rPr>
        <w:t> </w:t>
      </w:r>
    </w:p>
    <w:tbl>
      <w:tblPr>
        <w:tblW w:w="8790" w:type="dxa"/>
        <w:jc w:val="center"/>
        <w:tblInd w:w="0" w:type="dxa"/>
        <w:tblLayout w:type="fixed"/>
        <w:tblCellMar>
          <w:top w:w="28" w:type="dxa"/>
          <w:left w:w="28" w:type="dxa"/>
          <w:bottom w:w="28" w:type="dxa"/>
          <w:right w:w="28" w:type="dxa"/>
        </w:tblCellMar>
      </w:tblPr>
      <w:tblGrid>
        <w:gridCol w:w="2815"/>
        <w:gridCol w:w="2473"/>
        <w:gridCol w:w="3502"/>
      </w:tblGrid>
      <w:tr>
        <w:trPr/>
        <w:tc>
          <w:tcPr>
            <w:tcW w:w="2815"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3502" w:type="dxa"/>
            <w:tcBorders/>
            <w:vAlign w:val="center"/>
          </w:tcPr>
          <w:p>
            <w:pPr>
              <w:pStyle w:val="TableContents"/>
              <w:bidi w:val="0"/>
              <w:spacing w:before="0" w:after="283"/>
              <w:jc w:val="left"/>
              <w:rPr>
                <w:sz w:val="4"/>
                <w:szCs w:val="4"/>
              </w:rPr>
            </w:pPr>
            <w:r>
              <w:rPr>
                <w:sz w:val="4"/>
                <w:szCs w:val="4"/>
              </w:rPr>
            </w:r>
          </w:p>
        </w:tc>
      </w:tr>
      <w:tr>
        <w:trPr/>
        <w:tc>
          <w:tcPr>
            <w:tcW w:w="8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Norman D. Finch, 610-594-2900</w:t>
            </w:r>
          </w:p>
        </w:tc>
      </w:tr>
      <w:tr>
        <w:trPr/>
        <w:tc>
          <w:tcPr>
            <w:tcW w:w="8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and telephone number, including area code, of the person to contact in connection with this report.)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to indicate the rule pursuant to which this form is being filed, and provide the period to which the information in this form applies: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Rule 13p-1 under the Securities Exchange Act (17 CFR 240.13p-1) for the reporting period from January 1 to December 31,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color w:val="000000"/>
          <w:sz w:val="20"/>
        </w:rPr>
        <w:t>Section 1</w:t>
      </w:r>
      <w:r>
        <w:rPr>
          <w:color w:val="000000"/>
        </w:rPr>
        <w:t xml:space="preserve">     </w:t>
      </w:r>
      <w:r>
        <w:rPr>
          <w:rFonts w:ascii="Times New Roman;serif" w:hAnsi="Times New Roman;serif"/>
          <w:b/>
          <w:color w:val="000000"/>
          <w:sz w:val="20"/>
        </w:rPr>
        <w:t>Conflict Minerals Disclosure</w:t>
      </w:r>
    </w:p>
    <w:p>
      <w:pPr>
        <w:pStyle w:val="TextBody"/>
        <w:bidi w:val="0"/>
        <w:spacing w:lineRule="auto" w:line="288" w:before="0" w:after="120"/>
        <w:jc w:val="left"/>
        <w:rPr/>
      </w:pPr>
      <w:r>
        <w:rPr>
          <w:rFonts w:ascii="Times New Roman;serif" w:hAnsi="Times New Roman;serif"/>
          <w:b/>
          <w:color w:val="000000"/>
          <w:sz w:val="20"/>
        </w:rPr>
        <w:t>Item 1.01</w:t>
      </w:r>
      <w:r>
        <w:rPr>
          <w:color w:val="000000"/>
        </w:rPr>
        <w:t xml:space="preserve">     </w:t>
      </w:r>
      <w:r>
        <w:rPr>
          <w:rFonts w:ascii="Times New Roman;serif" w:hAnsi="Times New Roman;serif"/>
          <w:b/>
          <w:color w:val="000000"/>
          <w:sz w:val="20"/>
        </w:rPr>
        <w:t>Conflict Minerals Disclosure and Report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Conflict Minerals Disclosure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accordance with Rule 13p-1 under the Securities Exchange Act of 1934, as amended, this Specialized Disclosure Report on Form SD of West Pharmaceutical Services, Inc. is for the reporting period from January 1, 2025 to December 31, 2025. Unless the context indicates otherwise, “West,” “we,” “us,” “its” and “our” refer to West Pharmaceutical Services, Inc. and its subsidiaries.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Rule 13p-1 (the “Rule”) requires disclosure of certain information when a company manufactures or contracts to manufacture products for which the minerals specified in the Rule are necessary to the functionality or production of those products. We evaluated our product lines and determined that, during 2025, we manufactured, or contracted to manufacture, products for which columbite-tantalite (coltan), cassiterite, gold, wolframite or their derivatives (tantalum, tin and tungsten) (“3TGs”) are necessary to their functionality or production (“Covered Products”). Accordingly, we conducted a reasonable country of origin inquiry (“RCOI”) that West believes was reasonably designed to determine in good faith whether any of the 3TGs in the Covered Products originated in “Covered Countries”, or were from recycled or scrap sources. The “Covered Countries” for purpose of the Rule are the Democratic Republic of the Congo or an adjoining country (the Republic of the Congo, the Central African Republic, South Sudan, Uganda, Rwanda, Burundi, Tanzania, Zambia or Angola).</w:t>
      </w:r>
    </w:p>
    <w:p>
      <w:pPr>
        <w:pStyle w:val="TextBody"/>
        <w:bidi w:val="0"/>
        <w:spacing w:lineRule="auto" w:line="288" w:before="0" w:after="120"/>
        <w:jc w:val="left"/>
        <w:rPr/>
      </w:pPr>
      <w:r>
        <w:rPr>
          <w:rFonts w:ascii="Times New Roman;serif" w:hAnsi="Times New Roman;serif"/>
          <w:b w:val="false"/>
          <w:color w:val="000000"/>
          <w:sz w:val="20"/>
        </w:rPr>
        <w:t>Information about our RCOI and the steps taken to effect due diligence on the source and chain of custody of any 3TGs in the Covered Products is included in our Conflict Minerals Report, which is filed included as an exhibit to this Form SD. In addition, our Conflict Minerals Report is publicly available through the Investors page of the company’s website,</w:t>
      </w:r>
      <w:r>
        <w:rPr>
          <w:color w:val="000000"/>
        </w:rPr>
        <w:t xml:space="preserve"> </w:t>
      </w:r>
      <w:r>
        <w:rPr>
          <w:rFonts w:ascii="Times New Roman;serif" w:hAnsi="Times New Roman;serif"/>
          <w:b w:val="false"/>
          <w:i/>
          <w:color w:val="000000"/>
          <w:sz w:val="20"/>
        </w:rPr>
        <w:t>https://www.westpharma.com/investors</w:t>
      </w:r>
      <w:r>
        <w:rPr>
          <w:rFonts w:ascii="Times New Roman;serif" w:hAnsi="Times New Roman;serif"/>
          <w:b w:val="false"/>
          <w:color w:val="000000"/>
          <w:sz w:val="20"/>
        </w:rPr>
        <w:t>. Information on our website does not constitute part of this document.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jc w:val="left"/>
        <w:rPr/>
      </w:pPr>
      <w:r>
        <w:rPr>
          <w:rFonts w:ascii="Times New Roman;serif" w:hAnsi="Times New Roman;serif"/>
          <w:b w:val="false"/>
          <w:color w:val="000000"/>
          <w:sz w:val="20"/>
        </w:rPr>
        <w:t>This Specialized Disclosure Report on Form SD, including the Conflict Minerals Report filed as an exhibit hereto, contains forward-looking statements that are based upon management’s expectations and beliefs concerning future events impacting West. Certain matters contained herein concerning the future, including, but not limited to, risk mitigation steps, constitute forward-looking statements and are based upon management’s expectations and beliefs. All forward-looking statements are, by their nature, subject to risks, uncertainties, and other factors. There can be no assurance that these future events will occur as anticipated. Forward-looking statements speak only as of the date they were made, and we undertake no obligation to publicly update them. For a description of certain factors that could cause our future results to differ materially from those expressed in any forward-looking statement, see Item 1A of our Annual Report on Form 10-K for the year ended December 31, 2025, entitled “Risk Factors.”</w:t>
      </w:r>
      <w:r>
        <w:rPr>
          <w:color w:val="000000"/>
        </w:rPr>
        <w:t xml:space="preserve"> </w:t>
      </w:r>
    </w:p>
    <w:p>
      <w:pPr>
        <w:pStyle w:val="TextBody"/>
        <w:bidi w:val="0"/>
        <w:spacing w:lineRule="auto" w:line="288" w:before="0" w:after="120"/>
        <w:jc w:val="left"/>
        <w:rPr/>
      </w:pPr>
      <w:r>
        <w:rPr>
          <w:rFonts w:ascii="Times New Roman;serif" w:hAnsi="Times New Roman;serif"/>
          <w:b/>
          <w:color w:val="000000"/>
          <w:sz w:val="20"/>
        </w:rPr>
        <w:t>Item 1.02</w:t>
      </w:r>
      <w:r>
        <w:rPr>
          <w:color w:val="000000"/>
        </w:rPr>
        <w:t xml:space="preserve">     </w:t>
      </w:r>
      <w:r>
        <w:rPr>
          <w:rFonts w:ascii="Times New Roman;serif" w:hAnsi="Times New Roman;serif"/>
          <w:b/>
          <w:color w:val="000000"/>
          <w:sz w:val="20"/>
        </w:rPr>
        <w:t>Exhibit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West has included its Conflict Minerals Report as Exhibit 1.01 to this Form SD.</w:t>
      </w:r>
    </w:p>
    <w:p>
      <w:pPr>
        <w:pStyle w:val="TextBody"/>
        <w:bidi w:val="0"/>
        <w:spacing w:lineRule="auto" w:line="288" w:before="0" w:after="120"/>
        <w:jc w:val="left"/>
        <w:rPr/>
      </w:pPr>
      <w:r>
        <w:rPr>
          <w:rFonts w:ascii="Times New Roman;serif" w:hAnsi="Times New Roman;serif"/>
          <w:b/>
          <w:color w:val="000000"/>
          <w:sz w:val="20"/>
        </w:rPr>
        <w:t>Section 2</w:t>
      </w:r>
      <w:r>
        <w:rPr>
          <w:color w:val="000000"/>
        </w:rPr>
        <w:t xml:space="preserve">     </w:t>
      </w:r>
      <w:r>
        <w:rPr>
          <w:rFonts w:ascii="Times New Roman;serif" w:hAnsi="Times New Roman;serif"/>
          <w:b/>
          <w:color w:val="000000"/>
          <w:sz w:val="20"/>
        </w:rPr>
        <w:t>Exhibits</w:t>
      </w:r>
    </w:p>
    <w:p>
      <w:pPr>
        <w:pStyle w:val="TextBody"/>
        <w:bidi w:val="0"/>
        <w:spacing w:lineRule="auto" w:line="288" w:before="0" w:after="120"/>
        <w:jc w:val="left"/>
        <w:rPr/>
      </w:pPr>
      <w:r>
        <w:rPr>
          <w:rFonts w:ascii="Times New Roman;serif" w:hAnsi="Times New Roman;serif"/>
          <w:b/>
          <w:color w:val="000000"/>
          <w:sz w:val="20"/>
        </w:rPr>
        <w:t>Item 2.01</w:t>
      </w:r>
      <w:r>
        <w:rPr>
          <w:color w:val="000000"/>
        </w:rPr>
        <w:t xml:space="preserve">    </w:t>
      </w:r>
      <w:r>
        <w:rPr>
          <w:rFonts w:ascii="Times New Roman;serif" w:hAnsi="Times New Roman;serif"/>
          <w:b/>
          <w:color w:val="000000"/>
          <w:sz w:val="20"/>
        </w:rPr>
        <w:t>Exhibits</w:t>
      </w:r>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Exhibit 1.01 Conflict Minerals Report as required by Items 1.01 and 1.02 of Form SD.</w:t>
      </w:r>
    </w:p>
    <w:p>
      <w:pPr>
        <w:pStyle w:val="TextBody"/>
        <w:bidi w:val="0"/>
        <w:spacing w:before="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6584" w:type="dxa"/>
        <w:jc w:val="left"/>
        <w:tblInd w:w="0" w:type="dxa"/>
        <w:tblLayout w:type="fixed"/>
        <w:tblCellMar>
          <w:top w:w="28" w:type="dxa"/>
          <w:left w:w="28" w:type="dxa"/>
          <w:bottom w:w="28" w:type="dxa"/>
          <w:right w:w="28" w:type="dxa"/>
        </w:tblCellMar>
      </w:tblPr>
      <w:tblGrid>
        <w:gridCol w:w="455"/>
        <w:gridCol w:w="401"/>
        <w:gridCol w:w="404"/>
        <w:gridCol w:w="1559"/>
        <w:gridCol w:w="1559"/>
        <w:gridCol w:w="2206"/>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Norman D. Finch Jr.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Norman D. Finch Jr.</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 2026</w:t>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rPr/>
      </w:pPr>
      <w:r>
        <w:rPr/>
      </w:r>
    </w:p>
    <w:tbl>
      <w:tblPr>
        <w:tblW w:w="7078" w:type="dxa"/>
        <w:jc w:val="left"/>
        <w:tblInd w:w="0" w:type="dxa"/>
        <w:tblLayout w:type="fixed"/>
        <w:tblCellMar>
          <w:top w:w="28" w:type="dxa"/>
          <w:left w:w="28" w:type="dxa"/>
          <w:bottom w:w="28" w:type="dxa"/>
          <w:right w:w="28" w:type="dxa"/>
        </w:tblCellMar>
      </w:tblPr>
      <w:tblGrid>
        <w:gridCol w:w="385"/>
        <w:gridCol w:w="338"/>
        <w:gridCol w:w="341"/>
        <w:gridCol w:w="1761"/>
        <w:gridCol w:w="1761"/>
        <w:gridCol w:w="249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60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conflictminerals.htm">
              <w:r>
                <w:rPr>
                  <w:rStyle w:val="InternetLink"/>
                  <w:rFonts w:ascii="Times New Roman;serif" w:hAnsi="Times New Roman;serif"/>
                  <w:b w:val="false"/>
                  <w:color w:val="0000FF"/>
                  <w:sz w:val="20"/>
                  <w:u w:val="single"/>
                </w:rPr>
                <w:t>Conflict Minerals Report as required by Items 1.01 and 1.02 of Form SD.</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lineRule="auto" w:line="288" w:before="0" w:after="0"/>
        <w:ind w:left="0" w:right="0" w:firstLine="154"/>
        <w:jc w:val="center"/>
        <w:rPr>
          <w:rFonts w:ascii="Times New Roman;serif" w:hAnsi="Times New Roman;serif"/>
          <w:b/>
          <w:color w:val="000000"/>
          <w:sz w:val="20"/>
        </w:rPr>
      </w:pPr>
      <w:r>
        <w:rPr>
          <w:rFonts w:ascii="Times New Roman;serif" w:hAnsi="Times New Roman;serif"/>
          <w:b/>
          <w:color w:val="000000"/>
          <w:sz w:val="20"/>
        </w:rPr>
        <w:t>West Pharmaceutical Services, Inc.</w:t>
      </w:r>
    </w:p>
    <w:p>
      <w:pPr>
        <w:pStyle w:val="TextBody"/>
        <w:bidi w:val="0"/>
        <w:spacing w:lineRule="auto" w:line="288" w:before="0" w:after="0"/>
        <w:ind w:left="0" w:right="0" w:firstLine="154"/>
        <w:jc w:val="center"/>
        <w:rPr>
          <w:rFonts w:ascii="Times New Roman;serif" w:hAnsi="Times New Roman;serif"/>
          <w:b/>
          <w:color w:val="000000"/>
          <w:sz w:val="20"/>
        </w:rPr>
      </w:pPr>
      <w:r>
        <w:rPr>
          <w:rFonts w:ascii="Times New Roman;serif" w:hAnsi="Times New Roman;serif"/>
          <w:b/>
          <w:color w:val="000000"/>
          <w:sz w:val="20"/>
        </w:rPr>
        <w:t>Conflict Minerals Report</w:t>
      </w:r>
    </w:p>
    <w:p>
      <w:pPr>
        <w:pStyle w:val="TextBody"/>
        <w:bidi w:val="0"/>
        <w:spacing w:lineRule="auto" w:line="288" w:before="0" w:after="0"/>
        <w:ind w:left="0" w:right="0" w:firstLine="154"/>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Conflict Minerals Report (the “Report”) of West Pharmaceutical Services, Inc. (the “Company” or “West”) has been prepared pursuant to Rule 13p-1 (the “Rule”) and Form SD promulgated under the Securities Exchange Act of 1934, as amended, for the reporting period January 1, 2025 to December 31, 2025. The Rule requires disclosure of certain information when a company manufactures or contracts to manufacture products and the minerals specified in the Rule are necessary to the functionality or production of those products. The specified minerals, which we collectively refer to in this Report as the “3TGs,” are columbite-tantalite (coltan), cassiterite, gold, wolframite, or their derivatives (tantalum, tin and tungsten). The “Covered Countries” for purpose of the Rule are the Democratic Republic of the Congo or an adjoining country (the Republic of the Congo, the Central African Republic, South Sudan, Uganda, Rwanda, Burundi, Tanzania, Zambia or Angola). Unless the context indicates otherwise, “West,” “we,” “us,” “its” and “our” refer to West Pharmaceutical Services, Inc. and its subsidiaries.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is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Supply Chain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relates to products: (i) for which 3TGs are necessary to the functionality or production of that product; (ii) that were manufactured, or contracted to be manufactured, by the Company; and (iii) for which the manufacture was completed during calendar year 2025. These products, which are referred to in this Report as the “Covered Products,” consist of those in our SmartDose ® On-Body Delivery System, which is designed for controlled, subcutaneous delivery of high-volume drugs with a range of viscosities. Our Covered Products contains electronic circuitry in the form of a printed circuit board assembly (“PCBA”) and a motor. West uses a contract manufacturer to produce the PCBA and an outside supplier for the motor.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2025, consistent with previous years, we determined that the only 3TGs that West sourced were columbite-tantalite (coltan), cassiterite, gold, wolframite or their derivatives (tantalum, tin and tungsten), which are necessary to the functionality or production of the Covered Products. Our supply chain with respect to the Covered Products is complex, and there are many third parties in the supply chain between the ultimate manufacturer of the Covered Products and the original sources of 3TGs. We do not purchase the 3TGs directly from mines, smelters or refiners. As a downstream company, West purchases the materials and components for the Covered Products from third parties. We do not have direct relationships with smelters or refiners that produce the 3TGs within our supply chain and do not control any mineral reserves. Thus, any 3TGs that are potentially present in any of our products would have originated solely from our purchases from third parties.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Conflict Minerals Program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West is committed to working within our global supply chain to help ensure compliance with the Rule. In 2025, we continued to develop our conflict minerals compliance program (“Program”) and follow the framework established by the Organization for Economic Cooperation and Development (“OECD”) as tailored for downstream companies.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Program endeavors to identify whether the 3TGs in our Covered Products originated in a Covered Country, the Democratic Republic of the Congo or an adjoining country (the Republic of the Congo, the Central African Republic, South Sudan, Uganda, Rwanda, Burundi, Tanzania, Zambia or Angola) (each, a “Covered Country,” and collectively, the “Covered Countries”), or whether any of the 3TGs in our Covered Products were from recycled or scrap sources. The Company relies on its suppliers to provide information regarding the origin of Conflict Minerals that are included in the Covered Products.</w:t>
      </w:r>
    </w:p>
    <w:p>
      <w:pPr>
        <w:pStyle w:val="TextBody"/>
        <w:bidi w:val="0"/>
        <w:spacing w:lineRule="auto" w:line="288" w:before="0" w:after="120"/>
        <w:jc w:val="left"/>
        <w:rPr/>
      </w:pPr>
      <w:r>
        <w:rPr>
          <w:rFonts w:ascii="Times New Roman;serif" w:hAnsi="Times New Roman;serif"/>
          <w:b w:val="false"/>
          <w:color w:val="000000"/>
          <w:sz w:val="20"/>
        </w:rPr>
        <w:t xml:space="preserve">In 2025, our Conflict Minerals Steering Committee (“Steering Committee”), consisting of members of our Strategic Sourcing, Legal, Finance, Global Supply Chain, Supplier Quality, Regulatory Affairs, Research and Development and Compliance groups, oversaw our due diligence process for determining the origination of the 3TGs in the Covered Products. We maintained the resources dedicated to our due diligence efforts and further disseminated our refreshed </w:t>
      </w:r>
      <w:r>
        <w:rPr>
          <w:rFonts w:ascii="Times New Roman;serif" w:hAnsi="Times New Roman;serif"/>
          <w:b w:val="false"/>
          <w:i/>
          <w:color w:val="000000"/>
          <w:sz w:val="20"/>
        </w:rPr>
        <w:t>Business Partner Code of Conduct</w:t>
      </w:r>
      <w:r>
        <w:rPr>
          <w:rFonts w:ascii="Times New Roman;serif" w:hAnsi="Times New Roman;serif"/>
          <w:b w:val="false"/>
          <w:color w:val="000000"/>
          <w:sz w:val="20"/>
        </w:rPr>
        <w:t xml:space="preserve">, which includes West’s position statement related to Conflict Minerals, and continued to include language related to conflict minerals in new supply agreements and questionnaires. West’s Business Partner Code of Conduct is a public document available on our website and does not constitute part of this document. We continued our efforts within the Covered Products’ supply chain to enhance the quality of the data provided to us.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Program is implemented by our Strategic Sourcing, Global Supply Chain and Regulatory Affairs groups, and our senior management is informed periodically of the progress.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Description of West’s Reasonable Country of Origin Inquiry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Once we determined that the only products for which West sourced 3TGs that are necessary to functionality or production are those included in the Covered Products, we conducted a reasonable country of origin inquiry (“RCOI”) regarding 3TGs. West believes this inquiry was reasonably designed to determine in good faith whether any of the 3TGs in the Covered Products originated in the Covered Countries or were from recycled or scrap sources.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conducting our RCOI for 2025, we first performed a supply chain survey of the direct suppliers and indirect suppliers of the Covered Products’ components to obtain information on the origin of 3TGs contained in the materials supplied to us. The supply chain survey for 2025 was administered by our Regulatory Affairs team. The survey requested general disclosures, the identification of any 3TGs contained in the supplier’s products and the origin of those minerals by employing the template developed by the Responsible Minerals Initiative (“RMI”), known as the Conflict Minerals Reporting Template (“CMRT”). Although 100% of suppliers still in operation responded to our survey, not all the information requested was provided to allow West to determine whether the components purchased in 2025 contain 3TGs sourced from the Covered Countries. As appropriate and in good faith, we followed up directly with suppliers to obtain additional information. All direct and indirect suppliers have responded and the responses received were deemed sufficient.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Due Diligence Process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Following our RCOI, we conducted a due diligence review of the source and chain of custody of the 3TGs contained in our Covered Products and the facilities’ Smelters or Refiners (“SORs”) in which they were processed. Our due diligence measures were designed to conform in all material respects with the framework in the OECD Due Diligence Guidance for Responsible Supply Chains of Minerals from Conflict-Affected and High-Risk Areas (“OECD Guidance”) and the related supplements for 3TGs.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this due diligence, we utilize established management systems to identify and reduce risk in our supply chain regarding conflict minerals. Our management systems include communication with and education of our suppliers, improved tracking mechanisms and increased employee instruction to raise awareness of our position on conflict minerals. These efforts help ensure the supply chain survey reaches all relevant suppliers and we received adequate responses. We evaluated the responses against criteria designed to identify those suppliers that warrant further investigation, including for example, untimely, inconsistent or incomplete responses, requests for confidentiality, missing or erroneous data, whether the supplier sources materials from the open market, was U.S. publicly held and the size of the supplier’s business. As appropriate, we followed up directly with suppliers, and in some cases, the suppliers of our suppliers, whose responses required additional information and received satisfactory responses.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a downstream purchaser of 3TGs, or components containing 3TGs, our diligence procedures can provide only reasonable, not absolute, assurance regarding the source and chain of custody of such materials. Our diligence processes are dependent on obtaining data from our direct and indirect suppliers who are themselves seeking similar information within their supply chains to identify the original sources of 3TGs. We also rely, to a large extent, on information collected and provided by third parties. Such sources of information may yield inaccurate or incomplete information and may be subject to fraud.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Conclusion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SmartDose ® On-Body Delivery System is subject to the reporting obligations of the Rule. After conducting a good faith RCOI and due diligence, we have concluded that, the Covered Products contains 3TGs that are necessary to their functionality or production, and based on the information provided to us by our suppliers related to most of the possible smelters in our supply chain, we have concluded that either (a) (i) the sources of the 3TGs contained in the Covered Products are certified conformant by RMI through its Responsible Minerals Assurance Process (“RMAP”) or (ii) are actively seeking conformance by RMAP, or (b) the 3TGs contained in the Covered Products are not sourced from the Covered Countries.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RMAP implements a risk-based audit program to verify that smelter and refinery efforts are demonstrating due diligence capable of producing responsibly sourced products. The audit program confirms that the smelter facility has participated in procedures that illustrate responsible purchasing and company management processes. All smelters provided by our suppliers have been identified, however, not all suppliers identified 100% of smelters in their supply chain nor have they all provided product specific CMRTs to allow West to determine whether the components purchased contain the 3TGs that are sourced from the Covered Countries.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West surveyed all direct and indirect suppliers of the components of our Covered Products and obtained adequate information from all suppliers. In total, the suppliers identified 251 smelters as possible sources for the 3TGs contained in our Covered Products. West conducted due diligence on these smelters to determine whether they are conformant under the RMAP assessment protocols of the RMI (“RMAP Conformant”) or actively seeking conformance. Smelters are considered actively seeking conformance if they have committed to undergo the RMAP audit. Of the 251, West identified 213 as RMAP Conformant and an additional 3 that are reported by RMI as actively seeking conformance.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West conducted additional due diligence on the remaining 35 smelters and determined that none were located in a Covered Country. Although the 35 smelters are not currently certified by a third party, 27 were listed as conformant during 2025, 5 were listed as active during 2025, and 3 that did not provide RMAP conformance certification.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Table 1 below represents, by mineral, the total number of SORs identified and the percentage that are RMAP conformant or are actively seeking RMAP conformance. See Appendix 1 for a list of these SORs by name.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Table 1. Smelters or Refiners RMAP conformant or are actively seeking RMAP conformance</w:t>
      </w:r>
    </w:p>
    <w:tbl>
      <w:tblPr>
        <w:tblW w:w="4981" w:type="dxa"/>
        <w:jc w:val="left"/>
        <w:tblInd w:w="0" w:type="dxa"/>
        <w:tblLayout w:type="fixed"/>
        <w:tblCellMar>
          <w:top w:w="28" w:type="dxa"/>
          <w:left w:w="28" w:type="dxa"/>
          <w:bottom w:w="28" w:type="dxa"/>
          <w:right w:w="28" w:type="dxa"/>
        </w:tblCellMar>
      </w:tblPr>
      <w:tblGrid>
        <w:gridCol w:w="348"/>
        <w:gridCol w:w="305"/>
        <w:gridCol w:w="308"/>
        <w:gridCol w:w="1177"/>
        <w:gridCol w:w="1177"/>
        <w:gridCol w:w="166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22" w:after="22"/>
              <w:jc w:val="left"/>
              <w:rPr>
                <w:rFonts w:ascii="Times New Roman;serif" w:hAnsi="Times New Roman;serif"/>
                <w:b/>
                <w:color w:val="000000"/>
                <w:sz w:val="20"/>
              </w:rPr>
            </w:pPr>
            <w:r>
              <w:rPr>
                <w:rFonts w:ascii="Times New Roman;serif" w:hAnsi="Times New Roman;serif"/>
                <w:b/>
                <w:color w:val="000000"/>
                <w:sz w:val="20"/>
              </w:rPr>
              <w:t>Gold</w:t>
            </w:r>
          </w:p>
        </w:tc>
        <w:tc>
          <w:tcPr>
            <w:tcW w:w="4020" w:type="dxa"/>
            <w:gridSpan w:val="3"/>
            <w:tcBorders>
              <w:top w:val="single" w:sz="6" w:space="0" w:color="000000"/>
              <w:right w:val="single" w:sz="6" w:space="0" w:color="000000"/>
            </w:tcBorders>
            <w:tcMar>
              <w:top w:w="30" w:type="dxa"/>
              <w:left w:w="0" w:type="dxa"/>
              <w:bottom w:w="0" w:type="dxa"/>
            </w:tcMar>
            <w:vAlign w:val="center"/>
          </w:tcPr>
          <w:p>
            <w:pPr>
              <w:pStyle w:val="TableContents"/>
              <w:bidi w:val="0"/>
              <w:spacing w:lineRule="auto" w:line="240" w:before="22" w:after="22"/>
              <w:jc w:val="right"/>
              <w:rPr>
                <w:color w:val="000000"/>
              </w:rPr>
            </w:pPr>
            <w:r>
              <w:rPr>
                <w:color w:val="000000"/>
              </w:rPr>
              <w:t>                                    </w:t>
            </w:r>
            <w:r>
              <w:rPr>
                <w:rFonts w:ascii="Times New Roman;serif" w:hAnsi="Times New Roman;serif"/>
                <w:b w:val="false"/>
                <w:color w:val="000000"/>
                <w:sz w:val="20"/>
              </w:rPr>
              <w:t>94 of 101 (93.07%)</w:t>
            </w:r>
          </w:p>
        </w:tc>
      </w:tr>
      <w:tr>
        <w:trPr/>
        <w:tc>
          <w:tcPr>
            <w:tcW w:w="961" w:type="dxa"/>
            <w:gridSpan w:val="3"/>
            <w:tcBorders>
              <w:left w:val="single" w:sz="6" w:space="0" w:color="000000"/>
            </w:tcBorders>
            <w:shd w:fill="C0C0C0" w:val="clear"/>
            <w:tcMar>
              <w:top w:w="0" w:type="dxa"/>
              <w:bottom w:w="0" w:type="dxa"/>
              <w:right w:w="0" w:type="dxa"/>
            </w:tcMar>
            <w:vAlign w:val="center"/>
          </w:tcPr>
          <w:p>
            <w:pPr>
              <w:pStyle w:val="TableContents"/>
              <w:bidi w:val="0"/>
              <w:spacing w:lineRule="auto" w:line="240" w:before="22" w:after="22"/>
              <w:jc w:val="left"/>
              <w:rPr>
                <w:rFonts w:ascii="Times New Roman;serif" w:hAnsi="Times New Roman;serif"/>
                <w:b/>
                <w:color w:val="000000"/>
                <w:sz w:val="20"/>
              </w:rPr>
            </w:pPr>
            <w:r>
              <w:rPr>
                <w:rFonts w:ascii="Times New Roman;serif" w:hAnsi="Times New Roman;serif"/>
                <w:b/>
                <w:color w:val="000000"/>
                <w:sz w:val="20"/>
              </w:rPr>
              <w:t>Tantalum</w:t>
            </w:r>
          </w:p>
        </w:tc>
        <w:tc>
          <w:tcPr>
            <w:tcW w:w="4020" w:type="dxa"/>
            <w:gridSpan w:val="3"/>
            <w:tcBorders>
              <w:right w:val="single" w:sz="6" w:space="0" w:color="000000"/>
            </w:tcBorders>
            <w:shd w:fill="C0C0C0" w:val="clear"/>
            <w:tcMar>
              <w:top w:w="0" w:type="dxa"/>
              <w:left w:w="0" w:type="dxa"/>
              <w:bottom w:w="0" w:type="dxa"/>
            </w:tcMar>
            <w:vAlign w:val="center"/>
          </w:tcPr>
          <w:p>
            <w:pPr>
              <w:pStyle w:val="TableContents"/>
              <w:bidi w:val="0"/>
              <w:spacing w:lineRule="auto" w:line="240" w:before="22" w:after="22"/>
              <w:jc w:val="right"/>
              <w:rPr>
                <w:color w:val="000000"/>
              </w:rPr>
            </w:pPr>
            <w:r>
              <w:rPr>
                <w:color w:val="000000"/>
              </w:rPr>
              <w:t>                                     </w:t>
            </w:r>
            <w:r>
              <w:rPr>
                <w:rFonts w:ascii="Times New Roman;serif" w:hAnsi="Times New Roman;serif"/>
                <w:b w:val="false"/>
                <w:color w:val="000000"/>
                <w:sz w:val="20"/>
              </w:rPr>
              <w:t>35 of 35 (100.00%)</w:t>
            </w:r>
          </w:p>
        </w:tc>
      </w:tr>
      <w:tr>
        <w:trPr/>
        <w:tc>
          <w:tcPr>
            <w:tcW w:w="961" w:type="dxa"/>
            <w:gridSpan w:val="3"/>
            <w:tcBorders>
              <w:left w:val="single" w:sz="6" w:space="0" w:color="000000"/>
            </w:tcBorders>
            <w:tcMar>
              <w:top w:w="0" w:type="dxa"/>
              <w:bottom w:w="0" w:type="dxa"/>
              <w:right w:w="0" w:type="dxa"/>
            </w:tcMar>
            <w:vAlign w:val="center"/>
          </w:tcPr>
          <w:p>
            <w:pPr>
              <w:pStyle w:val="TableContents"/>
              <w:bidi w:val="0"/>
              <w:spacing w:lineRule="auto" w:line="240" w:before="22" w:after="22"/>
              <w:jc w:val="left"/>
              <w:rPr>
                <w:rFonts w:ascii="Times New Roman;serif" w:hAnsi="Times New Roman;serif"/>
                <w:b/>
                <w:color w:val="000000"/>
                <w:sz w:val="20"/>
              </w:rPr>
            </w:pPr>
            <w:r>
              <w:rPr>
                <w:rFonts w:ascii="Times New Roman;serif" w:hAnsi="Times New Roman;serif"/>
                <w:b/>
                <w:color w:val="000000"/>
                <w:sz w:val="20"/>
              </w:rPr>
              <w:t>Tin</w:t>
            </w:r>
          </w:p>
        </w:tc>
        <w:tc>
          <w:tcPr>
            <w:tcW w:w="4020" w:type="dxa"/>
            <w:gridSpan w:val="3"/>
            <w:tcBorders>
              <w:right w:val="single" w:sz="6" w:space="0" w:color="000000"/>
            </w:tcBorders>
            <w:tcMar>
              <w:top w:w="0" w:type="dxa"/>
              <w:left w:w="0" w:type="dxa"/>
              <w:bottom w:w="0" w:type="dxa"/>
            </w:tcMar>
            <w:vAlign w:val="center"/>
          </w:tcPr>
          <w:p>
            <w:pPr>
              <w:pStyle w:val="TableContents"/>
              <w:bidi w:val="0"/>
              <w:spacing w:lineRule="auto" w:line="240" w:before="22" w:after="22"/>
              <w:jc w:val="right"/>
              <w:rPr>
                <w:color w:val="000000"/>
              </w:rPr>
            </w:pPr>
            <w:r>
              <w:rPr>
                <w:color w:val="000000"/>
              </w:rPr>
              <w:t>                                       </w:t>
            </w:r>
            <w:r>
              <w:rPr>
                <w:rFonts w:ascii="Times New Roman;serif" w:hAnsi="Times New Roman;serif"/>
                <w:b w:val="false"/>
                <w:color w:val="000000"/>
                <w:sz w:val="20"/>
              </w:rPr>
              <w:t>55 of 80 (68.75%)</w:t>
            </w:r>
          </w:p>
        </w:tc>
      </w:tr>
      <w:tr>
        <w:trPr/>
        <w:tc>
          <w:tcPr>
            <w:tcW w:w="961" w:type="dxa"/>
            <w:gridSpan w:val="3"/>
            <w:tcBorders>
              <w:left w:val="single" w:sz="6" w:space="0" w:color="000000"/>
            </w:tcBorders>
            <w:shd w:fill="C0C0C0" w:val="clear"/>
            <w:tcMar>
              <w:top w:w="0" w:type="dxa"/>
              <w:bottom w:w="0" w:type="dxa"/>
              <w:right w:w="0" w:type="dxa"/>
            </w:tcMar>
            <w:vAlign w:val="center"/>
          </w:tcPr>
          <w:p>
            <w:pPr>
              <w:pStyle w:val="TableContents"/>
              <w:bidi w:val="0"/>
              <w:spacing w:lineRule="auto" w:line="240" w:before="22" w:after="22"/>
              <w:jc w:val="left"/>
              <w:rPr>
                <w:rFonts w:ascii="Times New Roman;serif" w:hAnsi="Times New Roman;serif"/>
                <w:b/>
                <w:color w:val="000000"/>
                <w:sz w:val="20"/>
              </w:rPr>
            </w:pPr>
            <w:r>
              <w:rPr>
                <w:rFonts w:ascii="Times New Roman;serif" w:hAnsi="Times New Roman;serif"/>
                <w:b/>
                <w:color w:val="000000"/>
                <w:sz w:val="20"/>
              </w:rPr>
              <w:t>Tungsten</w:t>
            </w:r>
          </w:p>
        </w:tc>
        <w:tc>
          <w:tcPr>
            <w:tcW w:w="4020" w:type="dxa"/>
            <w:gridSpan w:val="3"/>
            <w:tcBorders>
              <w:right w:val="single" w:sz="6" w:space="0" w:color="000000"/>
            </w:tcBorders>
            <w:shd w:fill="C0C0C0" w:val="clear"/>
            <w:tcMar>
              <w:top w:w="0" w:type="dxa"/>
              <w:left w:w="0" w:type="dxa"/>
              <w:bottom w:w="0" w:type="dxa"/>
            </w:tcMar>
            <w:vAlign w:val="center"/>
          </w:tcPr>
          <w:p>
            <w:pPr>
              <w:pStyle w:val="TableContents"/>
              <w:bidi w:val="0"/>
              <w:spacing w:lineRule="auto" w:line="240" w:before="22" w:after="22"/>
              <w:jc w:val="right"/>
              <w:rPr>
                <w:color w:val="000000"/>
              </w:rPr>
            </w:pPr>
            <w:r>
              <w:rPr>
                <w:color w:val="000000"/>
              </w:rPr>
              <w:t>                                        </w:t>
            </w:r>
            <w:r>
              <w:rPr>
                <w:rFonts w:ascii="Times New Roman;serif" w:hAnsi="Times New Roman;serif"/>
                <w:b w:val="false"/>
                <w:color w:val="000000"/>
                <w:sz w:val="20"/>
              </w:rPr>
              <w:t>32 of 35 (91.43%)</w:t>
            </w:r>
          </w:p>
        </w:tc>
      </w:tr>
      <w:tr>
        <w:trPr/>
        <w:tc>
          <w:tcPr>
            <w:tcW w:w="9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22" w:after="22"/>
              <w:jc w:val="left"/>
              <w:rPr>
                <w:rFonts w:ascii="Times New Roman;serif" w:hAnsi="Times New Roman;serif"/>
                <w:b/>
                <w:color w:val="000000"/>
                <w:sz w:val="20"/>
              </w:rPr>
            </w:pPr>
            <w:r>
              <w:rPr>
                <w:rFonts w:ascii="Times New Roman;serif" w:hAnsi="Times New Roman;serif"/>
                <w:b/>
                <w:color w:val="000000"/>
                <w:sz w:val="20"/>
              </w:rPr>
              <w:t>Total</w:t>
            </w:r>
          </w:p>
        </w:tc>
        <w:tc>
          <w:tcPr>
            <w:tcW w:w="4020" w:type="dxa"/>
            <w:gridSpan w:val="3"/>
            <w:tcBorders>
              <w:top w:val="single" w:sz="6" w:space="0" w:color="000000"/>
              <w:bottom w:val="single" w:sz="6" w:space="0" w:color="000000"/>
              <w:right w:val="single" w:sz="6" w:space="0" w:color="000000"/>
            </w:tcBorders>
            <w:tcMar>
              <w:top w:w="30" w:type="dxa"/>
              <w:left w:w="0" w:type="dxa"/>
              <w:bottom w:w="30" w:type="dxa"/>
            </w:tcMar>
            <w:vAlign w:val="center"/>
          </w:tcPr>
          <w:p>
            <w:pPr>
              <w:pStyle w:val="TableContents"/>
              <w:bidi w:val="0"/>
              <w:spacing w:lineRule="auto" w:line="240" w:before="22" w:after="22"/>
              <w:jc w:val="right"/>
              <w:rPr>
                <w:color w:val="000000"/>
              </w:rPr>
            </w:pPr>
            <w:r>
              <w:rPr>
                <w:color w:val="000000"/>
              </w:rPr>
              <w:t>                                    </w:t>
            </w:r>
            <w:r>
              <w:rPr>
                <w:rFonts w:ascii="Times New Roman;serif" w:hAnsi="Times New Roman;serif"/>
                <w:b w:val="false"/>
                <w:color w:val="000000"/>
                <w:sz w:val="20"/>
              </w:rPr>
              <w:t>216 of 251 (86.06%)</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 Mitigation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Since December 31, 2024, West has taken the following steps to help mitigate the risk that the 3TGs in our Covered Products could benefit armed groups in the Covered Countries: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 xml:space="preserve">Our direct and indirect materials supplier screening process continued the collection of information regarding 3TGs from potential new and current suppliers of products or components. As part of this process, we continued to provide information and clarity to suppliers where necessary to enhance their understanding and responses. </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We invested more time and resources in our process, and the Steering Committee continued to meet regularly to: (i) ensure the management systems are adequate; (ii) review the status of the RCOI and due diligence process; (iii) discuss what actions West should take to help mitigate risk; and (iv) report the status of West’s Conflict Minerals program to senior management periodically.</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We continued to educate our direct suppliers on the importance of the RCOI process and our Company’s expectations through direct communication. We further refined our direct supplier surveys and due diligence with a comprehensive escalation process that resulted in a 100% supplier survey response rate of those suppliers that are still operating. These efforts help ensure the supply chain survey reached all relevant suppliers and supplier’s responses were received. We evaluated the responses against criteria designed to identify those suppliers that warranted further investigation, including for example, untimely, inconsistent or incomplete responses, requests for confidentiality, missing or erroneous data, whether the supplier sources materials from the open market, was a U.S. publicly-held company, and the size of the supplier’s business. As appropriate, we followed up directly with suppliers, and in some cases, the suppliers of our suppliers, whose answers required us to obtain additional information. We have also followed up with all suppliers who indicated they may source 3TG material in efforts to further educate them regarding West's position on conflict minerals.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 xml:space="preserve">We maintained direct avenues of communication and access to our </w:t>
      </w:r>
      <w:r>
        <w:rPr>
          <w:rFonts w:ascii="Times New Roman;serif" w:hAnsi="Times New Roman;serif"/>
          <w:b w:val="false"/>
          <w:i/>
          <w:color w:val="000000"/>
          <w:sz w:val="20"/>
        </w:rPr>
        <w:t>Integrity Helpline</w:t>
      </w:r>
      <w:r>
        <w:rPr>
          <w:color w:val="000000"/>
        </w:rPr>
        <w:t xml:space="preserve"> </w:t>
      </w:r>
      <w:r>
        <w:rPr>
          <w:rFonts w:ascii="Times New Roman;serif" w:hAnsi="Times New Roman;serif"/>
          <w:b w:val="false"/>
          <w:color w:val="000000"/>
          <w:sz w:val="20"/>
        </w:rPr>
        <w:t xml:space="preserve">on our external website so individuals can raise matters of concern about how we are conducting our business (www.west-helpline.com or 1-833-761-7734). In addition to the </w:t>
      </w:r>
      <w:r>
        <w:rPr>
          <w:rFonts w:ascii="Times New Roman;serif" w:hAnsi="Times New Roman;serif"/>
          <w:b w:val="false"/>
          <w:i/>
          <w:color w:val="000000"/>
          <w:sz w:val="20"/>
        </w:rPr>
        <w:t>Helpline</w:t>
      </w:r>
      <w:r>
        <w:rPr>
          <w:rFonts w:ascii="Times New Roman;serif" w:hAnsi="Times New Roman;serif"/>
          <w:b w:val="false"/>
          <w:color w:val="000000"/>
          <w:sz w:val="20"/>
        </w:rPr>
        <w:t xml:space="preserve">, we provide a direct email address through which suppliers and others may direct questions to our Steering Committee about our Program.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APPENDIX 1</w:t>
      </w:r>
    </w:p>
    <w:p>
      <w:pPr>
        <w:pStyle w:val="TextBody"/>
        <w:bidi w:val="0"/>
        <w:spacing w:lineRule="auto" w:line="288" w:before="0" w:after="120"/>
        <w:jc w:val="center"/>
        <w:rPr/>
      </w:pPr>
      <w:r>
        <w:rPr>
          <w:rFonts w:ascii="Times New Roman;serif" w:hAnsi="Times New Roman;serif"/>
          <w:b/>
          <w:color w:val="000000"/>
          <w:sz w:val="20"/>
        </w:rPr>
        <w:t>Smelters or Refiners RMAP conformant or are actively seeking RMAP conformance</w:t>
      </w:r>
      <w:r>
        <w:rPr>
          <w:rFonts w:ascii="Times New Roman;serif" w:hAnsi="Times New Roman;serif"/>
          <w:b/>
          <w:color w:val="000000"/>
          <w:sz w:val="13"/>
        </w:rPr>
        <w:t>1</w:t>
      </w:r>
    </w:p>
    <w:tbl>
      <w:tblPr>
        <w:tblW w:w="10018" w:type="dxa"/>
        <w:jc w:val="center"/>
        <w:tblInd w:w="0" w:type="dxa"/>
        <w:tblLayout w:type="fixed"/>
        <w:tblCellMar>
          <w:top w:w="28" w:type="dxa"/>
          <w:left w:w="28" w:type="dxa"/>
          <w:bottom w:w="28" w:type="dxa"/>
          <w:right w:w="28" w:type="dxa"/>
        </w:tblCellMar>
      </w:tblPr>
      <w:tblGrid>
        <w:gridCol w:w="381"/>
        <w:gridCol w:w="334"/>
        <w:gridCol w:w="336"/>
        <w:gridCol w:w="1813"/>
        <w:gridCol w:w="1813"/>
        <w:gridCol w:w="1819"/>
        <w:gridCol w:w="1049"/>
        <w:gridCol w:w="1049"/>
        <w:gridCol w:w="1052"/>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MINERAL</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SMELTER OR REFINER NAME</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COUNTRY LOCATION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Abington Reldan Metals, LLC</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Advanced Chemical Company</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Agosi AG</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Aida Chemical Industries Co., Ltd.</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Almalyk Mining and Metallurgical Complex (AMMC)</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UZBEKISTAN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AngloGold Ashanti Córrego do Sítio Mineracăo</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Argor-Heraeus S.A.</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ASAHI METALFINE, Inc.</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Asahi Refining Canada Ltd.</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Asahi Refining USA Inc.</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Asaka Riken Co., Ltd.</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Aurubis AG, Hamburg</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Bangalore Refinery</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Bangko Sentral ng Pilipinas (Central Bank of the Philippines)</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Boliden Mineral AB (Ronnskar)</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 Hafner GmbH + Co. KG</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Chimet S.p.A.</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Chugai Mining</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Coimpa Industrial LTDA</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Dowa</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DSC (Do Sung Corporation)</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KOREA, REPUBLIC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Eco-System Recycling Co., Ltd. East Plant</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Eco-System Recycling Co., Ltd. North Plant</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Eco-System Recycling Co., Ltd. West Plant</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Elite Industech Co. Ltd.</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GG Refinery Ltd.</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TANZANIA, UNITED REPUBLIC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Glencore Canada Corporation – CCR Refinery</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 by Gold Colombia</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COLOMBIA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 Corporation – The Perth Mint</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Heimerle + Meule GmbH</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Heraeus Germany GmbH Co. KG</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Heraeus Metals Hong Kong Ltd.</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Impala Platinum - Base Metal Refinery (BMR)</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Impala Platinum – Platinum Metals Refinery (PMR)</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Impala Platinum – Rustenburg Smelter</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Inner Mongolia Qiankun Gold and Silver Refinery Share Co., Ltd.</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Ishifuku Metal Industry Co., Ltd.</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Istanbul Gold Refinery</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TURKEY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Italpreziosi</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 Mint</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Jiangxi Copper Co., Ltd.</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4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JX Advanced Metals Corporation</w:t>
            </w:r>
          </w:p>
        </w:tc>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This list includes SORs that are RMAP Conformant or actively seeking RMAP conformance. SORs actively seeking conformance are designated with an asterisk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027" w:type="dxa"/>
        <w:jc w:val="center"/>
        <w:tblInd w:w="0" w:type="dxa"/>
        <w:tblLayout w:type="fixed"/>
        <w:tblCellMar>
          <w:top w:w="28" w:type="dxa"/>
          <w:left w:w="28" w:type="dxa"/>
          <w:bottom w:w="28" w:type="dxa"/>
          <w:right w:w="28" w:type="dxa"/>
        </w:tblCellMar>
      </w:tblPr>
      <w:tblGrid>
        <w:gridCol w:w="190"/>
        <w:gridCol w:w="167"/>
        <w:gridCol w:w="169"/>
        <w:gridCol w:w="1752"/>
        <w:gridCol w:w="1752"/>
        <w:gridCol w:w="1776"/>
        <w:gridCol w:w="949"/>
        <w:gridCol w:w="949"/>
        <w:gridCol w:w="951"/>
        <w:gridCol w:w="109"/>
        <w:gridCol w:w="109"/>
        <w:gridCol w:w="15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Kazzinc</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KAZAKHSTAN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Kennecott Utah Copper LLC</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KGHM Polska Miedz Spolka Akcyjna</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POLAND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Kojima Chemicals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Korea Zinc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KOREA, REPUBLIC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LS MnM Inc.</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KOREA, REPUBLIC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LT Metal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KOREA, REPUBLIC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Materion</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Matsuda Sangyo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Metal Concentrators SA (Pty)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Metalor Technologies (Hong Kong)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Metalor Technologies (Singapore) Pte.,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Metalor Technologies (Suzhou)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Metalor Technologies S.A.</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Metalor USA Refining Corporation</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Metalurgica Met-Mex Penoles S.A. De C.V.</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Mitsubishi Materials Corporation</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Mitsui Mining and Smelting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MKS PAMP SA</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MMTC-PAMP India Pvt.,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Nadir Metal Rafineri San. Ve Tic. A.Ş.</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TURKEY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Navoi Mining and Metallurgical Combinat</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UZBEKISTAN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NH Recytech Company</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KOREA, REPUBLIC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Nihon Material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Ögussa Österreichische Gold- und Silber Scheideanstalt GmbH*</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Ohura Precious Metal Industry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Planta Recuperadora de Metales SpA</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Aneka Tambang (Persero) Tbk</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PX Précinox S.A.</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Rand Refinery (Pty)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SOUTH AFRICA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REMONDIS PMR B.V.</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Royal Canadian Mint</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SAFINA A.S.</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CZECHIA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SEMPSA Joyería Platería S.A.</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Shandong Gold Smelting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Shandong Zhaojin Gold &amp; Silver Refinery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Sichuan Tianze Precious Metals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Solar Applied Materials Technology Corp.</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Sumitomo Metal Mining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SungEel HiMetal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KOREA, REPUBLIC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T.C.A S.p.A</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Tanaka Kikinzoku Kogyo K.K.</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Tokuriki Honten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TOO Tau-Ken-Altyn</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KAZAKHSTAN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Umicore S.A. Business Unit Precious Metals Refining</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Precious Metal Refining, Inc.</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Valcambi S.A.</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WIELAND Edelmetalle GmbH</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Yamakin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Yokohama Metal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5"/>
        <w:gridCol w:w="286"/>
        <w:gridCol w:w="290"/>
        <w:gridCol w:w="1999"/>
        <w:gridCol w:w="1907"/>
        <w:gridCol w:w="1914"/>
        <w:gridCol w:w="1108"/>
        <w:gridCol w:w="1001"/>
        <w:gridCol w:w="1000"/>
        <w:gridCol w:w="109"/>
        <w:gridCol w:w="109"/>
        <w:gridCol w:w="157"/>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Zhongyuan Gold Smelter of Zhongjin Gold Corporation</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Zijin Mining Group Gold Smelting Co., Ltd. </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AMG Brasil</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Changsha South Tantalum Niobium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 Block Metals, LLC</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F&amp;X Electro-Materials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FIR Metals &amp; Resource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Global Advanced Metals Aizu</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Global Advanced Metals Boyertown</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Guangdong Rising Rare Metals- EO Materials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Hengyang King Xing Lifeng New Materials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Jiangxi Dinghai Tantalum &amp; Niobium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Jiangxi Tuohong New Raw Material</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JiuJiang JinXin Nonferrous Metals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Jiujiang Tanbre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Jiujiang Zhongao Tantalum &amp; Niobium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KEMET de Mexico</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Materion Newton Inc.</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Metallurgical Products India Pvt.,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Mineraco Taboca S.A.</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Mitsui Kinzoku Company, Limited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Ningxia Orient Tantalum Industry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NPM Silmet AS</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ESTONIA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PowerX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RWANDA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QuantumClean</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Resind Industria e Comercio Ltda.</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RFH Yancheng Jinye New Material Technology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Taki Chemical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TANIOBIS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TANIOBIS GmbH</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TANIOBIS Japan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TANIOBIS Smelting GmbH &amp; Co. KG</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Telex Metals</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Ulba Metallurgical Plant JSC</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KAZAKHSTAN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XIMEI RESOURCES (GUANGDONG) LIMITED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XinXing HaoRong Electronic Material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Yanling Jincheng Tantalum &amp; Niobium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Alpha Assembly Solutions Inc</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Aurubis Beerse</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BELGIUM</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Aurubis Berango</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Chenzhou Yunxiang Mining and Metallurgy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Chifeng Dajingzi Tin Industry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 Tin Group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CRM Fundicao De Metais E Comercio De Equipamentos Eletronicos Do Brasil Ltda*</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CRM Synergies EMEA, S.L.U.</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CV Ayi Jaya</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Dongguan Best Alloys Co., Ltd.</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Dowa</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 Vinto</w:t>
            </w:r>
          </w:p>
        </w:tc>
        <w:tc>
          <w:tcPr>
            <w:tcW w:w="31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BOLIVIA (PLURINATIONAL STATE OF)</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0"/>
        <w:gridCol w:w="281"/>
        <w:gridCol w:w="285"/>
        <w:gridCol w:w="2049"/>
        <w:gridCol w:w="1904"/>
        <w:gridCol w:w="1908"/>
        <w:gridCol w:w="1143"/>
        <w:gridCol w:w="961"/>
        <w:gridCol w:w="979"/>
        <w:gridCol w:w="109"/>
        <w:gridCol w:w="109"/>
        <w:gridCol w:w="15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Estanho de Rondonia S.A. </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Fabrica Auricchio Industria e Comercio Ltda.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Feinhutte Halsbrucke GmbH</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Fenix Metals</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POLAND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Gejiu Non-Ferrous Metal Processing Co.,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Global Advanced Metals Greenbushes Pty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Guangdong Hanhe Non-Ferrous Metal Co.,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HuiChang Hill Tin Industry Co.,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Luna Smelter,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RWANDA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Magnu's Minerais Metais e Ligas Ltda.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Malaysia Smelting Corporation Berhad (Port Klang)</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Metallic Resources, Inc.</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Mineração Taboca S.A.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Mining Minerals Resources SARL</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CONGO, DEMOCRATIC REPUBLIC OF THE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Minsur</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PERU</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Mitsubishi Materials Corporation</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O.M. Manufacturing (Thailand) Co.,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O.M. Manufacturing Philippines, Inc.</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Operaciones Metalurgicas S.A.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BOLIVIA (PLURINATIONAL STATE OF)</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Arsed Indonesia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Artha Cipta Langgeng*</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ATD Makmur Mandiri Jaya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Bangka Prima Tin</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Cipta Persada Mulia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Mitra Stania Prima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Mitra Sukses Globalindo</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Premium Tin Indonesia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Prima Timah Utama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Putera Sarana Shakti (PT PSS)</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Rajehan Ariq</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Timah Tbk Kundur</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PT Timah Tbk Mentok</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INDONESIA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Resind Industria e Comercio Ltda.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Rui Da Hung</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Soft Metais Ltda.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Super Ligas</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Takehara PVD Materials Plant / PVD Materials Division of MITSUI MINING &amp; SMELTING CO.,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Thaisarco</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THAILAND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 Smelting Branch of Yunnan Tin Co.,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 Technology &amp; Refining</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White Solder Metalurgia e Mineração Ltda.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Woodcross Smelting Company Limited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UGANDA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Yunnan Yunfan Non-ferrous Metals Co.,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A.L.M.T. Corp.</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Asia Tungsten Products Vietnam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 Molybdenum Tungsten Co.,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Chongyi Zhangyuan Tungsten Co., Ltd.</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86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Cronimet Brasil Ltda</w:t>
            </w:r>
          </w:p>
        </w:tc>
        <w:tc>
          <w:tcPr>
            <w:tcW w:w="30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32" w:type="dxa"/>
        <w:jc w:val="center"/>
        <w:tblInd w:w="0" w:type="dxa"/>
        <w:tblLayout w:type="fixed"/>
        <w:tblCellMar>
          <w:top w:w="28" w:type="dxa"/>
          <w:left w:w="28" w:type="dxa"/>
          <w:bottom w:w="28" w:type="dxa"/>
          <w:right w:w="28" w:type="dxa"/>
        </w:tblCellMar>
      </w:tblPr>
      <w:tblGrid>
        <w:gridCol w:w="321"/>
        <w:gridCol w:w="282"/>
        <w:gridCol w:w="283"/>
        <w:gridCol w:w="1774"/>
        <w:gridCol w:w="1774"/>
        <w:gridCol w:w="1777"/>
        <w:gridCol w:w="946"/>
        <w:gridCol w:w="946"/>
        <w:gridCol w:w="957"/>
        <w:gridCol w:w="109"/>
        <w:gridCol w:w="109"/>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Ganzhou Jiangwu Ferrotungsten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Ganzhou Seadragon W &amp; Mo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Global Tungsten &amp; Powders LLC</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Guangdong Xianglu Tungsten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H.C. Starck Tungsten GmbH</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Hubei Green Tungsten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 New Metals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Jiangwu H.C. Starck Tungsten Products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Jiangxi Gan Bei Tungsten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Jiangxi Tonggu Non-ferrous Metallurgical &amp; Chemical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Jiangxi Xinsheng Tungsten Industry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Jiangxi Yaosheng Tungsten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KENEE MINING VIETNAM COMPANY LIMITED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Kennametal Fallon</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Kennametal Huntsville</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Lianyou Metals Co., Ltd. </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Lianyou Resources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TAIWAN, PROVINCE OF 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Malipo Haiyu Tungsten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Masan High-Tech Materials</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Niagara Refining LLC</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Philippine Chuangxin Industrial Co., Inc.</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Shinwon Tungsten (Fujian Shanghang)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TANIOBIS Smelting GmbH &amp; Co. KG</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 Vietnam Joint Stock Company</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VIET NAM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Wolfram Bergbau und Hutten AG</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AUSTRIA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Xiamen Tungsten (H.C.)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3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Xiamen Tungsten Co., Ltd.</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4403</Words>
  <Characters>25011</Characters>
  <CharactersWithSpaces>28923</CharactersWithSpaces>
  <Paragraphs>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