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3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80" w:hanging="330"/>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or</w:t>
      </w:r>
    </w:p>
    <w:p>
      <w:pPr>
        <w:spacing w:after="0" w:line="41" w:lineRule="exact"/>
        <w:rPr>
          <w:sz w:val="24"/>
          <w:szCs w:val="24"/>
          <w:color w:val="auto"/>
        </w:rPr>
      </w:pPr>
    </w:p>
    <w:p>
      <w:pPr>
        <w:ind w:left="4340" w:right="1500" w:hanging="4190"/>
        <w:spacing w:after="0" w:line="360" w:lineRule="auto"/>
        <w:tabs>
          <w:tab w:leader="none" w:pos="47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1-8036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19685</wp:posOffset>
            </wp:positionV>
            <wp:extent cx="172275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2275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WEST PHARMACEUTICAL SERVICES, INC.</w:t>
      </w:r>
    </w:p>
    <w:p>
      <w:pPr>
        <w:spacing w:after="0" w:line="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3"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536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40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23-1210010</w:t>
            </w:r>
          </w:p>
        </w:tc>
      </w:tr>
      <w:tr>
        <w:trPr>
          <w:trHeight w:val="24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402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05"/>
        </w:trPr>
        <w:tc>
          <w:tcPr>
            <w:tcW w:w="5360" w:type="dxa"/>
            <w:vAlign w:val="bottom"/>
          </w:tcPr>
          <w:p>
            <w:pPr>
              <w:jc w:val="center"/>
              <w:ind w:right="1030"/>
              <w:spacing w:after="0"/>
              <w:rPr>
                <w:sz w:val="20"/>
                <w:szCs w:val="20"/>
                <w:color w:val="auto"/>
              </w:rPr>
            </w:pPr>
            <w:r>
              <w:rPr>
                <w:rFonts w:ascii="Times New Roman" w:cs="Times New Roman" w:eastAsia="Times New Roman" w:hAnsi="Times New Roman"/>
                <w:sz w:val="18"/>
                <w:szCs w:val="18"/>
                <w:b w:val="1"/>
                <w:bCs w:val="1"/>
                <w:color w:val="auto"/>
                <w:w w:val="99"/>
              </w:rPr>
              <w:t>530 Herman O. West Drive, Exton, PA</w:t>
            </w:r>
          </w:p>
        </w:tc>
        <w:tc>
          <w:tcPr>
            <w:tcW w:w="4020" w:type="dxa"/>
            <w:vAlign w:val="bottom"/>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19341-1147</w:t>
            </w:r>
          </w:p>
        </w:tc>
      </w:tr>
      <w:tr>
        <w:trPr>
          <w:trHeight w:val="243"/>
        </w:trPr>
        <w:tc>
          <w:tcPr>
            <w:tcW w:w="53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2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20"/>
          </w:cols>
          <w:pgMar w:left="320" w:top="1296" w:right="459" w:bottom="1440" w:gutter="0" w:footer="0" w:header="0"/>
        </w:sectPr>
      </w:pPr>
    </w:p>
    <w:p>
      <w:pPr>
        <w:spacing w:after="0" w:line="5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51" w:lineRule="exact"/>
        <w:rPr>
          <w:sz w:val="24"/>
          <w:szCs w:val="24"/>
          <w:color w:val="auto"/>
        </w:rPr>
      </w:pPr>
    </w:p>
    <w:p>
      <w:pPr>
        <w:sectPr>
          <w:pgSz w:w="11900" w:h="16838" w:orient="portrait"/>
          <w:cols w:equalWidth="0" w:num="3">
            <w:col w:w="4280" w:space="720"/>
            <w:col w:w="1540" w:space="720"/>
            <w:col w:w="3860"/>
          </w:cols>
          <w:pgMar w:left="320" w:top="1296" w:right="45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Common Stock, par value $0.25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WST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4720" w:space="720"/>
            <w:col w:w="1800" w:space="720"/>
            <w:col w:w="3160"/>
          </w:cols>
          <w:pgMar w:left="320" w:top="1296" w:right="459" w:bottom="1440" w:gutter="0" w:footer="0" w:header="0"/>
          <w:type w:val="continuous"/>
        </w:sectPr>
      </w:pPr>
    </w:p>
    <w:p>
      <w:pPr>
        <w:spacing w:after="0" w:line="12" w:lineRule="exact"/>
        <w:rPr>
          <w:sz w:val="24"/>
          <w:szCs w:val="24"/>
          <w:color w:val="auto"/>
        </w:rPr>
      </w:pPr>
    </w:p>
    <w:p>
      <w:pPr>
        <w:ind w:right="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8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4"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9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3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3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68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4"/>
          <w:szCs w:val="24"/>
          <w:color w:val="auto"/>
        </w:rPr>
      </w:pPr>
    </w:p>
    <w:p>
      <w:pPr>
        <w:ind w:right="1460"/>
        <w:spacing w:after="0" w:line="219" w:lineRule="exact"/>
        <w:rPr>
          <w:sz w:val="20"/>
          <w:szCs w:val="20"/>
          <w:color w:val="auto"/>
        </w:rPr>
      </w:pPr>
      <w:r>
        <w:rPr>
          <w:rFonts w:ascii="Times New Roman" w:cs="Times New Roman" w:eastAsia="Times New Roman" w:hAnsi="Times New Roman"/>
          <w:sz w:val="18"/>
          <w:szCs w:val="18"/>
          <w:color w:val="auto"/>
        </w:rPr>
        <w:t xml:space="preserve">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whether the registrant is a shell company (as defined in Rule 12b-2 of the Exchange Act).</w:t>
      </w:r>
    </w:p>
    <w:p>
      <w:pPr>
        <w:spacing w:after="0" w:line="1" w:lineRule="exact"/>
        <w:rPr>
          <w:sz w:val="24"/>
          <w:szCs w:val="24"/>
          <w:color w:val="auto"/>
        </w:rPr>
      </w:pPr>
    </w:p>
    <w:p>
      <w:pPr>
        <w:ind w:left="77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21, 2026, there were 69,661,036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96" w:right="4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2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23"/>
        </w:trPr>
        <w:tc>
          <w:tcPr>
            <w:tcW w:w="30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6940" w:type="dxa"/>
            <w:vAlign w:val="bottom"/>
            <w:gridSpan w:val="18"/>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STATEMENTS (UNAUDITED)</w:t>
            </w:r>
          </w:p>
        </w:tc>
        <w:tc>
          <w:tcPr>
            <w:tcW w:w="3920" w:type="dxa"/>
            <w:vAlign w:val="bottom"/>
            <w:gridSpan w:val="8"/>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Income for the Three and Nine Months ended</w:t>
            </w:r>
          </w:p>
        </w:tc>
        <w:tc>
          <w:tcPr>
            <w:tcW w:w="420" w:type="dxa"/>
            <w:vAlign w:val="bottom"/>
            <w:gridSpan w:val="2"/>
            <w:vMerge w:val="restart"/>
          </w:tcPr>
          <w:p>
            <w:pPr>
              <w:spacing w:after="0"/>
              <w:rPr>
                <w:sz w:val="19"/>
                <w:szCs w:val="19"/>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24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September 30, 2026 and 2025</w:t>
            </w:r>
          </w:p>
        </w:tc>
        <w:tc>
          <w:tcPr>
            <w:tcW w:w="4300" w:type="dxa"/>
            <w:vAlign w:val="bottom"/>
            <w:tcBorders>
              <w:top w:val="single" w:sz="8" w:color="0000FF"/>
            </w:tcBorders>
            <w:gridSpan w:val="8"/>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gridSpan w:val="2"/>
            <w:vMerge w:val="continue"/>
          </w:tcPr>
          <w:p>
            <w:pPr>
              <w:spacing w:after="0"/>
              <w:rPr>
                <w:sz w:val="15"/>
                <w:szCs w:val="15"/>
                <w:color w:val="auto"/>
              </w:rPr>
            </w:pPr>
          </w:p>
        </w:tc>
        <w:tc>
          <w:tcPr>
            <w:tcW w:w="100" w:type="dxa"/>
            <w:vAlign w:val="bottom"/>
            <w:tcBorders>
              <w:bottom w:val="single" w:sz="8" w:color="0000FF"/>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Comprehensive Income for the Three and Nine</w:t>
            </w:r>
          </w:p>
        </w:tc>
        <w:tc>
          <w:tcPr>
            <w:tcW w:w="420" w:type="dxa"/>
            <w:vAlign w:val="bottom"/>
            <w:gridSpan w:val="2"/>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220" w:type="dxa"/>
            <w:vAlign w:val="bottom"/>
            <w:tcBorders>
              <w:top w:val="single" w:sz="8" w:color="0000FF"/>
              <w:bottom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Months ended September 30, 2026 and 2025</w:t>
            </w:r>
          </w:p>
        </w:tc>
        <w:tc>
          <w:tcPr>
            <w:tcW w:w="2440" w:type="dxa"/>
            <w:vAlign w:val="bottom"/>
            <w:tcBorders>
              <w:top w:val="single" w:sz="8" w:color="0000FF"/>
            </w:tcBorders>
            <w:gridSpan w:val="4"/>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Balance Sheets at September 30, 2026 and December 31, 2025</w:t>
            </w:r>
          </w:p>
        </w:tc>
        <w:tc>
          <w:tcPr>
            <w:tcW w:w="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0000FF"/>
              </w:rPr>
              <w:t>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Condensed Consolidated Statements of Cash Flows for the Nine Months ended September 30,</w:t>
            </w:r>
          </w:p>
        </w:tc>
        <w:tc>
          <w:tcPr>
            <w:tcW w:w="420" w:type="dxa"/>
            <w:vAlign w:val="bottom"/>
            <w:gridSpan w:val="2"/>
            <w:vMerge w:val="restart"/>
          </w:tcPr>
          <w:p>
            <w:pPr>
              <w:spacing w:after="0"/>
              <w:rPr>
                <w:sz w:val="19"/>
                <w:szCs w:val="19"/>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2026 and 2025</w:t>
            </w:r>
          </w:p>
        </w:tc>
        <w:tc>
          <w:tcPr>
            <w:tcW w:w="5840" w:type="dxa"/>
            <w:vAlign w:val="bottom"/>
            <w:tcBorders>
              <w:top w:val="single" w:sz="8" w:color="0000FF"/>
            </w:tcBorders>
            <w:gridSpan w:val="14"/>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Notes to Condensed Consolidated Financial Statements</w:t>
            </w:r>
          </w:p>
        </w:tc>
        <w:tc>
          <w:tcPr>
            <w:tcW w:w="52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0000FF"/>
              </w:rPr>
              <w:t>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w:t>
            </w:r>
          </w:p>
        </w:tc>
        <w:tc>
          <w:tcPr>
            <w:tcW w:w="420" w:type="dxa"/>
            <w:vAlign w:val="bottom"/>
            <w:gridSpan w:val="2"/>
            <w:vMerge w:val="restart"/>
          </w:tcPr>
          <w:p>
            <w:pPr>
              <w:spacing w:after="0"/>
              <w:rPr>
                <w:sz w:val="19"/>
                <w:szCs w:val="19"/>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RESULTS OF OPERATIONS</w:t>
            </w:r>
          </w:p>
        </w:tc>
        <w:tc>
          <w:tcPr>
            <w:tcW w:w="4200" w:type="dxa"/>
            <w:vAlign w:val="bottom"/>
            <w:tcBorders>
              <w:top w:val="single" w:sz="8" w:color="0000FF"/>
            </w:tcBorders>
            <w:gridSpan w:val="8"/>
          </w:tcPr>
          <w:p>
            <w:pPr>
              <w:spacing w:after="0"/>
              <w:rPr>
                <w:sz w:val="14"/>
                <w:szCs w:val="14"/>
                <w:color w:val="auto"/>
              </w:rPr>
            </w:pPr>
          </w:p>
        </w:tc>
        <w:tc>
          <w:tcPr>
            <w:tcW w:w="520" w:type="dxa"/>
            <w:vAlign w:val="bottom"/>
            <w:gridSpan w:val="2"/>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QUANTITATIVE AND QUALITATIVE DISCLOSURES ABOUT MARKET RISK</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0000FF"/>
                <w:w w:val="99"/>
              </w:rPr>
              <w:t>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6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000" w:type="dxa"/>
            <w:vAlign w:val="bottom"/>
            <w:gridSpan w:val="5"/>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7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7240" w:type="dxa"/>
            <w:vAlign w:val="bottom"/>
            <w:gridSpan w:val="19"/>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LEGAL PROCEEDINGS</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0000FF"/>
                <w:w w:val="99"/>
              </w:rPr>
              <w:t>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660" w:type="dxa"/>
            <w:vAlign w:val="bottom"/>
            <w:tcBorders>
              <w:top w:val="single" w:sz="8" w:color="0000FF"/>
            </w:tcBorders>
          </w:tcPr>
          <w:p>
            <w:pPr>
              <w:spacing w:after="0"/>
              <w:rPr>
                <w:sz w:val="19"/>
                <w:szCs w:val="19"/>
                <w:color w:val="auto"/>
              </w:rPr>
            </w:pPr>
          </w:p>
        </w:tc>
        <w:tc>
          <w:tcPr>
            <w:tcW w:w="5460" w:type="dxa"/>
            <w:vAlign w:val="bottom"/>
            <w:gridSpan w:val="14"/>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9"/>
              </w:rPr>
              <w:t>UNREGISTERED SALES OF EQUITY SECURITIES AND USE OF PROCEEDS</w:t>
            </w:r>
          </w:p>
        </w:tc>
        <w:tc>
          <w:tcPr>
            <w:tcW w:w="1060" w:type="dxa"/>
            <w:vAlign w:val="bottom"/>
            <w:gridSpan w:val="6"/>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2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8"/>
              </w:rPr>
              <w:t>OTHER INFORMATION</w:t>
            </w:r>
          </w:p>
        </w:tc>
        <w:tc>
          <w:tcPr>
            <w:tcW w:w="5420" w:type="dxa"/>
            <w:vAlign w:val="bottom"/>
            <w:gridSpan w:val="13"/>
          </w:tcPr>
          <w:p>
            <w:pPr>
              <w:spacing w:after="0"/>
              <w:rPr>
                <w:sz w:val="19"/>
                <w:szCs w:val="19"/>
                <w:color w:val="auto"/>
              </w:rPr>
            </w:pPr>
          </w:p>
        </w:tc>
        <w:tc>
          <w:tcPr>
            <w:tcW w:w="42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4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52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0000FF"/>
                <w:w w:val="99"/>
              </w:rPr>
              <w:t>48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gridSpan w:val="2"/>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b w:val="1"/>
                <w:bCs w:val="1"/>
                <w:color w:val="0000FF"/>
                <w:w w:val="77"/>
              </w:rPr>
              <w:t>49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24" w:right="8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6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50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900" w:type="dxa"/>
            <w:vAlign w:val="bottom"/>
            <w:tcBorders>
              <w:bottom w:val="single" w:sz="8" w:color="auto"/>
            </w:tcBorders>
          </w:tcPr>
          <w:p>
            <w:pPr>
              <w:spacing w:after="0"/>
              <w:rPr>
                <w:sz w:val="20"/>
                <w:szCs w:val="20"/>
                <w:color w:val="auto"/>
              </w:rPr>
            </w:pPr>
          </w:p>
        </w:tc>
      </w:tr>
      <w:tr>
        <w:trPr>
          <w:trHeight w:val="241"/>
        </w:trPr>
        <w:tc>
          <w:tcPr>
            <w:tcW w:w="506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99"/>
              </w:rPr>
              <w:t>2025</w:t>
            </w:r>
          </w:p>
        </w:tc>
      </w:tr>
      <w:tr>
        <w:trPr>
          <w:trHeight w:val="236"/>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w:t>
            </w:r>
          </w:p>
        </w:tc>
      </w:tr>
      <w:tr>
        <w:trPr>
          <w:trHeight w:val="24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1,469.0</w:t>
            </w:r>
          </w:p>
        </w:tc>
      </w:tr>
      <w:tr>
        <w:trPr>
          <w:trHeight w:val="237"/>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973.0</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w:t>
            </w:r>
          </w:p>
        </w:tc>
      </w:tr>
      <w:tr>
        <w:trPr>
          <w:trHeight w:val="24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 (Note 14)</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3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profit</w:t>
            </w: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4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expense (income)</w:t>
            </w:r>
          </w:p>
        </w:tc>
        <w:tc>
          <w:tcPr>
            <w:tcW w:w="10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169"/>
        </w:trPr>
        <w:tc>
          <w:tcPr>
            <w:tcW w:w="5060" w:type="dxa"/>
            <w:vAlign w:val="bottom"/>
            <w:shd w:val="clear" w:color="auto" w:fill="CCEEFF"/>
          </w:tcPr>
          <w:p>
            <w:pPr>
              <w:ind w:left="360"/>
              <w:spacing w:after="0" w:line="169" w:lineRule="exact"/>
              <w:rPr>
                <w:sz w:val="20"/>
                <w:szCs w:val="20"/>
                <w:color w:val="auto"/>
              </w:rPr>
            </w:pPr>
            <w:r>
              <w:rPr>
                <w:rFonts w:ascii="Times New Roman" w:cs="Times New Roman" w:eastAsia="Times New Roman" w:hAnsi="Times New Roman"/>
                <w:sz w:val="18"/>
                <w:szCs w:val="18"/>
                <w:color w:val="auto"/>
              </w:rPr>
              <w:t>Income before income taxes and equity in net income of</w:t>
            </w:r>
          </w:p>
        </w:tc>
        <w:tc>
          <w:tcPr>
            <w:tcW w:w="10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43"/>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affiliated companies</w:t>
            </w: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income of affiliated companies</w:t>
            </w:r>
          </w:p>
        </w:tc>
        <w:tc>
          <w:tcPr>
            <w:tcW w:w="102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80" w:type="dxa"/>
            <w:vAlign w:val="bottom"/>
          </w:tcPr>
          <w:p>
            <w:pPr>
              <w:spacing w:after="0"/>
              <w:rPr>
                <w:sz w:val="20"/>
                <w:szCs w:val="20"/>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8"/>
        </w:trPr>
        <w:tc>
          <w:tcPr>
            <w:tcW w:w="5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7"/>
        </w:trPr>
        <w:tc>
          <w:tcPr>
            <w:tcW w:w="50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0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8"/>
        </w:trPr>
        <w:tc>
          <w:tcPr>
            <w:tcW w:w="5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1"/>
        </w:trPr>
        <w:tc>
          <w:tcPr>
            <w:tcW w:w="5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ectPr>
          <w:pgSz w:w="11900" w:h="16838" w:orient="portrait"/>
          <w:cols w:equalWidth="0" w:num="1">
            <w:col w:w="11240"/>
          </w:cols>
          <w:pgMar w:left="320" w:top="124" w:right="339" w:bottom="1440" w:gutter="0" w:footer="0" w:header="0"/>
        </w:sectPr>
      </w:pPr>
    </w:p>
    <w:p>
      <w:pPr>
        <w:spacing w:after="0" w:line="43" w:lineRule="exact"/>
        <w:rPr>
          <w:sz w:val="20"/>
          <w:szCs w:val="20"/>
          <w:color w:val="auto"/>
        </w:rPr>
      </w:pPr>
    </w:p>
    <w:p>
      <w:pPr>
        <w:ind w:right="1560"/>
        <w:spacing w:after="0" w:line="260" w:lineRule="auto"/>
        <w:rPr>
          <w:sz w:val="20"/>
          <w:szCs w:val="20"/>
          <w:color w:val="auto"/>
        </w:rPr>
      </w:pPr>
      <w:r>
        <w:rPr>
          <w:rFonts w:ascii="Times New Roman" w:cs="Times New Roman" w:eastAsia="Times New Roman" w:hAnsi="Times New Roman"/>
          <w:sz w:val="18"/>
          <w:szCs w:val="18"/>
          <w:color w:val="auto"/>
        </w:rPr>
        <w:t>West Pharmaceutical Services, Inc. and Subsidiaries (in millions)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5200" w:val="left"/>
        </w:tabs>
        <w:rPr>
          <w:sz w:val="20"/>
          <w:szCs w:val="20"/>
          <w:color w:val="auto"/>
        </w:rPr>
      </w:pPr>
      <w:r>
        <w:rPr>
          <w:rFonts w:ascii="Times New Roman" w:cs="Times New Roman" w:eastAsia="Times New Roman" w:hAnsi="Times New Roman"/>
          <w:sz w:val="18"/>
          <w:szCs w:val="18"/>
          <w:color w:val="auto"/>
        </w:rPr>
        <w:t>Net income</w:t>
      </w:r>
      <w:r>
        <w:rPr>
          <w:sz w:val="20"/>
          <w:szCs w:val="20"/>
          <w:color w:val="auto"/>
        </w:rPr>
        <w:tab/>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36" w:lineRule="exact"/>
        <w:rPr>
          <w:sz w:val="20"/>
          <w:szCs w:val="20"/>
          <w:color w:val="auto"/>
        </w:rPr>
      </w:pPr>
    </w:p>
    <w:p>
      <w:pPr>
        <w:ind w:left="220" w:right="400"/>
        <w:spacing w:after="0" w:line="237" w:lineRule="auto"/>
        <w:rPr>
          <w:sz w:val="20"/>
          <w:szCs w:val="20"/>
          <w:color w:val="auto"/>
        </w:rPr>
      </w:pPr>
      <w:r>
        <w:rPr>
          <w:rFonts w:ascii="Times New Roman" w:cs="Times New Roman" w:eastAsia="Times New Roman" w:hAnsi="Times New Roman"/>
          <w:sz w:val="18"/>
          <w:szCs w:val="18"/>
          <w:color w:val="auto"/>
        </w:rPr>
        <w:t>Foreign currency translation adjustments, net of tax of $(0.9) and $0.7, $(0.4) and $(1.4), respectively</w:t>
      </w:r>
    </w:p>
    <w:p>
      <w:pPr>
        <w:spacing w:after="0" w:line="23" w:lineRule="exact"/>
        <w:rPr>
          <w:sz w:val="20"/>
          <w:szCs w:val="20"/>
          <w:color w:val="auto"/>
        </w:rPr>
      </w:pPr>
    </w:p>
    <w:p>
      <w:pPr>
        <w:ind w:left="220" w:right="260"/>
        <w:spacing w:after="0" w:line="237" w:lineRule="auto"/>
        <w:rPr>
          <w:sz w:val="20"/>
          <w:szCs w:val="20"/>
          <w:color w:val="auto"/>
        </w:rPr>
      </w:pPr>
      <w:r>
        <w:rPr>
          <w:rFonts w:ascii="Times New Roman" w:cs="Times New Roman" w:eastAsia="Times New Roman" w:hAnsi="Times New Roman"/>
          <w:sz w:val="18"/>
          <w:szCs w:val="18"/>
          <w:color w:val="auto"/>
        </w:rPr>
        <w:t>Defined benefit pension and other postretirement plan adjustments, net of tax of $0.0 and $0.0, $0.0 and $(0.3), respectively</w:t>
      </w:r>
    </w:p>
    <w:p>
      <w:pPr>
        <w:spacing w:after="0" w:line="23" w:lineRule="exact"/>
        <w:rPr>
          <w:sz w:val="20"/>
          <w:szCs w:val="20"/>
          <w:color w:val="auto"/>
        </w:rPr>
      </w:pPr>
    </w:p>
    <w:p>
      <w:pPr>
        <w:ind w:left="220" w:right="200"/>
        <w:spacing w:after="0" w:line="237" w:lineRule="auto"/>
        <w:rPr>
          <w:sz w:val="20"/>
          <w:szCs w:val="20"/>
          <w:color w:val="auto"/>
        </w:rPr>
      </w:pPr>
      <w:r>
        <w:rPr>
          <w:rFonts w:ascii="Times New Roman" w:cs="Times New Roman" w:eastAsia="Times New Roman" w:hAnsi="Times New Roman"/>
          <w:sz w:val="18"/>
          <w:szCs w:val="18"/>
          <w:color w:val="auto"/>
        </w:rPr>
        <w:t>Net gain (loss) on equity affiliate accumulated other comprehensive income, net of tax of $0.0 and $0.0, $0.0 and $0.0, respectively</w:t>
      </w:r>
    </w:p>
    <w:p>
      <w:pPr>
        <w:spacing w:after="0" w:line="23" w:lineRule="exact"/>
        <w:rPr>
          <w:sz w:val="20"/>
          <w:szCs w:val="20"/>
          <w:color w:val="auto"/>
        </w:rPr>
      </w:pPr>
    </w:p>
    <w:p>
      <w:pPr>
        <w:ind w:left="220" w:right="160"/>
        <w:spacing w:after="0" w:line="237" w:lineRule="auto"/>
        <w:rPr>
          <w:sz w:val="20"/>
          <w:szCs w:val="20"/>
          <w:color w:val="auto"/>
        </w:rPr>
      </w:pPr>
      <w:r>
        <w:rPr>
          <w:rFonts w:ascii="Times New Roman" w:cs="Times New Roman" w:eastAsia="Times New Roman" w:hAnsi="Times New Roman"/>
          <w:sz w:val="18"/>
          <w:szCs w:val="18"/>
          <w:color w:val="auto"/>
        </w:rPr>
        <w:t>Net gain (loss) on derivatives, net of tax of $0.6 and $(0.5), $0.4 and $1.2,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52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 w:type="dxa"/>
            <w:vAlign w:val="bottom"/>
          </w:tcPr>
          <w:p>
            <w:pPr>
              <w:spacing w:after="0"/>
              <w:rPr>
                <w:sz w:val="17"/>
                <w:szCs w:val="17"/>
                <w:color w:val="auto"/>
              </w:rPr>
            </w:pPr>
          </w:p>
        </w:tc>
        <w:tc>
          <w:tcPr>
            <w:tcW w:w="2660" w:type="dxa"/>
            <w:vAlign w:val="bottom"/>
            <w:gridSpan w:val="4"/>
          </w:tcPr>
          <w:p>
            <w:pPr>
              <w:jc w:val="center"/>
              <w:ind w:right="2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150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September 30,</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September 30,</w:t>
            </w:r>
          </w:p>
        </w:tc>
        <w:tc>
          <w:tcPr>
            <w:tcW w:w="940" w:type="dxa"/>
            <w:vAlign w:val="bottom"/>
            <w:tcBorders>
              <w:bottom w:val="single" w:sz="8" w:color="auto"/>
            </w:tcBorders>
          </w:tcPr>
          <w:p>
            <w:pPr>
              <w:spacing w:after="0"/>
              <w:rPr>
                <w:sz w:val="20"/>
                <w:szCs w:val="20"/>
                <w:color w:val="auto"/>
              </w:rPr>
            </w:pPr>
          </w:p>
        </w:tc>
      </w:tr>
      <w:tr>
        <w:trPr>
          <w:trHeight w:val="241"/>
        </w:trPr>
        <w:tc>
          <w:tcPr>
            <w:tcW w:w="1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94"/>
              </w:rPr>
              <w:t>2026</w:t>
            </w:r>
          </w:p>
        </w:tc>
        <w:tc>
          <w:tcPr>
            <w:tcW w:w="5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214.0</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675"/>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r>
      <w:tr>
        <w:trPr>
          <w:trHeight w:val="432"/>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32"/>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430"/>
        </w:trPr>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-1095375</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-546735</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-1412240</wp:posOffset>
            </wp:positionV>
            <wp:extent cx="7132320" cy="162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-1575435</wp:posOffset>
            </wp:positionV>
            <wp:extent cx="1877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320" w:space="420"/>
            <w:col w:w="5500"/>
          </w:cols>
          <w:pgMar w:left="320" w:top="124"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37"/>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517.4</w:t>
            </w:r>
          </w:p>
        </w:tc>
      </w:tr>
      <w:tr>
        <w:trPr>
          <w:trHeight w:val="20"/>
        </w:trPr>
        <w:tc>
          <w:tcPr>
            <w:tcW w:w="5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(UNAUDITED)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West Pharmaceutical Services, Inc. and Subsidiaries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 except per share data)</w:t>
            </w:r>
          </w:p>
        </w:tc>
        <w:tc>
          <w:tcPr>
            <w:tcW w:w="20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September 30,</w:t>
            </w:r>
          </w:p>
        </w:tc>
        <w:tc>
          <w:tcPr>
            <w:tcW w:w="200" w:type="dxa"/>
            <w:vAlign w:val="bottom"/>
          </w:tcPr>
          <w:p>
            <w:pPr>
              <w:spacing w:after="0"/>
              <w:rPr>
                <w:sz w:val="17"/>
                <w:szCs w:val="17"/>
                <w:color w:val="auto"/>
              </w:rPr>
            </w:pPr>
          </w:p>
        </w:tc>
        <w:tc>
          <w:tcPr>
            <w:tcW w:w="136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rPr>
              <w:t>December 31,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791.3</w:t>
            </w:r>
          </w:p>
        </w:tc>
        <w:tc>
          <w:tcPr>
            <w:tcW w:w="0" w:type="dxa"/>
            <w:vAlign w:val="bottom"/>
          </w:tcPr>
          <w:p>
            <w:pPr>
              <w:spacing w:after="0"/>
              <w:rPr>
                <w:sz w:val="1"/>
                <w:szCs w:val="1"/>
                <w:color w:val="auto"/>
              </w:rPr>
            </w:pPr>
          </w:p>
        </w:tc>
      </w:tr>
      <w:tr>
        <w:trPr>
          <w:trHeight w:val="235"/>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574.4</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443.9</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168.6</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1,978.2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3,223.4</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1,594.1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1,726.4</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0" w:type="dxa"/>
            <w:vAlign w:val="bottom"/>
          </w:tcPr>
          <w:p>
            <w:pPr>
              <w:spacing w:after="0"/>
              <w:rPr>
                <w:sz w:val="1"/>
                <w:szCs w:val="1"/>
                <w:color w:val="auto"/>
              </w:rPr>
            </w:pPr>
          </w:p>
        </w:tc>
      </w:tr>
      <w:tr>
        <w:trPr>
          <w:trHeight w:val="23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 in affiliated companies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0" w:type="dxa"/>
            <w:vAlign w:val="bottom"/>
          </w:tcPr>
          <w:p>
            <w:pPr>
              <w:spacing w:after="0"/>
              <w:rPr>
                <w:sz w:val="1"/>
                <w:szCs w:val="1"/>
                <w:color w:val="auto"/>
              </w:rPr>
            </w:pPr>
          </w:p>
        </w:tc>
      </w:tr>
      <w:tr>
        <w:trPr>
          <w:trHeight w:val="23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4,270.0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
        </w:trPr>
        <w:tc>
          <w:tcPr>
            <w:tcW w:w="8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 AND EQUITY</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253.7</w:t>
            </w:r>
          </w:p>
        </w:tc>
        <w:tc>
          <w:tcPr>
            <w:tcW w:w="0" w:type="dxa"/>
            <w:vAlign w:val="bottom"/>
          </w:tcPr>
          <w:p>
            <w:pPr>
              <w:spacing w:after="0"/>
              <w:rPr>
                <w:sz w:val="1"/>
                <w:szCs w:val="1"/>
                <w:color w:val="auto"/>
              </w:rPr>
            </w:pPr>
          </w:p>
        </w:tc>
      </w:tr>
      <w:tr>
        <w:trPr>
          <w:trHeight w:val="235"/>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salaries, wages and benefits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135.9</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taxes payable</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0" w:type="dxa"/>
            <w:vAlign w:val="bottom"/>
          </w:tcPr>
          <w:p>
            <w:pPr>
              <w:spacing w:after="0"/>
              <w:rPr>
                <w:sz w:val="1"/>
                <w:szCs w:val="1"/>
                <w:color w:val="auto"/>
              </w:rPr>
            </w:pPr>
          </w:p>
        </w:tc>
      </w:tr>
      <w:tr>
        <w:trPr>
          <w:trHeight w:val="235"/>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commissions, rebates and royalties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156.3</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175.3</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23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other postretirement benefits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r>
        <w:trPr>
          <w:trHeight w:val="23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compensation benefits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1,092.5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1,094.0</w:t>
            </w:r>
          </w:p>
        </w:tc>
        <w:tc>
          <w:tcPr>
            <w:tcW w:w="0" w:type="dxa"/>
            <w:vAlign w:val="bottom"/>
          </w:tcPr>
          <w:p>
            <w:pPr>
              <w:spacing w:after="0"/>
              <w:rPr>
                <w:sz w:val="1"/>
                <w:szCs w:val="1"/>
                <w:color w:val="auto"/>
              </w:rPr>
            </w:pPr>
          </w:p>
        </w:tc>
      </w:tr>
      <w:tr>
        <w:trPr>
          <w:trHeight w:val="81"/>
        </w:trPr>
        <w:tc>
          <w:tcPr>
            <w:tcW w:w="80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80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3.0 million shares authorized; 0 shares issued and outstanding</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Common stock, par value $0.25 per share; 200.0 million shares authorized; shares issued: September 30, 2026 -</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0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75.3 million, December 31, 2025 - 75.3 million; shares outstanding: September 30, 2026 - 69.8 million,</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02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December 31, 2025 - 72.0 million</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in excess of par value</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5"/>
        </w:trPr>
        <w:tc>
          <w:tcPr>
            <w:tcW w:w="8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4,816.8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4,374.9</w:t>
            </w:r>
          </w:p>
        </w:tc>
        <w:tc>
          <w:tcPr>
            <w:tcW w:w="0" w:type="dxa"/>
            <w:vAlign w:val="bottom"/>
          </w:tcPr>
          <w:p>
            <w:pPr>
              <w:spacing w:after="0"/>
              <w:rPr>
                <w:sz w:val="1"/>
                <w:szCs w:val="1"/>
                <w:color w:val="auto"/>
              </w:rPr>
            </w:pPr>
          </w:p>
        </w:tc>
      </w:tr>
      <w:tr>
        <w:trPr>
          <w:trHeight w:val="251"/>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Treasury stock, at cost (September 30, 2026 - 5.5 million shares, December 31, 2025 - 3.3 million shares)</w:t>
            </w: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(1,112.2)</w:t>
            </w:r>
          </w:p>
        </w:tc>
        <w:tc>
          <w:tcPr>
            <w:tcW w:w="0" w:type="dxa"/>
            <w:vAlign w:val="bottom"/>
          </w:tcPr>
          <w:p>
            <w:pPr>
              <w:spacing w:after="0"/>
              <w:rPr>
                <w:sz w:val="1"/>
                <w:szCs w:val="1"/>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2,968.2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3,176.0</w:t>
            </w:r>
          </w:p>
        </w:tc>
        <w:tc>
          <w:tcPr>
            <w:tcW w:w="0" w:type="dxa"/>
            <w:vAlign w:val="bottom"/>
          </w:tcPr>
          <w:p>
            <w:pPr>
              <w:spacing w:after="0"/>
              <w:rPr>
                <w:sz w:val="1"/>
                <w:szCs w:val="1"/>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4,060.7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4,270.0</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ectPr>
          <w:pgSz w:w="11900" w:h="16838" w:orient="portrait"/>
          <w:cols w:equalWidth="0" w:num="1">
            <w:col w:w="11240"/>
          </w:cols>
          <w:pgMar w:left="320" w:top="124" w:right="339" w:bottom="105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051"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4580"/>
        <w:spacing w:after="0" w:line="278" w:lineRule="auto"/>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CASH FLOWS (UNAUDITED) </w:t>
      </w:r>
      <w:r>
        <w:rPr>
          <w:rFonts w:ascii="Times New Roman" w:cs="Times New Roman" w:eastAsia="Times New Roman" w:hAnsi="Times New Roman"/>
          <w:sz w:val="18"/>
          <w:szCs w:val="18"/>
          <w:color w:val="auto"/>
        </w:rPr>
        <w:t>West Pharmaceutical Services, Inc. and Subsidiaries (in millions)</w:t>
      </w:r>
    </w:p>
    <w:p>
      <w:pPr>
        <w:spacing w:after="0" w:line="215" w:lineRule="exact"/>
        <w:rPr>
          <w:sz w:val="20"/>
          <w:szCs w:val="20"/>
          <w:color w:val="auto"/>
        </w:rPr>
      </w:pPr>
    </w:p>
    <w:p>
      <w:pPr>
        <w:jc w:val="center"/>
        <w:ind w:left="8000"/>
        <w:spacing w:after="0"/>
        <w:rPr>
          <w:sz w:val="20"/>
          <w:szCs w:val="20"/>
          <w:color w:val="auto"/>
        </w:rPr>
      </w:pPr>
      <w:r>
        <w:rPr>
          <w:rFonts w:ascii="Times New Roman" w:cs="Times New Roman" w:eastAsia="Times New Roman" w:hAnsi="Times New Roman"/>
          <w:sz w:val="18"/>
          <w:szCs w:val="18"/>
          <w:color w:val="auto"/>
        </w:rPr>
        <w:t>Nine Months Ended</w:t>
      </w:r>
    </w:p>
    <w:p>
      <w:pPr>
        <w:jc w:val="center"/>
        <w:ind w:left="8000"/>
        <w:spacing w:after="0"/>
        <w:rPr>
          <w:sz w:val="20"/>
          <w:szCs w:val="20"/>
          <w:color w:val="auto"/>
        </w:rPr>
      </w:pPr>
      <w:r>
        <w:rPr>
          <w:rFonts w:ascii="Times New Roman" w:cs="Times New Roman" w:eastAsia="Times New Roman" w:hAnsi="Times New Roman"/>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13335</wp:posOffset>
            </wp:positionV>
            <wp:extent cx="20485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Depreciation</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r>
      <w:tr>
        <w:trPr>
          <w:trHeight w:val="24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Amortization</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4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Gain on sale of SmartDose® 3.5mL On-Body Delivery System</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Non-cash restructuring charges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80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Asset impairments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0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non-cash items, net</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9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74"/>
        </w:trPr>
        <w:tc>
          <w:tcPr>
            <w:tcW w:w="80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 expenditures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Disbursement associated with the sale of assets</w:t>
            </w:r>
          </w:p>
        </w:tc>
        <w:tc>
          <w:tcPr>
            <w:tcW w:w="9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142"/>
        </w:trPr>
        <w:tc>
          <w:tcPr>
            <w:tcW w:w="80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under revolving credit agreements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under revolving credit agreements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repayments on finance leases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Excise tax payments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 payments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stock-based compensation awards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stock purchase plan contributions</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Shares purchased under share repurchase programs</w:t>
            </w: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Shares repurchased for employee tax withholdings</w:t>
            </w:r>
          </w:p>
        </w:tc>
        <w:tc>
          <w:tcPr>
            <w:tcW w:w="9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9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w:t>
            </w:r>
          </w:p>
        </w:tc>
      </w:tr>
      <w:tr>
        <w:trPr>
          <w:trHeight w:val="162"/>
        </w:trPr>
        <w:tc>
          <w:tcPr>
            <w:tcW w:w="80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beginning of period</w:t>
            </w: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r>
      <w:tr>
        <w:trPr>
          <w:trHeight w:val="262"/>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including cash equivalents at end of period</w:t>
            </w: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02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9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20" w:firstLine="2043"/>
        <w:spacing w:after="0" w:line="375"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 Note 1: Basis of Presentation</w:t>
      </w:r>
    </w:p>
    <w:p>
      <w:pPr>
        <w:spacing w:after="0" w:line="1" w:lineRule="exact"/>
        <w:rPr>
          <w:sz w:val="20"/>
          <w:szCs w:val="20"/>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w:t>
      </w:r>
      <w:r>
        <w:rPr>
          <w:rFonts w:ascii="Times New Roman" w:cs="Times New Roman" w:eastAsia="Times New Roman" w:hAnsi="Times New Roman"/>
          <w:sz w:val="18"/>
          <w:szCs w:val="18"/>
          <w:color w:val="auto"/>
        </w:rPr>
        <w:t>: The condensed consolidated financial statements included in this report are unaudited and have been prepared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nine months ended September 30, 2026, should be read in conjunction with the consolidated financial statements and notes thereto of West Pharmaceutical Services, Inc. and its majority-owned subsidiaries (which may be referred to as “West”, the “Company”, “we”, “us” or “our”) appearing in our Annual Report on Form 10-K for the year ended December 31, 2025 (the “</w:t>
      </w:r>
      <w:hyperlink r:id="rId22">
        <w:r>
          <w:rPr>
            <w:rFonts w:ascii="Times New Roman" w:cs="Times New Roman" w:eastAsia="Times New Roman" w:hAnsi="Times New Roman"/>
            <w:sz w:val="18"/>
            <w:szCs w:val="18"/>
            <w:u w:val="single" w:color="auto"/>
            <w:color w:val="0000FF"/>
          </w:rPr>
          <w:t>2025 Annual Report</w:t>
        </w:r>
      </w:hyperlink>
      <w:r>
        <w:rPr>
          <w:rFonts w:ascii="Times New Roman" w:cs="Times New Roman" w:eastAsia="Times New Roman" w:hAnsi="Times New Roman"/>
          <w:sz w:val="18"/>
          <w:szCs w:val="18"/>
          <w:color w:val="auto"/>
        </w:rPr>
        <w:t>”). The results of operations for any interim period are not necessarily indicative of the results for the full year.</w:t>
      </w:r>
    </w:p>
    <w:p>
      <w:pPr>
        <w:spacing w:after="0" w:line="7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West Vantage: </w:t>
      </w:r>
      <w:r>
        <w:rPr>
          <w:rFonts w:ascii="Times New Roman" w:cs="Times New Roman" w:eastAsia="Times New Roman" w:hAnsi="Times New Roman"/>
          <w:sz w:val="18"/>
          <w:szCs w:val="18"/>
          <w:color w:val="auto"/>
        </w:rPr>
        <w:t>Effective in the first quarter of 2026, the Company renamed its "Contract-Manufactured Products" reportable segment to "West Vantage™"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better align with its current strategic focus and offerings. This change in name does not affect the composition of the reportable segment, nor does it impact previously reported segment financial information.</w:t>
      </w:r>
    </w:p>
    <w:p>
      <w:pPr>
        <w:spacing w:after="0" w:line="63"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Sale of SmartDose® 3.5mL On-Body Delivery System</w:t>
      </w:r>
      <w:r>
        <w:rPr>
          <w:rFonts w:ascii="Times New Roman" w:cs="Times New Roman" w:eastAsia="Times New Roman" w:hAnsi="Times New Roman"/>
          <w:sz w:val="18"/>
          <w:szCs w:val="18"/>
          <w:color w:val="auto"/>
        </w:rPr>
        <w:t>: On July 1, 2026, the Company completed the sale of all manufacturing and supply rights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SmartDose® 3.5mL On-Body Delivery System and associated facilities to AbbVie for $126.9 million cash, inclusive of working capital adjustments. We recognized a $55.7 million pre-tax gain on this transaction within other expense (income) in our Condensed Consolidated Statements of Income during the three and nine months ended September 30, 2026.</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relation to this agreement, the carrying values of certain assets (Inventories - $20.5 million, Property, plant and equipment, net - $39.1 million, Operating lease right-of-use assets - $1.2 million, and Goodwill - $0.6 million) were classified as held for sale in our consolidated balance sheets as of December 31, 2025 and recorded in other current assets within our Proprietary Products segment.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New Accounting Standards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Standards</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Improvements to Income Tax Disclosures, that seeks to enhance income tax disclosures to provide information to better assess how an entity's operations and related tax risks affect its tax rate and prospects for future cash flows. Within the income tax rate reconciliation, the amendment requires disclosure of additional categories and greater detail about individual reconciling items over a specified threshold. It also requires information pertaining to taxes paid to be disaggregated for federal, state, and foreign taxes and further disaggregated for specific jurisdictions over a specified threshold. This guidance is effective for fiscal years beginning after December 15, 2024. The Company adopted and implemented the applicable disclosure requirements within its 2025 Form 10-K filed on February 17, 2026 on a prospective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Standards Issued Not Yet Adopted</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that seeks to improve the disclosures about a public business entity’s expenses and address requests from investors for more detailed information about the types of expenses (including purchases of inventory, employee compensation, depreciation, amortization, and depletion) in commonly presented expense captions. The amendments require that at each interim and annual reporting period an entity: (1) disclose the amounts of purchases of inventory, employee compensation, depreciation, and intangible asset amortization included in each of the Company's relevant expense captions; (2) include certain amounts that are already required to be disclosed under current GAAP in the same disclosure as the other disaggregation requirements; (3) disclose a qualitative description of the amounts remaining in relevant expense captions that are not separately disaggregated quantitatively; and (4) disclose the total amount of selling expenses and, in annual reporting periods, an entity’s definition of selling expenses. This guidance is effective for fiscal years beginning after December 15, 2026, and interim reporting periods beginning after December 15, 2027. The Company is currently evaluating the impact of this guidance on our financial statements and disclosures.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market group:</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tcPr>
          <w:p>
            <w:pPr>
              <w:spacing w:after="0"/>
              <w:rPr>
                <w:sz w:val="17"/>
                <w:szCs w:val="17"/>
                <w:color w:val="auto"/>
              </w:rPr>
            </w:pPr>
          </w:p>
        </w:tc>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Nine Months Ended</w:t>
            </w:r>
          </w:p>
        </w:tc>
      </w:tr>
      <w:tr>
        <w:trPr>
          <w:trHeight w:val="239"/>
        </w:trPr>
        <w:tc>
          <w:tcPr>
            <w:tcW w:w="4780" w:type="dxa"/>
            <w:vAlign w:val="bottom"/>
          </w:tcPr>
          <w:p>
            <w:pPr>
              <w:spacing w:after="0"/>
              <w:rPr>
                <w:sz w:val="20"/>
                <w:szCs w:val="20"/>
                <w:color w:val="auto"/>
              </w:rPr>
            </w:pPr>
          </w:p>
        </w:tc>
        <w:tc>
          <w:tcPr>
            <w:tcW w:w="216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September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Borders>
              <w:bottom w:val="single" w:sz="8" w:color="auto"/>
            </w:tcBorders>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41"/>
        </w:trPr>
        <w:tc>
          <w:tcPr>
            <w:tcW w:w="47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Biologics</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Generics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West Vantage</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61"/>
        </w:trPr>
        <w:tc>
          <w:tcPr>
            <w:tcW w:w="47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product category: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332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70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tcBorders>
              <w:bottom w:val="single" w:sz="8" w:color="auto"/>
            </w:tcBorders>
            <w:gridSpan w:val="3"/>
          </w:tcPr>
          <w:p>
            <w:pPr>
              <w:jc w:val="center"/>
              <w:ind w:left="91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41"/>
        </w:trPr>
        <w:tc>
          <w:tcPr>
            <w:tcW w:w="47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High-Value Product ("HVP") Components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High-Value Product ("HVP") Delivery Devices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Packaging</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4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West Vantage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62"/>
        </w:trPr>
        <w:tc>
          <w:tcPr>
            <w:tcW w:w="47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approximate percentage of our net sales by geographic location:</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2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41"/>
        </w:trPr>
        <w:tc>
          <w:tcPr>
            <w:tcW w:w="4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47 %</w:t>
            </w: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 Middle East, Africa</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45 %</w:t>
            </w:r>
          </w:p>
        </w:tc>
      </w:tr>
      <w:tr>
        <w:trPr>
          <w:trHeight w:val="24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8"/>
              </w:rPr>
              <w:t>8 %</w:t>
            </w:r>
          </w:p>
        </w:tc>
      </w:tr>
      <w:tr>
        <w:trPr>
          <w:trHeight w:val="237"/>
        </w:trPr>
        <w:tc>
          <w:tcPr>
            <w:tcW w:w="470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98"/>
              </w:rPr>
              <w:t>100 %</w:t>
            </w:r>
          </w:p>
        </w:tc>
      </w:tr>
      <w:tr>
        <w:trPr>
          <w:trHeight w:val="21"/>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contract assets and liabilities:</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70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60" w:type="dxa"/>
            <w:vAlign w:val="bottom"/>
            <w:tcBorders>
              <w:bottom w:val="single" w:sz="8" w:color="CCEEFF"/>
            </w:tcBorders>
            <w:gridSpan w:val="2"/>
          </w:tcPr>
          <w:p>
            <w:pPr>
              <w:spacing w:after="0"/>
              <w:rPr>
                <w:sz w:val="23"/>
                <w:szCs w:val="2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r>
      <w:tr>
        <w:trPr>
          <w:trHeight w:val="23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December 31, 2025</w:t>
            </w: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0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11.9</w:t>
            </w:r>
          </w:p>
        </w:tc>
      </w:tr>
      <w:tr>
        <w:trPr>
          <w:trHeight w:val="243"/>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assets, September 30, 2026</w:t>
            </w: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15.1</w:t>
            </w:r>
          </w:p>
        </w:tc>
      </w:tr>
      <w:tr>
        <w:trPr>
          <w:trHeight w:val="257"/>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contract assets - increase (decrease)</w:t>
            </w: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0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120" w:type="dxa"/>
            <w:vAlign w:val="bottom"/>
            <w:tcBorders>
              <w:top w:val="single" w:sz="8" w:color="auto"/>
            </w:tcBorders>
          </w:tcPr>
          <w:p>
            <w:pPr>
              <w:spacing w:after="0"/>
              <w:rPr>
                <w:sz w:val="9"/>
                <w:szCs w:val="9"/>
                <w:color w:val="auto"/>
              </w:rPr>
            </w:pPr>
          </w:p>
        </w:tc>
      </w:tr>
      <w:tr>
        <w:trPr>
          <w:trHeight w:val="243"/>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December 31, 2025</w:t>
            </w: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10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(53.7)</w:t>
            </w:r>
          </w:p>
        </w:tc>
      </w:tr>
      <w:tr>
        <w:trPr>
          <w:trHeight w:val="243"/>
        </w:trPr>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September 30, 2026</w:t>
            </w:r>
          </w:p>
        </w:tc>
        <w:tc>
          <w:tcPr>
            <w:tcW w:w="12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(43.7)</w:t>
            </w:r>
          </w:p>
        </w:tc>
      </w:tr>
      <w:tr>
        <w:trPr>
          <w:trHeight w:val="257"/>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income - decrease (increase)</w:t>
            </w: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100" w:type="dxa"/>
            <w:vAlign w:val="bottom"/>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Contract assets are included within other current assets and deferred income is included within other current liabilities and other long-term liabilities. During the nine months ended September 30, 2026, $37.4 million of revenue was recognized that was included in deferred income at the beginning of the year.</w:t>
      </w:r>
    </w:p>
    <w:p>
      <w:pPr>
        <w:spacing w:after="0" w:line="68"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As of September 30, 2026, performance obligations expected to be satisfied beyond one year were $3.6 million. The remaining $40.1 million of performance obligations are expected to be satisfied within one year or less.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shares used in the calculation of basic net income per share to those used for diluted net income per share: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6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40" w:type="dxa"/>
            <w:vAlign w:val="bottom"/>
          </w:tcPr>
          <w:p>
            <w:pPr>
              <w:spacing w:after="0"/>
              <w:rPr>
                <w:sz w:val="18"/>
                <w:szCs w:val="18"/>
                <w:color w:val="auto"/>
              </w:rPr>
            </w:pPr>
          </w:p>
        </w:tc>
        <w:tc>
          <w:tcPr>
            <w:tcW w:w="28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6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r>
      <w:tr>
        <w:trPr>
          <w:trHeight w:val="198"/>
        </w:trPr>
        <w:tc>
          <w:tcPr>
            <w:tcW w:w="47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Dilutive effect of equity awards, based on the treasury stock</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method</w:t>
            </w: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assuming dilution</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and 2025, there were 0.1 million and 0.4 million shares, respectively, from stock-based compensation plans not included in the computation of diluted net income per share because their impact was antidilutive. There were 0.3 million and 0.4 million antidilutive shares outstanding during the nine months ended September 30, 2026 and 2025, respectively.</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In February 2023, the Board of Directors approved a share repurchase program under which the Company was able to repurchase up to $1.0 billion in shares of common stock. This program was completed during January 2025.</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December 2024, the Board of Directors approved a share repurchase program under which the Company was able to repurchase up to 550,000 shares of common stock. This program was completed during April 2025.</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February 2026, the Company’s Board of Directors authorized a new share repurchase program for the purchase of up to $1.0 billion of the Company’s common stock in open-market transactions, block transactions, through derivative transactions, privately negotiated transactions, or otherwise, including pursuant to any trading plan entered into by the Company under Rule 10b5-1 of the Exchange Act. The number of shares to be repurchased and the timing of any repurchases will depend on factors such as the stock price, economic and market conditions, and corporate and regulatory requirements. This share repurchase program has no expiration date and it may be suspended or terminated at any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details of the Company's repurchases of common stock under these programs: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8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6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34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Pr>
          <w:p>
            <w:pPr>
              <w:spacing w:after="0"/>
              <w:rPr>
                <w:sz w:val="20"/>
                <w:szCs w:val="20"/>
                <w:color w:val="auto"/>
              </w:rPr>
            </w:pPr>
          </w:p>
        </w:tc>
      </w:tr>
      <w:tr>
        <w:trPr>
          <w:trHeight w:val="241"/>
        </w:trPr>
        <w:tc>
          <w:tcPr>
            <w:tcW w:w="63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2,424,121</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552,593</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repurchases ($ in millions)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r>
      <w:tr>
        <w:trPr>
          <w:trHeight w:val="24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price per repurchased share</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242.55</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are valued at the lower of cost (on a first-in, first-out basis) or net realizable value. Inventory balances were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7"/>
                <w:szCs w:val="17"/>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r>
      <w:tr>
        <w:trPr>
          <w:trHeight w:val="237"/>
        </w:trPr>
        <w:tc>
          <w:tcPr>
            <w:tcW w:w="80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w:t>
            </w:r>
          </w:p>
        </w:tc>
      </w:tr>
      <w:tr>
        <w:trPr>
          <w:trHeight w:val="21"/>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Leases</w:t>
      </w:r>
    </w:p>
    <w:p>
      <w:pPr>
        <w:spacing w:after="0" w:line="121" w:lineRule="exact"/>
        <w:rPr>
          <w:sz w:val="20"/>
          <w:szCs w:val="20"/>
          <w:color w:val="auto"/>
        </w:rPr>
      </w:pPr>
    </w:p>
    <w:p>
      <w:pPr>
        <w:ind w:right="340"/>
        <w:spacing w:after="0" w:line="256" w:lineRule="auto"/>
        <w:rPr>
          <w:sz w:val="20"/>
          <w:szCs w:val="20"/>
          <w:color w:val="auto"/>
        </w:rPr>
      </w:pPr>
      <w:r>
        <w:rPr>
          <w:rFonts w:ascii="Times New Roman" w:cs="Times New Roman" w:eastAsia="Times New Roman" w:hAnsi="Times New Roman"/>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5"/>
        </w:trPr>
        <w:tc>
          <w:tcPr>
            <w:tcW w:w="4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9"/>
                <w:szCs w:val="19"/>
                <w:color w:val="auto"/>
              </w:rPr>
            </w:pPr>
          </w:p>
        </w:tc>
        <w:tc>
          <w:tcPr>
            <w:tcW w:w="28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3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finance lease amounts in the condensed consolidated balance sheets: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Sheet Classification</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216"/>
        </w:trPr>
        <w:tc>
          <w:tcPr>
            <w:tcW w:w="8020" w:type="dxa"/>
            <w:vAlign w:val="bottom"/>
          </w:tcPr>
          <w:p>
            <w:pPr>
              <w:spacing w:after="0"/>
              <w:rPr>
                <w:sz w:val="18"/>
                <w:szCs w:val="18"/>
                <w:color w:val="auto"/>
              </w:rPr>
            </w:pPr>
          </w:p>
        </w:tc>
        <w:tc>
          <w:tcPr>
            <w:tcW w:w="27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500" w:type="dxa"/>
            <w:vAlign w:val="bottom"/>
          </w:tcPr>
          <w:p>
            <w:pPr>
              <w:spacing w:after="0"/>
              <w:rPr>
                <w:sz w:val="18"/>
                <w:szCs w:val="18"/>
                <w:color w:val="auto"/>
              </w:rPr>
            </w:pPr>
          </w:p>
        </w:tc>
      </w:tr>
      <w:tr>
        <w:trPr>
          <w:trHeight w:val="239"/>
        </w:trPr>
        <w:tc>
          <w:tcPr>
            <w:tcW w:w="80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r>
      <w:tr>
        <w:trPr>
          <w:trHeight w:val="241"/>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0"/>
                <w:szCs w:val="20"/>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new lease liabilities:</w:t>
            </w: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r>
      <w:tr>
        <w:trPr>
          <w:trHeight w:val="243"/>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weighted average remaining lease terms and discount rates for our operating and finance leases as of the periods ended: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60" w:type="dxa"/>
            <w:vAlign w:val="bottom"/>
          </w:tcPr>
          <w:p>
            <w:pPr>
              <w:spacing w:after="0"/>
              <w:rPr>
                <w:sz w:val="17"/>
                <w:szCs w:val="17"/>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7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43"/>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43"/>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3"/>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43"/>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4.15 %</w:t>
            </w:r>
          </w:p>
        </w:tc>
      </w:tr>
      <w:tr>
        <w:trPr>
          <w:trHeight w:val="419"/>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as of September 30, 2026 were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37"/>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period as of September 30, 2026)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6"/>
        </w:trPr>
        <w:tc>
          <w:tcPr>
            <w:tcW w:w="7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37"/>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lease interest</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Affiliated Companies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aggregate carrying amounts of our investments in affiliated companies that are accounted for under the equity method and our investments in affiliated companies that are not accounted for under the equity method: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carrying value of investments in affiliated companies: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43"/>
        </w:trPr>
        <w:tc>
          <w:tcPr>
            <w:tcW w:w="8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method affiliates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w:t>
            </w:r>
          </w:p>
        </w:tc>
      </w:tr>
      <w:tr>
        <w:trPr>
          <w:trHeight w:val="243"/>
        </w:trPr>
        <w:tc>
          <w:tcPr>
            <w:tcW w:w="8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Non-equity method affiliates</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 in affiliated companies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r>
    </w:tbl>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elected to record non-equity method investments, for which fair value was not readily determinable, at cost, less impairment, adjusted for subsequent observable price changes. We test these investments for impairment whenever circumstances indicate that the carrying value of the investments may not be recoverable. During the nine months ended September 30, 2026, we recorded impairment charges of $3.5 million within other expense (income) to one of our cost-method investments, recorded above under non-equity method affiliates.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amounts due to and from affiliates in the condensed consolidated balance sheets: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due to affiliates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due from affiliates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affiliate transactions: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272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36"/>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from (and payments to) affiliates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to affiliates</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184" w:lineRule="exact"/>
        <w:rPr>
          <w:sz w:val="20"/>
          <w:szCs w:val="20"/>
          <w:color w:val="auto"/>
        </w:rPr>
      </w:pPr>
    </w:p>
    <w:p>
      <w:pPr>
        <w:ind w:right="780"/>
        <w:spacing w:after="0" w:line="312" w:lineRule="auto"/>
        <w:rPr>
          <w:sz w:val="20"/>
          <w:szCs w:val="20"/>
          <w:color w:val="auto"/>
        </w:rPr>
      </w:pPr>
      <w:r>
        <w:rPr>
          <w:rFonts w:ascii="Times New Roman" w:cs="Times New Roman" w:eastAsia="Times New Roman" w:hAnsi="Times New Roman"/>
          <w:sz w:val="17"/>
          <w:szCs w:val="17"/>
          <w:color w:val="auto"/>
        </w:rPr>
        <w:t>The majority of the purchase transactions listed above relate to the Company's distributorship agreement with Daikyo Seiko, Ltd. ("Daikyo") that authorizes the Company as the exclusive distributor of Daikyo products in all countries other than Japan, subject to certain limited exceptions.</w:t>
      </w:r>
    </w:p>
    <w:p>
      <w:pPr>
        <w:spacing w:after="0" w:line="32" w:lineRule="exact"/>
        <w:rPr>
          <w:sz w:val="20"/>
          <w:szCs w:val="20"/>
          <w:color w:val="auto"/>
        </w:rPr>
      </w:pPr>
    </w:p>
    <w:p>
      <w:pPr>
        <w:jc w:val="both"/>
        <w:ind w:right="840"/>
        <w:spacing w:after="0" w:line="282" w:lineRule="auto"/>
        <w:rPr>
          <w:sz w:val="20"/>
          <w:szCs w:val="20"/>
          <w:color w:val="auto"/>
        </w:rPr>
      </w:pPr>
      <w:r>
        <w:rPr>
          <w:rFonts w:ascii="Times New Roman" w:cs="Times New Roman" w:eastAsia="Times New Roman" w:hAnsi="Times New Roman"/>
          <w:sz w:val="18"/>
          <w:szCs w:val="18"/>
          <w:color w:val="auto"/>
        </w:rPr>
        <w:t>On July 14, 2026, the Company and Daikyo, in which the Company maintains a 49% ownership interest, entered into an Amended and Restated Technology Exchange and CrossLicense Agreement and two Distributorship Agreements, each effective July 14, 2026 with a term of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121"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long-term debt obligations, net of unamortized debt issuance costs and current maturities. The interest rates shown in parentheses are as of September 30, 2026.</w:t>
      </w:r>
    </w:p>
    <w:tbl>
      <w:tblPr>
        <w:tblLayout w:type="fixed"/>
        <w:tblInd w:w="0" w:type="dxa"/>
        <w:tblCellMar>
          <w:top w:w="0" w:type="dxa"/>
          <w:left w:w="0" w:type="dxa"/>
          <w:bottom w:w="0" w:type="dxa"/>
          <w:right w:w="0" w:type="dxa"/>
        </w:tblCellMar>
      </w:tblPr>
      <w:tr>
        <w:trPr>
          <w:trHeight w:val="182"/>
        </w:trPr>
        <w:tc>
          <w:tcPr>
            <w:tcW w:w="8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line="182" w:lineRule="exact"/>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5"/>
                <w:szCs w:val="15"/>
                <w:color w:val="auto"/>
              </w:rPr>
            </w:pPr>
          </w:p>
        </w:tc>
        <w:tc>
          <w:tcPr>
            <w:tcW w:w="1380" w:type="dxa"/>
            <w:vAlign w:val="bottom"/>
          </w:tcPr>
          <w:p>
            <w:pPr>
              <w:jc w:val="right"/>
              <w:ind w:right="190"/>
              <w:spacing w:after="0" w:line="182"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July 2, 2027 (5.25%)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Series C notes, due July 5, 2027 (4.02%)</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37"/>
        </w:trPr>
        <w:tc>
          <w:tcPr>
            <w:tcW w:w="80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 for Term Loan and Series Notes</w:t>
            </w: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37"/>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8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Loan</w:t>
      </w:r>
    </w:p>
    <w:p>
      <w:pPr>
        <w:spacing w:after="0" w:line="12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At September 30, 2026, the Company had $130.0 million in borrowings under the Term Loan which were classified as long-term.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000000"/>
        </w:rPr>
        <w:t>, for a discussion of the foreign currency hedge associated with the Term Loan.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Multi-Currency Revolving Credit Facility</w:t>
      </w:r>
    </w:p>
    <w:p>
      <w:pPr>
        <w:spacing w:after="0" w:line="12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September 30, 2026, the borrowing capacity available under our $500.0 million multi-currency revolving credit facility, including outstanding letters of credit of $2.3 million, was $497.7 million.</w:t>
      </w:r>
    </w:p>
    <w:p>
      <w:pPr>
        <w:spacing w:after="0" w:line="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September 30, 2026, we were in compliance with all of our debt covenants.</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accordance with ASC 470-10-45-14 and ASC 855, the Term Loan (due July 2, 2027) and the Series C Notes (due July 5, 2027) are classified as long-term debt in the accompanying balance sheet as of September 30, 2026, as the refinancing was completed prior to the issuance of these financial statements as described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Event — Debt Refinancing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Entry into New Credit Agreement</w:t>
      </w:r>
    </w:p>
    <w:p>
      <w:pPr>
        <w:spacing w:after="0" w:line="54"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On October 26, 2026, the Company completed a refinancing of its senior unsecured credit facilities by entering into a new senior unsecured credit agreement with Bank of America, N.A., as administrative agent, swing line lender and an issuing lender, and the other lenders from time to time party thereto (as amended, restated, extended, supplemented or otherwise modified from time to time, the "New Credit Agreement").</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New Credit Agreement (i) has a maturity date of October 26, 2031 (subject to certain extension mechanics therein by which the Company may request maturity date extensions of the revolving credit facility), (ii) provides for revolving advances up to an aggregate principal amount of $750 million at any one time outstanding (subject to satisfaction of certain conditions at the time advances are made) and (iii) provides for a term loan advance on the closing date in an aggregate principal amount of $200 million (which shall have quarterly amortization payments starting in March 31, 2028 ranging from</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$1.25 million to $2.5 million per quarter as set forth in the New Credit Agreement with the balance due at maturity) (such term loan, the "New Term Loan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Revolving advances are available under the New Credit Agreement in U.S. dollars and certain optional currencies. The applicable margin used in connection with interest rates and the commitment fee is based on the Company’s net leverage ratio. The applicable margin for revolving advances that are term Secured Overnight Financing Rate loans and optional currency loans and for letter of credit fees ranges from 1.000% to 1.500%, and the applicable margin for revolving advances that are base rate loans ranges from 0.000% to 0.500%. The applicable margin for term loans that are term Secured Overnight Financing Rate loans ranges from 1.125% to 1.750%, and the applicable margin for term loans that are base rate loans ranges from 0.125% to 0.750%. The Company will also pay a commitment fee based on its net leverage ratio on the actual daily unused amount of the aggregate revolving commitments ranging from 0.125% to 0.225%.</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New Credit Agreement contains a financial covenant limiting, as of the last day of each fiscal quarter, the Company's net leverage ratio, measured for the preceding four fiscal quarters, to not more than 3.50 to 1.0 (or 4.00 to 1.0 during material acquisition periods, subject to certain limitations), all as calculated in accordance with the terms of the New Credit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New Term Loan A advance of $200 million refinanced and replaced the Company's existing $130.0 million Term Loan A, which was due July 2, 2027.</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Unamortized debt issuance costs associated with the prior term loan were written off in connection with the extinguishment and new debt issuance costs will be capitalized and amortized over the life of the New Term Loan A.</w:t>
      </w:r>
    </w:p>
    <w:p>
      <w:pPr>
        <w:spacing w:after="0" w:line="50"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Extinguishment of Series C Senior Notes: </w:t>
      </w:r>
      <w:r>
        <w:rPr>
          <w:rFonts w:ascii="Times New Roman" w:cs="Times New Roman" w:eastAsia="Times New Roman" w:hAnsi="Times New Roman"/>
          <w:sz w:val="18"/>
          <w:szCs w:val="18"/>
          <w:color w:val="auto"/>
        </w:rPr>
        <w:t>The Company has delivered a notice to noteholders to repay and extinguish its outstanding Series C senior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in an outstanding principal amount of $73.0 million, with an expected repayment date to occur on or about November 2, 2026, using, among other available cash, proceeds from the New Term Loan A. The Series C senior notes bore interest at 4.02% and were originally due July 5, 2027. No prepayment make-whole premium is incurred in connection with the extinguishment.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Derivative Financial Instruments</w:t>
      </w:r>
    </w:p>
    <w:p>
      <w:pPr>
        <w:spacing w:after="0" w:line="121"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Rate Risk</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entered into forward exchange contracts, designated as fair value hedges, to manage our exposure to fluctuating foreign exchange rates on cross-currency intercompany loans in Singapore Dollar (“SGD”) and on cross-currency intercompany demand notes in Euro ("EUR"), which were executed at various times throughout 2025 and 2026. The following table summarizes the total amount of the following forward exchange contracts as fair value hedges at the following dates: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30,</w:t>
            </w:r>
          </w:p>
        </w:tc>
        <w:tc>
          <w:tcPr>
            <w:tcW w:w="380" w:type="dxa"/>
            <w:vAlign w:val="bottom"/>
          </w:tcPr>
          <w:p>
            <w:pPr>
              <w:spacing w:after="0"/>
              <w:rPr>
                <w:sz w:val="20"/>
                <w:szCs w:val="20"/>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Forward Exchange Contracts</w:t>
            </w:r>
          </w:p>
        </w:tc>
        <w:tc>
          <w:tcPr>
            <w:tcW w:w="2680" w:type="dxa"/>
            <w:vAlign w:val="bottom"/>
            <w:tcBorders>
              <w:bottom w:val="single" w:sz="8" w:color="CCEEFF"/>
            </w:tcBorders>
          </w:tcPr>
          <w:p>
            <w:pPr>
              <w:jc w:val="center"/>
              <w:ind w:left="910"/>
              <w:spacing w:after="0"/>
              <w:rPr>
                <w:sz w:val="20"/>
                <w:szCs w:val="20"/>
                <w:color w:val="auto"/>
              </w:rPr>
            </w:pPr>
            <w:r>
              <w:rPr>
                <w:rFonts w:ascii="Times New Roman" w:cs="Times New Roman" w:eastAsia="Times New Roman" w:hAnsi="Times New Roman"/>
                <w:sz w:val="18"/>
                <w:szCs w:val="18"/>
                <w:color w:val="auto"/>
              </w:rPr>
              <w:t>Currency</w:t>
            </w: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Cross-Currency Intercompany Loans</w:t>
            </w:r>
          </w:p>
        </w:tc>
        <w:tc>
          <w:tcPr>
            <w:tcW w:w="268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SGD</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4"/>
              </w:rPr>
              <w:t>SGD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SGD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4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Intercompany Demand Notes</w:t>
            </w:r>
          </w:p>
        </w:tc>
        <w:tc>
          <w:tcPr>
            <w:tcW w:w="26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EUR</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September 30, 2026, we had outstanding foreign currency contracts to purchase and sell certain pairs of currencies,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2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tcBorders>
              <w:bottom w:val="single" w:sz="8" w:color="auto"/>
            </w:tcBorders>
            <w:gridSpan w:val="3"/>
          </w:tcPr>
          <w:p>
            <w:pPr>
              <w:ind w:left="2260"/>
              <w:spacing w:after="0"/>
              <w:rPr>
                <w:sz w:val="20"/>
                <w:szCs w:val="20"/>
                <w:color w:val="auto"/>
              </w:rPr>
            </w:pPr>
            <w:r>
              <w:rPr>
                <w:rFonts w:ascii="Times New Roman" w:cs="Times New Roman" w:eastAsia="Times New Roman" w:hAnsi="Times New Roman"/>
                <w:sz w:val="18"/>
                <w:szCs w:val="18"/>
                <w:color w:val="auto"/>
              </w:rPr>
              <w:t>Sell</w:t>
            </w:r>
          </w:p>
        </w:tc>
        <w:tc>
          <w:tcPr>
            <w:tcW w:w="1800" w:type="dxa"/>
            <w:vAlign w:val="bottom"/>
            <w:tcBorders>
              <w:bottom w:val="single" w:sz="8" w:color="auto"/>
            </w:tcBorders>
          </w:tcPr>
          <w:p>
            <w:pPr>
              <w:spacing w:after="0"/>
              <w:rPr>
                <w:sz w:val="20"/>
                <w:szCs w:val="20"/>
                <w:color w:val="auto"/>
              </w:rPr>
            </w:pPr>
          </w:p>
        </w:tc>
      </w:tr>
      <w:tr>
        <w:trPr>
          <w:trHeight w:val="237"/>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w:t>
            </w:r>
          </w:p>
        </w:tc>
        <w:tc>
          <w:tcPr>
            <w:tcW w:w="24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Purchase</w:t>
            </w:r>
          </w:p>
        </w:tc>
        <w:tc>
          <w:tcPr>
            <w:tcW w:w="300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USD</w:t>
            </w:r>
          </w:p>
        </w:tc>
        <w:tc>
          <w:tcPr>
            <w:tcW w:w="18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EUR</w:t>
            </w:r>
          </w:p>
        </w:tc>
      </w:tr>
      <w:tr>
        <w:trPr>
          <w:trHeight w:val="237"/>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top w:val="single" w:sz="8" w:color="CCEEFF"/>
            </w:tcBorders>
            <w:shd w:val="clear" w:color="auto" w:fill="CCEEFF"/>
          </w:tcPr>
          <w:p>
            <w:pPr>
              <w:spacing w:after="0"/>
              <w:rPr>
                <w:sz w:val="20"/>
                <w:szCs w:val="20"/>
                <w:color w:val="auto"/>
              </w:rPr>
            </w:pP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4,943.4</w:t>
            </w:r>
          </w:p>
        </w:tc>
        <w:tc>
          <w:tcPr>
            <w:tcW w:w="80" w:type="dxa"/>
            <w:vAlign w:val="bottom"/>
          </w:tcPr>
          <w:p>
            <w:pPr>
              <w:spacing w:after="0"/>
              <w:rPr>
                <w:sz w:val="21"/>
                <w:szCs w:val="21"/>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21"/>
                <w:szCs w:val="21"/>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2024, we entered into a cross-currency swap for $130 million, which we designated as a hedge of our net investment in Daikyo. As of</w:t>
      </w:r>
    </w:p>
    <w:p>
      <w:pPr>
        <w:spacing w:after="0" w:line="27"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September 30, 2026, the notional amount of the cross-currency swap is ¥17.0 billion ($130.0 million), and the swap termination date is July 2, 2027. Under the cross-currency swap, we receive fixed USD interest rate payments in return for paying fixed JPY interest rate payments.</w:t>
      </w:r>
    </w:p>
    <w:p>
      <w:pPr>
        <w:spacing w:after="0" w:line="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6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We regularly purchase call options on crude oil to mitigate our exposure to such oil-based surcharges and protect operating cash flows with regard to a portion of our forecasted elastomer purchases. As of September 30, 2026, we had outstanding contracts to purchase 227,960 barrels of crude oil from September 2026 to March 2028, at a weighted-average strike price of $83.16 per barrel.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Derivative Instruments on Financial Position and Results of Operations</w:t>
      </w:r>
    </w:p>
    <w:p>
      <w:pPr>
        <w:spacing w:after="0" w:line="11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Note 10, </w:t>
      </w:r>
      <w:r>
        <w:rPr>
          <w:rFonts w:ascii="Times New Roman" w:cs="Times New Roman" w:eastAsia="Times New Roman" w:hAnsi="Times New Roman"/>
          <w:sz w:val="18"/>
          <w:szCs w:val="18"/>
          <w:i w:val="1"/>
          <w:iCs w:val="1"/>
          <w:u w:val="single" w:color="auto"/>
          <w:color w:val="0000FF"/>
        </w:rPr>
        <w:t>Fair Value Measurements</w:t>
      </w:r>
      <w:r>
        <w:rPr>
          <w:rFonts w:ascii="Times New Roman" w:cs="Times New Roman" w:eastAsia="Times New Roman" w:hAnsi="Times New Roman"/>
          <w:sz w:val="18"/>
          <w:szCs w:val="18"/>
          <w:color w:val="auto"/>
        </w:rPr>
        <w:t>, for the balance sheet location and fair values of our derivative instruments as of September 30, 2026 and December 31, 2025.</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fair value hedges on the condensed consolidated statements of income: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140" w:type="dxa"/>
            <w:vAlign w:val="bottom"/>
          </w:tcPr>
          <w:p>
            <w:pPr>
              <w:spacing w:after="0"/>
              <w:rPr>
                <w:sz w:val="18"/>
                <w:szCs w:val="18"/>
                <w:color w:val="auto"/>
              </w:rPr>
            </w:pPr>
          </w:p>
        </w:tc>
        <w:tc>
          <w:tcPr>
            <w:tcW w:w="19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4"/>
        </w:trPr>
        <w:tc>
          <w:tcPr>
            <w:tcW w:w="3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rPr>
              <w:t>Recognized in Income for the</w:t>
            </w:r>
          </w:p>
        </w:tc>
        <w:tc>
          <w:tcPr>
            <w:tcW w:w="140" w:type="dxa"/>
            <w:vAlign w:val="bottom"/>
          </w:tcPr>
          <w:p>
            <w:pPr>
              <w:spacing w:after="0"/>
              <w:rPr>
                <w:sz w:val="20"/>
                <w:szCs w:val="20"/>
                <w:color w:val="auto"/>
              </w:rPr>
            </w:pPr>
          </w:p>
        </w:tc>
        <w:tc>
          <w:tcPr>
            <w:tcW w:w="236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color w:val="auto"/>
              </w:rPr>
              <w:t>Recognized in Income for the</w:t>
            </w: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r>
      <w:tr>
        <w:trPr>
          <w:trHeight w:val="198"/>
        </w:trPr>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gridSpan w:val="5"/>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40" w:type="dxa"/>
            <w:vAlign w:val="bottom"/>
          </w:tcPr>
          <w:p>
            <w:pPr>
              <w:spacing w:after="0"/>
              <w:rPr>
                <w:sz w:val="17"/>
                <w:szCs w:val="17"/>
                <w:color w:val="auto"/>
              </w:rPr>
            </w:pPr>
          </w:p>
        </w:tc>
        <w:tc>
          <w:tcPr>
            <w:tcW w:w="1960" w:type="dxa"/>
            <w:vAlign w:val="bottom"/>
            <w:gridSpan w:val="3"/>
          </w:tcPr>
          <w:p>
            <w:pPr>
              <w:jc w:val="center"/>
              <w:ind w:left="170"/>
              <w:spacing w:after="0" w:line="198" w:lineRule="exact"/>
              <w:rPr>
                <w:sz w:val="20"/>
                <w:szCs w:val="20"/>
                <w:color w:val="auto"/>
              </w:rPr>
            </w:pPr>
            <w:r>
              <w:rPr>
                <w:rFonts w:ascii="Times New Roman" w:cs="Times New Roman" w:eastAsia="Times New Roman" w:hAnsi="Times New Roman"/>
                <w:sz w:val="18"/>
                <w:szCs w:val="18"/>
                <w:color w:val="auto"/>
              </w:rPr>
              <w:t>Nine Months Ended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r>
      <w:tr>
        <w:trPr>
          <w:trHeight w:val="243"/>
        </w:trPr>
        <w:tc>
          <w:tcPr>
            <w:tcW w:w="3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40" w:type="dxa"/>
            <w:vAlign w:val="bottom"/>
          </w:tcPr>
          <w:p>
            <w:pPr>
              <w:spacing w:after="0"/>
              <w:rPr>
                <w:sz w:val="21"/>
                <w:szCs w:val="21"/>
                <w:color w:val="auto"/>
              </w:rPr>
            </w:pPr>
          </w:p>
        </w:tc>
        <w:tc>
          <w:tcPr>
            <w:tcW w:w="196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color w:val="auto"/>
                <w:w w:val="99"/>
              </w:rPr>
              <w:t>September 30,</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37"/>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780" w:type="dxa"/>
            <w:vAlign w:val="bottom"/>
            <w:tcBorders>
              <w:top w:val="single" w:sz="8" w:color="auto"/>
              <w:bottom w:val="single" w:sz="8" w:color="CCEEFF"/>
            </w:tcBorders>
          </w:tcPr>
          <w:p>
            <w:pPr>
              <w:spacing w:after="0"/>
              <w:rPr>
                <w:sz w:val="20"/>
                <w:szCs w:val="20"/>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r>
      <w:tr>
        <w:trPr>
          <w:trHeight w:val="243"/>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Hedged item (intercompany loan)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8"/>
              </w:rPr>
              <w:t>(3.3)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7.3</w:t>
            </w:r>
          </w:p>
        </w:tc>
        <w:tc>
          <w:tcPr>
            <w:tcW w:w="10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189"/>
        </w:trPr>
        <w:tc>
          <w:tcPr>
            <w:tcW w:w="31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Derivative designated as hedging</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r>
      <w:tr>
        <w:trPr>
          <w:trHeight w:val="243"/>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(3.9)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7"/>
              </w:rPr>
              <w:t>8.2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(7.3)</w:t>
            </w: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189"/>
        </w:trPr>
        <w:tc>
          <w:tcPr>
            <w:tcW w:w="31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Amount excluded from effectiveness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r>
      <w:tr>
        <w:trPr>
          <w:trHeight w:val="243"/>
        </w:trPr>
        <w:tc>
          <w:tcPr>
            <w:tcW w:w="3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testing</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47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left="5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62"/>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780" w:type="dxa"/>
            <w:vAlign w:val="bottom"/>
            <w:tcBorders>
              <w:bottom w:val="single" w:sz="8" w:color="CCEEFF"/>
            </w:tcBorders>
            <w:shd w:val="clear" w:color="auto" w:fill="CCEEFF"/>
          </w:tcPr>
          <w:p>
            <w:pPr>
              <w:spacing w:after="0"/>
              <w:rPr>
                <w:sz w:val="22"/>
                <w:szCs w:val="22"/>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in earnings the initial value of forward point components for hedges of intercompany loans on a straight-line basis over the life of the fair value hedge. The value of forward point components for hedges of intercompany demand notes is recognized currently in earnings using a market approach. The income recognized in earnings, pre-tax, for forward point components for the three months ended September 30, 2026 was $0.4 million. The expense recognized in earnings, pre-tax, for forward point components for the nine months ended September 30, 2026 was $0.5 million. The expense recognized in earnings, pre-tax, for forward point components for the three and nine months ended September 30, 2025 was $0.4 million and $1.3 million, respectively.</w:t>
      </w:r>
    </w:p>
    <w:p>
      <w:pPr>
        <w:spacing w:after="0" w:line="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effects of derivative instruments designated as fair value, cash flow, and net investment hedges on other comprehensive income (“OCI”) and earnings, net of tax:</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286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Amount of (Gain) Loss Reclassified</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27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from Accumulated OCI into Income</w:t>
            </w: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 OCI for the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0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for the</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400"/>
              <w:spacing w:after="0" w:line="18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2360" w:type="dxa"/>
            <w:vAlign w:val="bottom"/>
            <w:gridSpan w:val="4"/>
          </w:tcPr>
          <w:p>
            <w:pPr>
              <w:jc w:val="center"/>
              <w:ind w:left="350"/>
              <w:spacing w:after="0" w:line="189"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Location of (Gain) Loss Reclassified</w:t>
            </w: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Accumulated OCI into Income</w:t>
            </w:r>
          </w:p>
        </w:tc>
        <w:tc>
          <w:tcPr>
            <w:tcW w:w="0" w:type="dxa"/>
            <w:vAlign w:val="bottom"/>
          </w:tcPr>
          <w:p>
            <w:pPr>
              <w:spacing w:after="0"/>
              <w:rPr>
                <w:sz w:val="1"/>
                <w:szCs w:val="1"/>
                <w:color w:val="auto"/>
              </w:rPr>
            </w:pPr>
          </w:p>
        </w:tc>
      </w:tr>
      <w:tr>
        <w:trPr>
          <w:trHeight w:val="241"/>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2860" w:type="dxa"/>
            <w:vAlign w:val="bottom"/>
            <w:gridSpan w:val="6"/>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Amount of Gain (Loss) Recognized</w:t>
            </w:r>
          </w:p>
        </w:tc>
        <w:tc>
          <w:tcPr>
            <w:tcW w:w="2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rPr>
              <w:t>Amount of (Gain) Loss Reclassified</w:t>
            </w: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2860" w:type="dxa"/>
            <w:vAlign w:val="bottom"/>
            <w:gridSpan w:val="6"/>
            <w:vMerge w:val="continue"/>
          </w:tcPr>
          <w:p>
            <w:pPr>
              <w:spacing w:after="0"/>
              <w:rPr>
                <w:sz w:val="15"/>
                <w:szCs w:val="15"/>
                <w:color w:val="auto"/>
              </w:rPr>
            </w:pPr>
          </w:p>
        </w:tc>
        <w:tc>
          <w:tcPr>
            <w:tcW w:w="2780" w:type="dxa"/>
            <w:vAlign w:val="bottom"/>
            <w:gridSpan w:val="5"/>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from Accumulated OCI into Income</w:t>
            </w:r>
          </w:p>
        </w:tc>
        <w:tc>
          <w:tcPr>
            <w:tcW w:w="1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in OCI for the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00" w:type="dxa"/>
            <w:vAlign w:val="bottom"/>
            <w:gridSpan w:val="3"/>
          </w:tcPr>
          <w:p>
            <w:pPr>
              <w:jc w:val="center"/>
              <w:ind w:right="330"/>
              <w:spacing w:after="0"/>
              <w:rPr>
                <w:sz w:val="20"/>
                <w:szCs w:val="20"/>
                <w:color w:val="auto"/>
              </w:rPr>
            </w:pPr>
            <w:r>
              <w:rPr>
                <w:rFonts w:ascii="Times New Roman" w:cs="Times New Roman" w:eastAsia="Times New Roman" w:hAnsi="Times New Roman"/>
                <w:sz w:val="18"/>
                <w:szCs w:val="18"/>
                <w:color w:val="auto"/>
              </w:rPr>
              <w:t>for the</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60" w:type="dxa"/>
            <w:vAlign w:val="bottom"/>
            <w:gridSpan w:val="5"/>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auto"/>
              </w:rPr>
              <w:t>Nine Months Ended</w:t>
            </w:r>
          </w:p>
        </w:tc>
        <w:tc>
          <w:tcPr>
            <w:tcW w:w="2360" w:type="dxa"/>
            <w:vAlign w:val="bottom"/>
            <w:gridSpan w:val="4"/>
          </w:tcPr>
          <w:p>
            <w:pPr>
              <w:jc w:val="center"/>
              <w:ind w:left="330"/>
              <w:spacing w:after="0" w:line="189" w:lineRule="exact"/>
              <w:rPr>
                <w:sz w:val="20"/>
                <w:szCs w:val="20"/>
                <w:color w:val="auto"/>
              </w:rPr>
            </w:pPr>
            <w:r>
              <w:rPr>
                <w:rFonts w:ascii="Times New Roman" w:cs="Times New Roman" w:eastAsia="Times New Roman" w:hAnsi="Times New Roman"/>
                <w:sz w:val="18"/>
                <w:szCs w:val="18"/>
                <w:color w:val="auto"/>
              </w:rPr>
              <w:t>Nine Months Ended</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Location of (Gain) Loss Reclassified</w:t>
            </w: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Times New Roman" w:cs="Times New Roman" w:eastAsia="Times New Roman" w:hAnsi="Times New Roman"/>
                <w:sz w:val="18"/>
                <w:szCs w:val="18"/>
                <w:color w:val="auto"/>
                <w:w w:val="99"/>
              </w:rPr>
              <w:t>September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330"/>
              <w:spacing w:after="0"/>
              <w:rPr>
                <w:sz w:val="20"/>
                <w:szCs w:val="20"/>
                <w:color w:val="auto"/>
              </w:rPr>
            </w:pPr>
            <w:r>
              <w:rPr>
                <w:rFonts w:ascii="Times New Roman" w:cs="Times New Roman" w:eastAsia="Times New Roman" w:hAnsi="Times New Roman"/>
                <w:sz w:val="18"/>
                <w:szCs w:val="18"/>
                <w:color w:val="auto"/>
                <w:w w:val="99"/>
              </w:rPr>
              <w:t>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from Accumulated OCI into Income</w:t>
            </w:r>
          </w:p>
        </w:tc>
        <w:tc>
          <w:tcPr>
            <w:tcW w:w="0" w:type="dxa"/>
            <w:vAlign w:val="bottom"/>
          </w:tcPr>
          <w:p>
            <w:pPr>
              <w:spacing w:after="0"/>
              <w:rPr>
                <w:sz w:val="1"/>
                <w:szCs w:val="1"/>
                <w:color w:val="auto"/>
              </w:rPr>
            </w:pPr>
          </w:p>
        </w:tc>
      </w:tr>
      <w:tr>
        <w:trPr>
          <w:trHeight w:val="241"/>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94"/>
              </w:rPr>
              <w:t>2025</w:t>
            </w: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Hedges: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 Hedges: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hedge contracts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Forward treasury locks</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Investment Hedges: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Refer to the above tables which summarize the effects of derivative instruments designated as fair value hedges within the other expense (income) line in our condensed consolidated statements of income for the three and nine months ended September 30, 2026 and September 30, 2025.</w:t>
      </w:r>
    </w:p>
    <w:p>
      <w:pPr>
        <w:spacing w:after="0" w:line="54"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effects of derivative instruments designated as cash flow and net investment hedges by line item in the condensed consolidated statements of income:</w:t>
      </w: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740" w:type="dxa"/>
            <w:vAlign w:val="bottom"/>
            <w:gridSpan w:val="4"/>
          </w:tcPr>
          <w:p>
            <w:pPr>
              <w:jc w:val="right"/>
              <w:ind w:right="270"/>
              <w:spacing w:after="0" w:line="182" w:lineRule="exact"/>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80" w:type="dxa"/>
            <w:vAlign w:val="bottom"/>
            <w:gridSpan w:val="4"/>
          </w:tcPr>
          <w:p>
            <w:pPr>
              <w:jc w:val="right"/>
              <w:ind w:right="790"/>
              <w:spacing w:after="0" w:line="182" w:lineRule="exact"/>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4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0.4</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7"/>
              </w:rPr>
              <w:t>1.1</w:t>
            </w:r>
          </w:p>
        </w:tc>
        <w:tc>
          <w:tcPr>
            <w:tcW w:w="100" w:type="dxa"/>
            <w:vAlign w:val="bottom"/>
          </w:tcPr>
          <w:p>
            <w:pPr>
              <w:spacing w:after="0"/>
              <w:rPr>
                <w:sz w:val="21"/>
                <w:szCs w:val="21"/>
                <w:color w:val="auto"/>
              </w:rPr>
            </w:pP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w w:val="97"/>
              </w:rPr>
              <w:t>0.1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effects of derivative instruments not designated as hedges on the condensed consolidated statements of income: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4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Amount of Gain (Loss) Recognized in</w:t>
            </w:r>
          </w:p>
        </w:tc>
        <w:tc>
          <w:tcPr>
            <w:tcW w:w="120" w:type="dxa"/>
            <w:vAlign w:val="bottom"/>
          </w:tcPr>
          <w:p>
            <w:pPr>
              <w:spacing w:after="0"/>
              <w:rPr>
                <w:sz w:val="18"/>
                <w:szCs w:val="18"/>
                <w:color w:val="auto"/>
              </w:rPr>
            </w:pPr>
          </w:p>
        </w:tc>
        <w:tc>
          <w:tcPr>
            <w:tcW w:w="2920" w:type="dxa"/>
            <w:vAlign w:val="bottom"/>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Amount of Gain (Loss) Recognized in</w:t>
            </w:r>
          </w:p>
        </w:tc>
        <w:tc>
          <w:tcPr>
            <w:tcW w:w="8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Income for the</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Income for the</w:t>
            </w: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198"/>
        </w:trPr>
        <w:tc>
          <w:tcPr>
            <w:tcW w:w="2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40" w:type="dxa"/>
            <w:vAlign w:val="bottom"/>
            <w:gridSpan w:val="5"/>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Three Months Ended</w:t>
            </w:r>
          </w:p>
        </w:tc>
        <w:tc>
          <w:tcPr>
            <w:tcW w:w="120" w:type="dxa"/>
            <w:vAlign w:val="bottom"/>
          </w:tcPr>
          <w:p>
            <w:pPr>
              <w:spacing w:after="0"/>
              <w:rPr>
                <w:sz w:val="17"/>
                <w:szCs w:val="17"/>
                <w:color w:val="auto"/>
              </w:rPr>
            </w:pPr>
          </w:p>
        </w:tc>
        <w:tc>
          <w:tcPr>
            <w:tcW w:w="2920" w:type="dxa"/>
            <w:vAlign w:val="bottom"/>
            <w:gridSpan w:val="4"/>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9"/>
              </w:rPr>
              <w:t>Nine Months Ended</w:t>
            </w:r>
          </w:p>
        </w:tc>
        <w:tc>
          <w:tcPr>
            <w:tcW w:w="80" w:type="dxa"/>
            <w:vAlign w:val="bottom"/>
          </w:tcPr>
          <w:p>
            <w:pPr>
              <w:spacing w:after="0"/>
              <w:rPr>
                <w:sz w:val="17"/>
                <w:szCs w:val="17"/>
                <w:color w:val="auto"/>
              </w:rPr>
            </w:pPr>
          </w:p>
        </w:tc>
        <w:tc>
          <w:tcPr>
            <w:tcW w:w="2500" w:type="dxa"/>
            <w:vAlign w:val="bottom"/>
          </w:tcPr>
          <w:p>
            <w:pPr>
              <w:spacing w:after="0"/>
              <w:rPr>
                <w:sz w:val="17"/>
                <w:szCs w:val="17"/>
                <w:color w:val="auto"/>
              </w:rPr>
            </w:pPr>
          </w:p>
        </w:tc>
      </w:tr>
      <w:tr>
        <w:trPr>
          <w:trHeight w:val="234"/>
        </w:trPr>
        <w:tc>
          <w:tcPr>
            <w:tcW w:w="2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730"/>
              <w:spacing w:after="0"/>
              <w:rPr>
                <w:sz w:val="20"/>
                <w:szCs w:val="20"/>
                <w:color w:val="auto"/>
              </w:rPr>
            </w:pPr>
            <w:r>
              <w:rPr>
                <w:rFonts w:ascii="Times New Roman" w:cs="Times New Roman" w:eastAsia="Times New Roman" w:hAnsi="Times New Roman"/>
                <w:sz w:val="18"/>
                <w:szCs w:val="18"/>
                <w:color w:val="auto"/>
                <w:w w:val="99"/>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September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Location on Statement of Income</w:t>
            </w:r>
          </w:p>
        </w:tc>
      </w:tr>
      <w:tr>
        <w:trPr>
          <w:trHeight w:val="237"/>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r>
      <w:tr>
        <w:trPr>
          <w:trHeight w:val="236"/>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call options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8"/>
              </w:rPr>
              <w:t>(0.5)</w:t>
            </w:r>
          </w:p>
        </w:tc>
        <w:tc>
          <w:tcPr>
            <w:tcW w:w="80" w:type="dxa"/>
            <w:vAlign w:val="bottom"/>
            <w:shd w:val="clear" w:color="auto" w:fill="CCEEFF"/>
          </w:tcPr>
          <w:p>
            <w:pPr>
              <w:spacing w:after="0"/>
              <w:rPr>
                <w:sz w:val="20"/>
                <w:szCs w:val="20"/>
                <w:color w:val="auto"/>
              </w:rPr>
            </w:pPr>
          </w:p>
        </w:tc>
        <w:tc>
          <w:tcPr>
            <w:tcW w:w="2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43"/>
        </w:trPr>
        <w:tc>
          <w:tcPr>
            <w:tcW w:w="2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Currency Forwards</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7"/>
              </w:rPr>
              <w:t>1.2</w:t>
            </w:r>
          </w:p>
        </w:tc>
        <w:tc>
          <w:tcPr>
            <w:tcW w:w="8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r>
      <w:tr>
        <w:trPr>
          <w:trHeight w:val="262"/>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51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7"/>
              </w:rPr>
              <w:t>0.7</w:t>
            </w:r>
          </w:p>
        </w:tc>
        <w:tc>
          <w:tcPr>
            <w:tcW w:w="8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2026 and 2025, there was no material ineffectiveness related to these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68"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Unadjusted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980" w:right="180" w:hanging="324"/>
        <w:spacing w:after="0" w:line="312" w:lineRule="auto"/>
        <w:tabs>
          <w:tab w:leader="none" w:pos="97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31" w:lineRule="exact"/>
        <w:rPr>
          <w:rFonts w:ascii="Times New Roman" w:cs="Times New Roman" w:eastAsia="Times New Roman" w:hAnsi="Times New Roman"/>
          <w:sz w:val="17"/>
          <w:szCs w:val="17"/>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Unobservable inputs that reflect the reporting entity’s own assumptions.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assets and liabilities recorded at fair value on a recurring basis: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Balance at</w:t>
            </w:r>
          </w:p>
        </w:tc>
        <w:tc>
          <w:tcPr>
            <w:tcW w:w="30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9"/>
              </w:rPr>
              <w:t>September 30,</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1"/>
                <w:szCs w:val="21"/>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468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39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4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Balance at</w:t>
            </w:r>
          </w:p>
        </w:tc>
        <w:tc>
          <w:tcPr>
            <w:tcW w:w="30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Basis of Fair Value Measurements</w:t>
            </w:r>
          </w:p>
        </w:tc>
        <w:tc>
          <w:tcPr>
            <w:tcW w:w="1100" w:type="dxa"/>
            <w:vAlign w:val="bottom"/>
            <w:tcBorders>
              <w:bottom w:val="single" w:sz="8" w:color="auto"/>
            </w:tcBorders>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w w:val="98"/>
              </w:rPr>
              <w:t>December 31,</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Level 1</w:t>
            </w:r>
          </w:p>
        </w:tc>
        <w:tc>
          <w:tcPr>
            <w:tcW w:w="300" w:type="dxa"/>
            <w:vAlign w:val="bottom"/>
          </w:tcPr>
          <w:p>
            <w:pPr>
              <w:spacing w:after="0"/>
              <w:rPr>
                <w:sz w:val="21"/>
                <w:szCs w:val="21"/>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Level 2</w:t>
            </w:r>
          </w:p>
        </w:tc>
        <w:tc>
          <w:tcPr>
            <w:tcW w:w="460" w:type="dxa"/>
            <w:vAlign w:val="bottom"/>
          </w:tcPr>
          <w:p>
            <w:pPr>
              <w:spacing w:after="0"/>
              <w:rPr>
                <w:sz w:val="21"/>
                <w:szCs w:val="21"/>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Level 3</w:t>
            </w:r>
          </w:p>
        </w:tc>
      </w:tr>
      <w:tr>
        <w:trPr>
          <w:trHeight w:val="183"/>
        </w:trPr>
        <w:tc>
          <w:tcPr>
            <w:tcW w:w="20" w:type="dxa"/>
            <w:vAlign w:val="bottom"/>
            <w:tcBorders>
              <w:top w:val="single" w:sz="8" w:color="CCEEFF"/>
            </w:tcBorders>
            <w:shd w:val="clear" w:color="auto" w:fill="CCEEFF"/>
          </w:tcPr>
          <w:p>
            <w:pPr>
              <w:spacing w:after="0"/>
              <w:rPr>
                <w:sz w:val="15"/>
                <w:szCs w:val="15"/>
                <w:color w:val="auto"/>
              </w:rPr>
            </w:pPr>
          </w:p>
        </w:tc>
        <w:tc>
          <w:tcPr>
            <w:tcW w:w="4680" w:type="dxa"/>
            <w:vAlign w:val="bottom"/>
            <w:tcBorders>
              <w:top w:val="single" w:sz="8" w:color="CCEE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compensation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Cross-currency swap</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Commodity call options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453.9</w:t>
            </w: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68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39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liabilities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CCEEFF"/>
              <w:bottom w:val="single" w:sz="8" w:color="CCEEFF"/>
            </w:tcBorders>
            <w:shd w:val="clear" w:color="auto" w:fill="CCEEFF"/>
          </w:tcPr>
          <w:p>
            <w:pPr>
              <w:spacing w:after="0"/>
              <w:rPr>
                <w:sz w:val="22"/>
                <w:szCs w:val="22"/>
                <w:color w:val="auto"/>
              </w:rPr>
            </w:pPr>
          </w:p>
        </w:tc>
        <w:tc>
          <w:tcPr>
            <w:tcW w:w="39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Deferred compensation assets are included within other noncurrent assets and are valued using a market approach based on quoted market prices in an active market. Money market funds are included within cash and cash equivalents and are valued based on quoted market prices in active markets, with no valuation adjustment. Time deposits are included within cash and cash equivalents and are valued using relevant observable market inputs including quoted prices for similar assets and interest rate curves. The fair value of our foreign currency contracts, included within other current and other noncurrent assets, as well as other current and other long-term liabilities, is valued using an income approach based on quoted forward foreign exchange rates and spot rates at the reporting date. The fair value of the cross-currency swap, included within other noncurrent assets, is valued using a market approach. Please refer to Note 9, </w:t>
      </w:r>
      <w:r>
        <w:rPr>
          <w:rFonts w:ascii="Times New Roman" w:cs="Times New Roman" w:eastAsia="Times New Roman" w:hAnsi="Times New Roman"/>
          <w:sz w:val="18"/>
          <w:szCs w:val="18"/>
          <w:i w:val="1"/>
          <w:iCs w:val="1"/>
          <w:u w:val="single" w:color="auto"/>
          <w:color w:val="0000FF"/>
        </w:rPr>
        <w:t>Derivative Financial Instruments</w:t>
      </w:r>
      <w:r>
        <w:rPr>
          <w:rFonts w:ascii="Times New Roman" w:cs="Times New Roman" w:eastAsia="Times New Roman" w:hAnsi="Times New Roman"/>
          <w:sz w:val="18"/>
          <w:szCs w:val="18"/>
          <w:color w:val="auto"/>
        </w:rPr>
        <w:t>, for further discussion of our derivatives. The fair value of our commodity call options, included within other current and other noncurrent assets, is valued using a market approach. The fair value of deferred compensation liabilities is based on quoted prices of the underlying employees’ investment selections and is included within other long-term liabilities.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Financial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carrying amounts of our cash and accounts receivable approximate their fair values due to their near-term maturities.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estimated fair value of debt is based on quoted market prices for debt issuances with similar terms and maturities and is classified as Level 2 within the fair value hierarchy. At September 30, 2026, the estimated fair value of long-term debt was $202.1 million compared to a carrying amount of</w:t>
      </w:r>
    </w:p>
    <w:p>
      <w:pPr>
        <w:ind w:right="60"/>
        <w:spacing w:after="0" w:line="260" w:lineRule="auto"/>
        <w:rPr>
          <w:sz w:val="20"/>
          <w:szCs w:val="20"/>
          <w:color w:val="auto"/>
        </w:rPr>
      </w:pPr>
      <w:r>
        <w:rPr>
          <w:rFonts w:ascii="Times New Roman" w:cs="Times New Roman" w:eastAsia="Times New Roman" w:hAnsi="Times New Roman"/>
          <w:sz w:val="18"/>
          <w:szCs w:val="18"/>
          <w:color w:val="auto"/>
        </w:rPr>
        <w:t>$202.9 million. At December 31, 2025, the estimated fair value of the Company's debt was $202.4 million and the carrying amount was $202.8 million. As of September 30, 2026 and December 31, 2025 all debt is classified as long-term.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Accumulated Other Comprehensive Loss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nine months ended September 30, 2026:</w:t>
      </w: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Change in equity</w:t>
            </w:r>
          </w:p>
        </w:tc>
        <w:tc>
          <w:tcPr>
            <w:tcW w:w="2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Defined benefit pension and</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AOCI</w:t>
            </w:r>
          </w:p>
        </w:tc>
        <w:tc>
          <w:tcPr>
            <w:tcW w:w="120" w:type="dxa"/>
            <w:vAlign w:val="bottom"/>
          </w:tcPr>
          <w:p>
            <w:pPr>
              <w:spacing w:after="0"/>
              <w:rPr>
                <w:sz w:val="21"/>
                <w:szCs w:val="21"/>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other postretirement plans</w:t>
            </w:r>
          </w:p>
        </w:tc>
        <w:tc>
          <w:tcPr>
            <w:tcW w:w="1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7"/>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(1.5)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0" w:type="dxa"/>
            <w:vAlign w:val="bottom"/>
          </w:tcPr>
          <w:p>
            <w:pPr>
              <w:spacing w:after="0"/>
              <w:rPr>
                <w:sz w:val="1"/>
                <w:szCs w:val="1"/>
                <w:color w:val="auto"/>
              </w:rPr>
            </w:pPr>
          </w:p>
        </w:tc>
      </w:tr>
      <w:tr>
        <w:trPr>
          <w:trHeight w:val="169"/>
        </w:trPr>
        <w:tc>
          <w:tcPr>
            <w:tcW w:w="32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1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8"/>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14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Amounts reclassified out from</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60" w:type="dxa"/>
            <w:vAlign w:val="bottom"/>
            <w:shd w:val="clear" w:color="auto" w:fill="CCEEFF"/>
          </w:tcPr>
          <w:p>
            <w:pPr>
              <w:ind w:left="100"/>
              <w:spacing w:after="0" w:line="184"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69"/>
        </w:trPr>
        <w:tc>
          <w:tcPr>
            <w:tcW w:w="32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Pr>
          <w:p>
            <w:pPr>
              <w:spacing w:after="0"/>
              <w:rPr>
                <w:sz w:val="21"/>
                <w:szCs w:val="21"/>
                <w:color w:val="auto"/>
              </w:rPr>
            </w:pPr>
          </w:p>
        </w:tc>
        <w:tc>
          <w:tcPr>
            <w:tcW w:w="1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262"/>
        </w:trPr>
        <w:tc>
          <w:tcPr>
            <w:tcW w:w="3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(0.6)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presents the changes in the components of accumulated other comprehensive income ("AOCI") (loss), net of tax, for the nine months ended September 30, 2025:</w:t>
      </w:r>
    </w:p>
    <w:tbl>
      <w:tblPr>
        <w:tblLayout w:type="fixed"/>
        <w:tblInd w:w="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line="182" w:lineRule="exact"/>
              <w:rPr>
                <w:sz w:val="20"/>
                <w:szCs w:val="20"/>
                <w:color w:val="auto"/>
              </w:rPr>
            </w:pPr>
            <w:r>
              <w:rPr>
                <w:rFonts w:ascii="Times New Roman" w:cs="Times New Roman" w:eastAsia="Times New Roman" w:hAnsi="Times New Roman"/>
                <w:sz w:val="18"/>
                <w:szCs w:val="18"/>
                <w:color w:val="auto"/>
                <w:w w:val="99"/>
              </w:rPr>
              <w:t>Change in equity</w:t>
            </w:r>
          </w:p>
        </w:tc>
        <w:tc>
          <w:tcPr>
            <w:tcW w:w="22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Defined benefit pension and</w:t>
            </w:r>
          </w:p>
        </w:tc>
        <w:tc>
          <w:tcPr>
            <w:tcW w:w="160" w:type="dxa"/>
            <w:vAlign w:val="bottom"/>
          </w:tcPr>
          <w:p>
            <w:pPr>
              <w:spacing w:after="0"/>
              <w:rPr>
                <w:sz w:val="15"/>
                <w:szCs w:val="15"/>
                <w:color w:val="auto"/>
              </w:rPr>
            </w:pPr>
          </w:p>
        </w:tc>
        <w:tc>
          <w:tcPr>
            <w:tcW w:w="116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color w:val="auto"/>
                <w:w w:val="99"/>
              </w:rPr>
              <w:t>Foreign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2"/>
          </w:tcPr>
          <w:p>
            <w:pPr>
              <w:jc w:val="center"/>
              <w:ind w:right="280"/>
              <w:spacing w:after="0" w:line="176" w:lineRule="exact"/>
              <w:rPr>
                <w:sz w:val="20"/>
                <w:szCs w:val="20"/>
                <w:color w:val="auto"/>
              </w:rPr>
            </w:pPr>
            <w:r>
              <w:rPr>
                <w:rFonts w:ascii="Times New Roman" w:cs="Times New Roman" w:eastAsia="Times New Roman" w:hAnsi="Times New Roman"/>
                <w:sz w:val="18"/>
                <w:szCs w:val="18"/>
                <w:color w:val="auto"/>
                <w:w w:val="98"/>
              </w:rPr>
              <w:t>affiliate investment</w:t>
            </w:r>
          </w:p>
        </w:tc>
        <w:tc>
          <w:tcPr>
            <w:tcW w:w="22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Derivatives</w:t>
            </w:r>
          </w:p>
        </w:tc>
        <w:tc>
          <w:tcPr>
            <w:tcW w:w="18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AOCI</w:t>
            </w:r>
          </w:p>
        </w:tc>
        <w:tc>
          <w:tcPr>
            <w:tcW w:w="120" w:type="dxa"/>
            <w:vAlign w:val="bottom"/>
          </w:tcPr>
          <w:p>
            <w:pPr>
              <w:spacing w:after="0"/>
              <w:rPr>
                <w:sz w:val="21"/>
                <w:szCs w:val="21"/>
                <w:color w:val="auto"/>
              </w:rPr>
            </w:pPr>
          </w:p>
        </w:tc>
        <w:tc>
          <w:tcPr>
            <w:tcW w:w="2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other postretirement plans</w:t>
            </w:r>
          </w:p>
        </w:tc>
        <w:tc>
          <w:tcPr>
            <w:tcW w:w="16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translation</w:t>
            </w: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36"/>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8"/>
              </w:rPr>
              <w:t>(2.5)</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r>
        <w:trPr>
          <w:trHeight w:val="169"/>
        </w:trPr>
        <w:tc>
          <w:tcPr>
            <w:tcW w:w="32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1"/>
                <w:szCs w:val="21"/>
                <w:color w:val="auto"/>
              </w:rPr>
            </w:pPr>
          </w:p>
        </w:tc>
        <w:tc>
          <w:tcPr>
            <w:tcW w:w="1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189"/>
        </w:trPr>
        <w:tc>
          <w:tcPr>
            <w:tcW w:w="32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Amounts reclassified out from</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169"/>
        </w:trPr>
        <w:tc>
          <w:tcPr>
            <w:tcW w:w="3260" w:type="dxa"/>
            <w:vAlign w:val="bottom"/>
          </w:tcPr>
          <w:p>
            <w:pPr>
              <w:ind w:left="100"/>
              <w:spacing w:after="0" w:line="169"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tax</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6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reclassifications out from accumulated other comprehensive loss is presented in the following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60" w:type="dxa"/>
            <w:vAlign w:val="bottom"/>
          </w:tcPr>
          <w:p>
            <w:pPr>
              <w:spacing w:after="0"/>
              <w:rPr>
                <w:sz w:val="17"/>
                <w:szCs w:val="17"/>
                <w:color w:val="auto"/>
              </w:rPr>
            </w:pPr>
          </w:p>
        </w:tc>
        <w:tc>
          <w:tcPr>
            <w:tcW w:w="16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Nine Months Ended</w:t>
            </w:r>
          </w:p>
        </w:tc>
        <w:tc>
          <w:tcPr>
            <w:tcW w:w="1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40" w:type="dxa"/>
            <w:vAlign w:val="bottom"/>
          </w:tcPr>
          <w:p>
            <w:pPr>
              <w:spacing w:after="0"/>
              <w:rPr>
                <w:sz w:val="21"/>
                <w:szCs w:val="21"/>
                <w:color w:val="auto"/>
              </w:rPr>
            </w:pPr>
          </w:p>
        </w:tc>
        <w:tc>
          <w:tcPr>
            <w:tcW w:w="180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60" w:type="dxa"/>
            <w:vAlign w:val="bottom"/>
          </w:tcPr>
          <w:p>
            <w:pPr>
              <w:spacing w:after="0"/>
              <w:rPr>
                <w:sz w:val="21"/>
                <w:szCs w:val="21"/>
                <w:color w:val="auto"/>
              </w:rPr>
            </w:pPr>
          </w:p>
        </w:tc>
        <w:tc>
          <w:tcPr>
            <w:tcW w:w="168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September 30,</w:t>
            </w:r>
          </w:p>
        </w:tc>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Detail of components</w:t>
            </w:r>
          </w:p>
        </w:tc>
        <w:tc>
          <w:tcPr>
            <w:tcW w:w="10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3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Location on Statement of Income</w:t>
            </w:r>
          </w:p>
        </w:tc>
        <w:tc>
          <w:tcPr>
            <w:tcW w:w="0" w:type="dxa"/>
            <w:vAlign w:val="bottom"/>
          </w:tcPr>
          <w:p>
            <w:pPr>
              <w:spacing w:after="0"/>
              <w:rPr>
                <w:sz w:val="1"/>
                <w:szCs w:val="1"/>
                <w:color w:val="auto"/>
              </w:rPr>
            </w:pPr>
          </w:p>
        </w:tc>
      </w:tr>
      <w:tr>
        <w:trPr>
          <w:trHeight w:val="237"/>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derivatives:</w:t>
            </w: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contracts</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1"/>
                <w:szCs w:val="21"/>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and services sold</w:t>
            </w: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Forward treasury locks</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(3.4)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20"/>
                <w:szCs w:val="20"/>
                <w:color w:val="auto"/>
              </w:rPr>
            </w:pPr>
          </w:p>
        </w:tc>
        <w:tc>
          <w:tcPr>
            <w:tcW w:w="3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4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8"/>
              </w:rPr>
              <w:t>(2.6)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16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Amortization of defined benefit pension and other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1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postretirement plans:</w:t>
            </w: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1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Actuarial gains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1"/>
                <w:szCs w:val="21"/>
                <w:color w:val="auto"/>
              </w:rPr>
            </w:pPr>
          </w:p>
        </w:tc>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43"/>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before tax</w:t>
            </w:r>
          </w:p>
        </w:tc>
        <w:tc>
          <w:tcPr>
            <w:tcW w:w="14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top w:val="single" w:sz="8" w:color="CCEEFF"/>
            </w:tcBorders>
            <w:shd w:val="clear" w:color="auto" w:fill="CCEEFF"/>
          </w:tcPr>
          <w:p>
            <w:pPr>
              <w:spacing w:after="0"/>
              <w:rPr>
                <w:sz w:val="20"/>
                <w:szCs w:val="20"/>
                <w:color w:val="auto"/>
              </w:rPr>
            </w:pPr>
          </w:p>
        </w:tc>
        <w:tc>
          <w:tcPr>
            <w:tcW w:w="3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expense</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7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8"/>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0.3</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top w:val="single" w:sz="8" w:color="CCEEFF"/>
            </w:tcBorders>
            <w:shd w:val="clear" w:color="auto" w:fill="CCEEFF"/>
          </w:tcPr>
          <w:p>
            <w:pPr>
              <w:spacing w:after="0"/>
              <w:rPr>
                <w:sz w:val="20"/>
                <w:szCs w:val="20"/>
                <w:color w:val="auto"/>
              </w:rPr>
            </w:pPr>
          </w:p>
        </w:tc>
        <w:tc>
          <w:tcPr>
            <w:tcW w:w="31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reclassifications for the period, net of tax</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color w:val="auto"/>
                <w:w w:val="98"/>
              </w:rPr>
              <w:t>(2.3)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component is included in the computation of net periodic benefit cost.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shareholders’ equity for the nine months ended September 30, 2026:</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00" w:type="dxa"/>
            <w:vAlign w:val="bottom"/>
          </w:tcPr>
          <w:p>
            <w:pPr>
              <w:spacing w:after="0"/>
              <w:rPr>
                <w:sz w:val="17"/>
                <w:szCs w:val="17"/>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Common</w:t>
            </w:r>
          </w:p>
        </w:tc>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auto"/>
              </w:rPr>
              <w:t>Common</w:t>
            </w:r>
          </w:p>
        </w:tc>
        <w:tc>
          <w:tcPr>
            <w:tcW w:w="14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Capital in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Number of</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auto"/>
              </w:rPr>
              <w:t>Treasury</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Retained</w:t>
            </w:r>
          </w:p>
        </w:tc>
        <w:tc>
          <w:tcPr>
            <w:tcW w:w="15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Accumulated other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8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rPr>
              <w:t>Shares</w:t>
            </w:r>
          </w:p>
        </w:tc>
        <w:tc>
          <w:tcPr>
            <w:tcW w:w="840" w:type="dxa"/>
            <w:vAlign w:val="bottom"/>
            <w:gridSpan w:val="3"/>
            <w:vMerge w:val="continue"/>
          </w:tcPr>
          <w:p>
            <w:pPr>
              <w:spacing w:after="0"/>
              <w:rPr>
                <w:sz w:val="14"/>
                <w:szCs w:val="14"/>
                <w:color w:val="auto"/>
              </w:rPr>
            </w:pPr>
          </w:p>
        </w:tc>
        <w:tc>
          <w:tcPr>
            <w:tcW w:w="110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rPr>
              <w:t>Excess of Par</w:t>
            </w:r>
          </w:p>
        </w:tc>
        <w:tc>
          <w:tcPr>
            <w:tcW w:w="9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w w:val="99"/>
              </w:rPr>
              <w:t>Treasury</w:t>
            </w:r>
          </w:p>
        </w:tc>
        <w:tc>
          <w:tcPr>
            <w:tcW w:w="90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ind w:right="175"/>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8"/>
        </w:trPr>
        <w:tc>
          <w:tcPr>
            <w:tcW w:w="3300" w:type="dxa"/>
            <w:vAlign w:val="bottom"/>
            <w:tcBorders>
              <w:bottom w:val="single" w:sz="8" w:color="CCEEFF"/>
            </w:tcBorders>
            <w:vMerge w:val="continue"/>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Issued</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Stock</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7"/>
                <w:szCs w:val="17"/>
                <w:color w:val="auto"/>
                <w:w w:val="93"/>
              </w:rPr>
              <w:t>Value</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Shares</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Stock</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7"/>
              </w:rPr>
              <w:t>earnings</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comprehensive loss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(1,112.2)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4,374.9</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3,176.0</w:t>
            </w:r>
          </w:p>
        </w:tc>
        <w:tc>
          <w:tcPr>
            <w:tcW w:w="0" w:type="dxa"/>
            <w:vAlign w:val="bottom"/>
          </w:tcPr>
          <w:p>
            <w:pPr>
              <w:spacing w:after="0"/>
              <w:rPr>
                <w:sz w:val="1"/>
                <w:szCs w:val="1"/>
                <w:color w:val="auto"/>
              </w:rPr>
            </w:pPr>
          </w:p>
        </w:tc>
      </w:tr>
      <w:tr>
        <w:trPr>
          <w:trHeight w:val="235"/>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0" w:type="dxa"/>
            <w:vAlign w:val="bottom"/>
          </w:tcPr>
          <w:p>
            <w:pPr>
              <w:spacing w:after="0"/>
              <w:rPr>
                <w:sz w:val="1"/>
                <w:szCs w:val="1"/>
                <w:color w:val="auto"/>
              </w:rPr>
            </w:pPr>
          </w:p>
        </w:tc>
      </w:tr>
      <w:tr>
        <w:trPr>
          <w:trHeight w:val="181"/>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(297.6)</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($0.22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0" w:type="dxa"/>
            <w:vAlign w:val="bottom"/>
          </w:tcPr>
          <w:p>
            <w:pPr>
              <w:spacing w:after="0"/>
              <w:rPr>
                <w:sz w:val="1"/>
                <w:szCs w:val="1"/>
                <w:color w:val="auto"/>
              </w:rPr>
            </w:pPr>
          </w:p>
        </w:tc>
      </w:tr>
      <w:tr>
        <w:trPr>
          <w:trHeight w:val="237"/>
        </w:trPr>
        <w:tc>
          <w:tcPr>
            <w:tcW w:w="3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63"/>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(1,379.1)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4,475.9</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2,990.4</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vMerge w:val="continue"/>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154.0</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0" w:type="dxa"/>
            <w:vAlign w:val="bottom"/>
          </w:tcPr>
          <w:p>
            <w:pPr>
              <w:spacing w:after="0"/>
              <w:rPr>
                <w:sz w:val="1"/>
                <w:szCs w:val="1"/>
                <w:color w:val="auto"/>
              </w:rPr>
            </w:pPr>
          </w:p>
        </w:tc>
      </w:tr>
      <w:tr>
        <w:trPr>
          <w:trHeight w:val="181"/>
        </w:trPr>
        <w:tc>
          <w:tcPr>
            <w:tcW w:w="330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0" w:type="dxa"/>
            <w:vAlign w:val="bottom"/>
          </w:tcPr>
          <w:p>
            <w:pPr>
              <w:spacing w:after="0"/>
              <w:rPr>
                <w:sz w:val="1"/>
                <w:szCs w:val="1"/>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June 30, 2026</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(1,512.3)</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4,624.1</w:t>
            </w:r>
          </w:p>
        </w:tc>
        <w:tc>
          <w:tcPr>
            <w:tcW w:w="80" w:type="dxa"/>
            <w:vAlign w:val="bottom"/>
          </w:tcPr>
          <w:p>
            <w:pPr>
              <w:spacing w:after="0"/>
              <w:rPr>
                <w:sz w:val="21"/>
                <w:szCs w:val="21"/>
                <w:color w:val="auto"/>
              </w:rPr>
            </w:pP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(140.4)</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2,990.2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214.0</w:t>
            </w:r>
          </w:p>
        </w:tc>
        <w:tc>
          <w:tcPr>
            <w:tcW w:w="0" w:type="dxa"/>
            <w:vAlign w:val="bottom"/>
          </w:tcPr>
          <w:p>
            <w:pPr>
              <w:spacing w:after="0"/>
              <w:rPr>
                <w:sz w:val="1"/>
                <w:szCs w:val="1"/>
                <w:color w:val="auto"/>
              </w:rPr>
            </w:pPr>
          </w:p>
        </w:tc>
      </w:tr>
      <w:tr>
        <w:trPr>
          <w:trHeight w:val="235"/>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188"/>
        </w:trPr>
        <w:tc>
          <w:tcPr>
            <w:tcW w:w="330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(231.0)</w:t>
            </w:r>
          </w:p>
        </w:tc>
        <w:tc>
          <w:tcPr>
            <w:tcW w:w="0" w:type="dxa"/>
            <w:vAlign w:val="bottom"/>
          </w:tcPr>
          <w:p>
            <w:pPr>
              <w:spacing w:after="0"/>
              <w:rPr>
                <w:sz w:val="1"/>
                <w:szCs w:val="1"/>
                <w:color w:val="auto"/>
              </w:rPr>
            </w:pPr>
          </w:p>
        </w:tc>
      </w:tr>
      <w:tr>
        <w:trPr>
          <w:trHeight w:val="22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declared ($0.22 per share)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44"/>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September 30, 2026</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(1,730.4)</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4,816.8</w:t>
            </w:r>
          </w:p>
        </w:tc>
        <w:tc>
          <w:tcPr>
            <w:tcW w:w="80" w:type="dxa"/>
            <w:vAlign w:val="bottom"/>
          </w:tcPr>
          <w:p>
            <w:pPr>
              <w:spacing w:after="0"/>
              <w:rPr>
                <w:sz w:val="21"/>
                <w:szCs w:val="21"/>
                <w:color w:val="auto"/>
              </w:rPr>
            </w:pPr>
          </w:p>
        </w:tc>
        <w:tc>
          <w:tcPr>
            <w:tcW w:w="54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2,968.2</w:t>
            </w: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shareholders’ equity for the nine months ended September 30, 2025:</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80" w:type="dxa"/>
            <w:vAlign w:val="bottom"/>
          </w:tcPr>
          <w:p>
            <w:pPr>
              <w:spacing w:after="0"/>
              <w:rPr>
                <w:sz w:val="17"/>
                <w:szCs w:val="17"/>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Common</w:t>
            </w:r>
          </w:p>
        </w:tc>
        <w:tc>
          <w:tcPr>
            <w:tcW w:w="8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7"/>
                <w:szCs w:val="17"/>
                <w:color w:val="auto"/>
              </w:rPr>
              <w:t>Common</w:t>
            </w:r>
          </w:p>
        </w:tc>
        <w:tc>
          <w:tcPr>
            <w:tcW w:w="14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rPr>
              <w:t>Capital in</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Number of</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9"/>
              </w:rPr>
              <w:t>Treasury</w:t>
            </w:r>
          </w:p>
        </w:tc>
        <w:tc>
          <w:tcPr>
            <w:tcW w:w="8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Retained</w:t>
            </w:r>
          </w:p>
        </w:tc>
        <w:tc>
          <w:tcPr>
            <w:tcW w:w="15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auto"/>
              </w:rPr>
              <w:t>Accumulated other</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(in millions)</w:t>
            </w:r>
          </w:p>
        </w:tc>
        <w:tc>
          <w:tcPr>
            <w:tcW w:w="8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rPr>
              <w:t>Shares</w:t>
            </w:r>
          </w:p>
        </w:tc>
        <w:tc>
          <w:tcPr>
            <w:tcW w:w="840" w:type="dxa"/>
            <w:vAlign w:val="bottom"/>
            <w:gridSpan w:val="3"/>
            <w:vMerge w:val="continue"/>
          </w:tcPr>
          <w:p>
            <w:pPr>
              <w:spacing w:after="0"/>
              <w:rPr>
                <w:sz w:val="14"/>
                <w:szCs w:val="14"/>
                <w:color w:val="auto"/>
              </w:rPr>
            </w:pPr>
          </w:p>
        </w:tc>
        <w:tc>
          <w:tcPr>
            <w:tcW w:w="1100" w:type="dxa"/>
            <w:vAlign w:val="bottom"/>
            <w:gridSpan w:val="3"/>
          </w:tcPr>
          <w:p>
            <w:pPr>
              <w:jc w:val="center"/>
              <w:ind w:right="60"/>
              <w:spacing w:after="0" w:line="171" w:lineRule="exact"/>
              <w:rPr>
                <w:sz w:val="20"/>
                <w:szCs w:val="20"/>
                <w:color w:val="auto"/>
              </w:rPr>
            </w:pPr>
            <w:r>
              <w:rPr>
                <w:rFonts w:ascii="Times New Roman" w:cs="Times New Roman" w:eastAsia="Times New Roman" w:hAnsi="Times New Roman"/>
                <w:sz w:val="17"/>
                <w:szCs w:val="17"/>
                <w:color w:val="auto"/>
                <w:w w:val="99"/>
              </w:rPr>
              <w:t>Excess of Par</w:t>
            </w:r>
          </w:p>
        </w:tc>
        <w:tc>
          <w:tcPr>
            <w:tcW w:w="960" w:type="dxa"/>
            <w:vAlign w:val="bottom"/>
            <w:gridSpan w:val="2"/>
          </w:tcPr>
          <w:p>
            <w:pPr>
              <w:jc w:val="center"/>
              <w:ind w:right="80"/>
              <w:spacing w:after="0" w:line="171" w:lineRule="exact"/>
              <w:rPr>
                <w:sz w:val="20"/>
                <w:szCs w:val="20"/>
                <w:color w:val="auto"/>
              </w:rPr>
            </w:pPr>
            <w:r>
              <w:rPr>
                <w:rFonts w:ascii="Times New Roman" w:cs="Times New Roman" w:eastAsia="Times New Roman" w:hAnsi="Times New Roman"/>
                <w:sz w:val="17"/>
                <w:szCs w:val="17"/>
                <w:color w:val="auto"/>
                <w:w w:val="99"/>
              </w:rPr>
              <w:t>Treasury</w:t>
            </w:r>
          </w:p>
        </w:tc>
        <w:tc>
          <w:tcPr>
            <w:tcW w:w="860" w:type="dxa"/>
            <w:vAlign w:val="bottom"/>
            <w:gridSpan w:val="2"/>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auto"/>
              </w:rPr>
              <w:t>Total</w:t>
            </w:r>
          </w:p>
        </w:tc>
        <w:tc>
          <w:tcPr>
            <w:tcW w:w="0" w:type="dxa"/>
            <w:vAlign w:val="bottom"/>
          </w:tcPr>
          <w:p>
            <w:pPr>
              <w:spacing w:after="0"/>
              <w:rPr>
                <w:sz w:val="1"/>
                <w:szCs w:val="1"/>
                <w:color w:val="auto"/>
              </w:rPr>
            </w:pPr>
          </w:p>
        </w:tc>
      </w:tr>
      <w:tr>
        <w:trPr>
          <w:trHeight w:val="228"/>
        </w:trPr>
        <w:tc>
          <w:tcPr>
            <w:tcW w:w="3280" w:type="dxa"/>
            <w:vAlign w:val="bottom"/>
            <w:vMerge w:val="continue"/>
          </w:tcPr>
          <w:p>
            <w:pPr>
              <w:spacing w:after="0"/>
              <w:rPr>
                <w:sz w:val="19"/>
                <w:szCs w:val="19"/>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auto"/>
              </w:rPr>
              <w:t>Issued</w:t>
            </w:r>
          </w:p>
        </w:tc>
        <w:tc>
          <w:tcPr>
            <w:tcW w:w="140" w:type="dxa"/>
            <w:vAlign w:val="bottom"/>
          </w:tcPr>
          <w:p>
            <w:pPr>
              <w:spacing w:after="0"/>
              <w:rPr>
                <w:sz w:val="19"/>
                <w:szCs w:val="1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Stock</w:t>
            </w:r>
          </w:p>
        </w:tc>
        <w:tc>
          <w:tcPr>
            <w:tcW w:w="14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8"/>
              </w:rPr>
              <w:t>Value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Shares</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Stock</w:t>
            </w:r>
          </w:p>
        </w:tc>
        <w:tc>
          <w:tcPr>
            <w:tcW w:w="10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earnings</w:t>
            </w: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comprehensive loss</w:t>
            </w: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80" w:type="dxa"/>
            <w:vAlign w:val="bottom"/>
            <w:tcBorders>
              <w:top w:val="single" w:sz="8" w:color="CCEEFF"/>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$(1,057.1)</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3,956.6</w:t>
            </w:r>
          </w:p>
        </w:tc>
        <w:tc>
          <w:tcPr>
            <w:tcW w:w="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w:t>
            </w:r>
          </w:p>
        </w:tc>
        <w:tc>
          <w:tcPr>
            <w:tcW w:w="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2,682.3</w:t>
            </w:r>
          </w:p>
        </w:tc>
        <w:tc>
          <w:tcPr>
            <w:tcW w:w="0" w:type="dxa"/>
            <w:vAlign w:val="bottom"/>
          </w:tcPr>
          <w:p>
            <w:pPr>
              <w:spacing w:after="0"/>
              <w:rPr>
                <w:sz w:val="1"/>
                <w:szCs w:val="1"/>
                <w:color w:val="auto"/>
              </w:rPr>
            </w:pPr>
          </w:p>
        </w:tc>
      </w:tr>
      <w:tr>
        <w:trPr>
          <w:trHeight w:val="235"/>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0" w:type="dxa"/>
            <w:vAlign w:val="bottom"/>
          </w:tcPr>
          <w:p>
            <w:pPr>
              <w:spacing w:after="0"/>
              <w:rPr>
                <w:sz w:val="1"/>
                <w:szCs w:val="1"/>
                <w:color w:val="auto"/>
              </w:rPr>
            </w:pPr>
          </w:p>
        </w:tc>
      </w:tr>
      <w:tr>
        <w:trPr>
          <w:trHeight w:val="25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181"/>
        </w:trPr>
        <w:tc>
          <w:tcPr>
            <w:tcW w:w="3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($0.21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0" w:type="dxa"/>
            <w:vAlign w:val="bottom"/>
          </w:tcPr>
          <w:p>
            <w:pPr>
              <w:spacing w:after="0"/>
              <w:rPr>
                <w:sz w:val="1"/>
                <w:szCs w:val="1"/>
                <w:color w:val="auto"/>
              </w:rPr>
            </w:pPr>
          </w:p>
        </w:tc>
      </w:tr>
      <w:tr>
        <w:trPr>
          <w:trHeight w:val="237"/>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0" w:type="dxa"/>
            <w:vAlign w:val="bottom"/>
          </w:tcPr>
          <w:p>
            <w:pPr>
              <w:spacing w:after="0"/>
              <w:rPr>
                <w:sz w:val="1"/>
                <w:szCs w:val="1"/>
                <w:color w:val="auto"/>
              </w:rPr>
            </w:pPr>
          </w:p>
        </w:tc>
      </w:tr>
      <w:tr>
        <w:trPr>
          <w:trHeight w:val="26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March 31, 2025</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4,031.2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2,683.1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131.8</w:t>
            </w:r>
          </w:p>
        </w:tc>
        <w:tc>
          <w:tcPr>
            <w:tcW w:w="0" w:type="dxa"/>
            <w:vAlign w:val="bottom"/>
          </w:tcPr>
          <w:p>
            <w:pPr>
              <w:spacing w:after="0"/>
              <w:rPr>
                <w:sz w:val="1"/>
                <w:szCs w:val="1"/>
                <w:color w:val="auto"/>
              </w:rPr>
            </w:pPr>
          </w:p>
        </w:tc>
      </w:tr>
      <w:tr>
        <w:trPr>
          <w:trHeight w:val="25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181"/>
        </w:trPr>
        <w:tc>
          <w:tcPr>
            <w:tcW w:w="3280" w:type="dxa"/>
            <w:vAlign w:val="bottom"/>
          </w:tcPr>
          <w:p>
            <w:pPr>
              <w:ind w:left="20"/>
              <w:spacing w:after="0" w:line="181" w:lineRule="exact"/>
              <w:rPr>
                <w:sz w:val="20"/>
                <w:szCs w:val="20"/>
                <w:color w:val="auto"/>
              </w:rPr>
            </w:pPr>
            <w:r>
              <w:rPr>
                <w:rFonts w:ascii="Times New Roman" w:cs="Times New Roman" w:eastAsia="Times New Roman" w:hAnsi="Times New Roman"/>
                <w:sz w:val="17"/>
                <w:szCs w:val="17"/>
                <w:color w:val="auto"/>
              </w:rPr>
              <w:t>Shares purchased under share repurchase</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spacing w:after="0"/>
              <w:rPr>
                <w:sz w:val="15"/>
                <w:szCs w:val="15"/>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program</w:t>
            </w:r>
          </w:p>
        </w:tc>
        <w:tc>
          <w:tcPr>
            <w:tcW w:w="8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Dividends declared ($0.21 per share)</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net of tax</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June 30, 2025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$(1,140.2)</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4,139.2</w:t>
            </w:r>
          </w:p>
        </w:tc>
        <w:tc>
          <w:tcPr>
            <w:tcW w:w="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2,929.1</w:t>
            </w:r>
          </w:p>
        </w:tc>
        <w:tc>
          <w:tcPr>
            <w:tcW w:w="0" w:type="dxa"/>
            <w:vAlign w:val="bottom"/>
          </w:tcPr>
          <w:p>
            <w:pPr>
              <w:spacing w:after="0"/>
              <w:rPr>
                <w:sz w:val="1"/>
                <w:szCs w:val="1"/>
                <w:color w:val="auto"/>
              </w:rPr>
            </w:pPr>
          </w:p>
        </w:tc>
      </w:tr>
      <w:tr>
        <w:trPr>
          <w:trHeight w:val="20"/>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w:t>
            </w:r>
          </w:p>
        </w:tc>
        <w:tc>
          <w:tcPr>
            <w:tcW w:w="0" w:type="dxa"/>
            <w:vAlign w:val="bottom"/>
          </w:tcPr>
          <w:p>
            <w:pPr>
              <w:spacing w:after="0"/>
              <w:rPr>
                <w:sz w:val="1"/>
                <w:szCs w:val="1"/>
                <w:color w:val="auto"/>
              </w:rPr>
            </w:pPr>
          </w:p>
        </w:tc>
      </w:tr>
      <w:tr>
        <w:trPr>
          <w:trHeight w:val="251"/>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Activity related to stock-based compensation</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0" w:type="dxa"/>
            <w:vAlign w:val="bottom"/>
          </w:tcPr>
          <w:p>
            <w:pPr>
              <w:spacing w:after="0"/>
              <w:rPr>
                <w:sz w:val="1"/>
                <w:szCs w:val="1"/>
                <w:color w:val="auto"/>
              </w:rPr>
            </w:pPr>
          </w:p>
        </w:tc>
      </w:tr>
      <w:tr>
        <w:trPr>
          <w:trHeight w:val="235"/>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Dividends declared ($0.22 per share)</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0" w:type="dxa"/>
            <w:vAlign w:val="bottom"/>
          </w:tcPr>
          <w:p>
            <w:pPr>
              <w:spacing w:after="0"/>
              <w:rPr>
                <w:sz w:val="1"/>
                <w:szCs w:val="1"/>
                <w:color w:val="auto"/>
              </w:rPr>
            </w:pPr>
          </w:p>
        </w:tc>
      </w:tr>
      <w:tr>
        <w:trPr>
          <w:trHeight w:val="244"/>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 net of tax</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w:t>
            </w:r>
          </w:p>
        </w:tc>
        <w:tc>
          <w:tcPr>
            <w:tcW w:w="0" w:type="dxa"/>
            <w:vAlign w:val="bottom"/>
          </w:tcPr>
          <w:p>
            <w:pPr>
              <w:spacing w:after="0"/>
              <w:rPr>
                <w:sz w:val="1"/>
                <w:szCs w:val="1"/>
                <w:color w:val="auto"/>
              </w:rPr>
            </w:pP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September 30,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$(1,127.4)</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4,262.4</w:t>
            </w:r>
          </w:p>
        </w:tc>
        <w:tc>
          <w:tcPr>
            <w:tcW w:w="80" w:type="dxa"/>
            <w:vAlign w:val="bottom"/>
          </w:tcPr>
          <w:p>
            <w:pPr>
              <w:spacing w:after="0"/>
              <w:rPr>
                <w:sz w:val="21"/>
                <w:szCs w:val="21"/>
                <w:color w:val="auto"/>
              </w:rPr>
            </w:pP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tcPr>
          <w:p>
            <w:pPr>
              <w:spacing w:after="0"/>
              <w:rPr>
                <w:sz w:val="21"/>
                <w:szCs w:val="21"/>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3,051.5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West Pharmaceutical Services, Inc. 2016 Omnibus Incentive Compensation Plan (the “2016 Plan”) provides for the granting of stock options, stock appreciation rights ("SARs"), restricted stock awards and performance awards to employees and non-employee directors. A committee of the Board of Directors determines the terms and conditions of awards to be granted. Vesting requirements vary by award. In March 2025, the Board of Directors approved, and our stockholders subsequently approved in May 2025, an amendment to the 2016 Plan ("the Amended and Restated 2016 Plan"), which, among other things, added 2.0 million shares of common stock to the maximum number of shares of common stock as to which awards may be granted. Following the approval of the Amended and Restated 2016 Plan, all stock options or SARs that are not forfeited or cancelled will reduce the number of shares available for issuance under the Amended and Restated 2016 Plan by one share for each share subject to the award. Awards issued following the amendment that are payable in common stock (other than stock options or SARs) will reduce the total number of shares available for grant under the Amended and Restated 2016 Plan by an amount equal to 2.0 times the number of shares subject to the award. The reduction was previously equal to 2.5 times the number of shares subject to the award under the 2016 Plan. At September 30, 2026, there were approximately 2.7 million shares remaining in the Amended and Restated 2016 Plan for future grants.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2026, the Company granted 104,187 stock options at a weighted average exercise price of $285.51 per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grant-date fair value of our stock to employees under the 2016 Plan. The weighted average grant date fair value of options granted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$123.37 per share as determined by the Black-Scholes option valuation model using the following weighted average assumptions: a risk-free interest rate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 expected life of 6.9 years based on prior experience; stock volatility of 35.1% based on historical data; and a dividend yield of 0.3%. Stock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is recognized over the vesting period, net of forfeitures.</w:t>
      </w:r>
    </w:p>
    <w:p>
      <w:pPr>
        <w:spacing w:after="0" w:line="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81,450 stock-settled performance share unit (“PSU”) awards at a weighted average grant-date fair value of $278.08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7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granted 54,154 stock-settled restricted share unit (“RSU”) awards at a weighted average grant-date fair value of $279.63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Stock-based compensation expense was $4.3 million and $21.8 million for the three and nine months ended September 30, 2026. For the three and nine months ended September 30, 2025, stock-based compensation expense was $8.4 million and $17.1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Other Expense (Income)</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consists of:</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27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4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SmartDose® 3.5mL, net</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transaction losses</w:t>
            </w: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oil hedges</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1"/>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and Related Charges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January 2025, the Company approved a restructuring plan to adjust our operating cost base to better respond to the macroeconomic factors influencing our business. These changes were expected to be implemented over a period of approximately twenty-four to thirty-six months from the date of approval. In September 2026, the Company expanded the scope of the originally approved January 2025 plan to include additional manufacturing site consolidation., which is expected to require an incremental charge of $20 million, primarily representing additional accelerated depreciation and lease amortization charges. The new total charge for this plan is now $48 million to $50 million, approximately $26 million of which the Company has recognized through September 30, 2026. Annualized savings are in the range of $35 million to $40 million. The following table presents activity related to our restructuring obligations related to our January 2025 restructuring plan:</w:t>
      </w: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Severance</w:t>
            </w:r>
          </w:p>
        </w:tc>
        <w:tc>
          <w:tcPr>
            <w:tcW w:w="200" w:type="dxa"/>
            <w:vAlign w:val="bottom"/>
          </w:tcPr>
          <w:p>
            <w:pPr>
              <w:spacing w:after="0"/>
              <w:rPr>
                <w:sz w:val="17"/>
                <w:szCs w:val="17"/>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Asset-related</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and benefits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charges</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Total</w:t>
            </w:r>
          </w:p>
        </w:tc>
      </w:tr>
      <w:tr>
        <w:trPr>
          <w:trHeight w:val="23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(Credits)</w:t>
            </w: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Non-cash asset write downs</w:t>
            </w: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5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560"/>
        <w:spacing w:after="0" w:line="272" w:lineRule="auto"/>
        <w:rPr>
          <w:sz w:val="20"/>
          <w:szCs w:val="20"/>
          <w:color w:val="auto"/>
        </w:rPr>
      </w:pPr>
      <w:r>
        <w:rPr>
          <w:rFonts w:ascii="Times New Roman" w:cs="Times New Roman" w:eastAsia="Times New Roman" w:hAnsi="Times New Roman"/>
          <w:sz w:val="17"/>
          <w:szCs w:val="17"/>
          <w:color w:val="auto"/>
        </w:rPr>
        <w:t>In December 2025, the Company approved a restructuring plan related to a definitive agreement to sell all manufacturing and supply rights for the SmartDose® 3.5mL On-Body Delivery System and associated facilities to AbbVie. These changes are expected to be implemented over a period of approximately twelve to fifteen months from the date of approval. The plan is expected to require restructuring and related charges of $12 million to</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$16 million, with annualized savings in the range of $15 million to $20 million. The following table presents activity related to our restructuring obligations related to our December 2025 restructuring plan:</w:t>
      </w:r>
    </w:p>
    <w:tbl>
      <w:tblPr>
        <w:tblLayout w:type="fixed"/>
        <w:tblInd w:w="0" w:type="dxa"/>
        <w:tblCellMar>
          <w:top w:w="0" w:type="dxa"/>
          <w:left w:w="0" w:type="dxa"/>
          <w:bottom w:w="0" w:type="dxa"/>
          <w:right w:w="0" w:type="dxa"/>
        </w:tblCellMar>
      </w:tblPr>
      <w:tr>
        <w:trPr>
          <w:trHeight w:val="200"/>
        </w:trPr>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gridSpan w:val="2"/>
          </w:tcPr>
          <w:p>
            <w:pPr>
              <w:jc w:val="center"/>
              <w:ind w:right="340"/>
              <w:spacing w:after="0" w:line="200" w:lineRule="exact"/>
              <w:rPr>
                <w:sz w:val="20"/>
                <w:szCs w:val="20"/>
                <w:color w:val="auto"/>
              </w:rPr>
            </w:pPr>
            <w:r>
              <w:rPr>
                <w:rFonts w:ascii="Times New Roman" w:cs="Times New Roman" w:eastAsia="Times New Roman" w:hAnsi="Times New Roman"/>
                <w:sz w:val="18"/>
                <w:szCs w:val="18"/>
                <w:color w:val="auto"/>
                <w:w w:val="99"/>
              </w:rPr>
              <w:t>Severance</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220" w:type="dxa"/>
            <w:vAlign w:val="bottom"/>
          </w:tcPr>
          <w:p>
            <w:pPr>
              <w:spacing w:after="0"/>
              <w:rPr>
                <w:sz w:val="21"/>
                <w:szCs w:val="21"/>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and benefits</w:t>
            </w:r>
          </w:p>
        </w:tc>
        <w:tc>
          <w:tcPr>
            <w:tcW w:w="340" w:type="dxa"/>
            <w:vAlign w:val="bottom"/>
          </w:tcPr>
          <w:p>
            <w:pPr>
              <w:spacing w:after="0"/>
              <w:rPr>
                <w:sz w:val="21"/>
                <w:szCs w:val="21"/>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r>
      <w:tr>
        <w:trPr>
          <w:trHeight w:val="236"/>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2025</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center"/>
              <w:ind w:left="750"/>
              <w:spacing w:after="0"/>
              <w:rPr>
                <w:sz w:val="20"/>
                <w:szCs w:val="20"/>
                <w:color w:val="auto"/>
              </w:rPr>
            </w:pPr>
            <w:r>
              <w:rPr>
                <w:rFonts w:ascii="Times New Roman" w:cs="Times New Roman" w:eastAsia="Times New Roman" w:hAnsi="Times New Roman"/>
                <w:sz w:val="18"/>
                <w:szCs w:val="18"/>
                <w:color w:val="auto"/>
                <w:w w:val="97"/>
              </w:rPr>
              <w:t>4.2</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(Credits)</w:t>
            </w:r>
          </w:p>
        </w:tc>
        <w:tc>
          <w:tcPr>
            <w:tcW w:w="220" w:type="dxa"/>
            <w:vAlign w:val="bottom"/>
          </w:tcPr>
          <w:p>
            <w:pPr>
              <w:spacing w:after="0"/>
              <w:rPr>
                <w:sz w:val="21"/>
                <w:szCs w:val="21"/>
                <w:color w:val="auto"/>
              </w:rPr>
            </w:pPr>
          </w:p>
        </w:tc>
        <w:tc>
          <w:tcPr>
            <w:tcW w:w="134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7"/>
              </w:rPr>
              <w:t>0.4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rPr>
              <w:t>(2.7)</w:t>
            </w:r>
          </w:p>
        </w:tc>
      </w:tr>
      <w:tr>
        <w:trPr>
          <w:trHeight w:val="236"/>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2026</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center"/>
              <w:ind w:left="870"/>
              <w:spacing w:after="0"/>
              <w:rPr>
                <w:sz w:val="20"/>
                <w:szCs w:val="20"/>
                <w:color w:val="auto"/>
              </w:rPr>
            </w:pPr>
            <w:r>
              <w:rPr>
                <w:rFonts w:ascii="Times New Roman" w:cs="Times New Roman" w:eastAsia="Times New Roman" w:hAnsi="Times New Roman"/>
                <w:sz w:val="18"/>
                <w:szCs w:val="18"/>
                <w:color w:val="auto"/>
                <w:w w:val="97"/>
              </w:rPr>
              <w:t>1.9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7"/>
              </w:rPr>
              <w:t>1.9</w:t>
            </w:r>
          </w:p>
        </w:tc>
      </w:tr>
      <w:tr>
        <w:trPr>
          <w:trHeight w:val="21"/>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Impairments</w:t>
      </w:r>
    </w:p>
    <w:p>
      <w:pPr>
        <w:spacing w:after="0" w:line="12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Company's asset impairment expense includes impairment charges to its cost-method investments and expense related to fixed assets impaired or taken out of service. During the periods ended September 30, asset impairments consisted of:</w:t>
      </w:r>
    </w:p>
    <w:tbl>
      <w:tblPr>
        <w:tblLayout w:type="fixed"/>
        <w:tblInd w:w="0" w:type="dxa"/>
        <w:tblCellMar>
          <w:top w:w="0" w:type="dxa"/>
          <w:left w:w="0" w:type="dxa"/>
          <w:bottom w:w="0" w:type="dxa"/>
          <w:right w:w="0" w:type="dxa"/>
        </w:tblCellMar>
      </w:tblPr>
      <w:tr>
        <w:trPr>
          <w:trHeight w:val="182"/>
        </w:trPr>
        <w:tc>
          <w:tcPr>
            <w:tcW w:w="4700" w:type="dxa"/>
            <w:vAlign w:val="bottom"/>
          </w:tcPr>
          <w:p>
            <w:pPr>
              <w:spacing w:after="0"/>
              <w:rPr>
                <w:sz w:val="15"/>
                <w:szCs w:val="15"/>
                <w:color w:val="auto"/>
              </w:rPr>
            </w:pPr>
          </w:p>
        </w:tc>
        <w:tc>
          <w:tcPr>
            <w:tcW w:w="2760" w:type="dxa"/>
            <w:vAlign w:val="bottom"/>
            <w:gridSpan w:val="4"/>
          </w:tcPr>
          <w:p>
            <w:pPr>
              <w:jc w:val="right"/>
              <w:ind w:right="290"/>
              <w:spacing w:after="0" w:line="182" w:lineRule="exact"/>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4"/>
          </w:tcPr>
          <w:p>
            <w:pPr>
              <w:jc w:val="right"/>
              <w:ind w:right="350"/>
              <w:spacing w:after="0" w:line="182" w:lineRule="exact"/>
              <w:rPr>
                <w:sz w:val="20"/>
                <w:szCs w:val="20"/>
                <w:color w:val="auto"/>
              </w:rPr>
            </w:pPr>
            <w:r>
              <w:rPr>
                <w:rFonts w:ascii="Times New Roman" w:cs="Times New Roman" w:eastAsia="Times New Roman" w:hAnsi="Times New Roman"/>
                <w:sz w:val="18"/>
                <w:szCs w:val="18"/>
                <w:color w:val="auto"/>
              </w:rPr>
              <w:t>Nine Months Ended</w:t>
            </w:r>
          </w:p>
        </w:tc>
        <w:tc>
          <w:tcPr>
            <w:tcW w:w="440" w:type="dxa"/>
            <w:vAlign w:val="bottom"/>
          </w:tcPr>
          <w:p>
            <w:pPr>
              <w:spacing w:after="0"/>
              <w:rPr>
                <w:sz w:val="15"/>
                <w:szCs w:val="15"/>
                <w:color w:val="auto"/>
              </w:rPr>
            </w:pPr>
          </w:p>
        </w:tc>
      </w:tr>
      <w:tr>
        <w:trPr>
          <w:trHeight w:val="239"/>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440" w:type="dxa"/>
            <w:vAlign w:val="bottom"/>
            <w:tcBorders>
              <w:bottom w:val="single" w:sz="8" w:color="auto"/>
            </w:tcBorders>
          </w:tcPr>
          <w:p>
            <w:pPr>
              <w:spacing w:after="0"/>
              <w:rPr>
                <w:sz w:val="20"/>
                <w:szCs w:val="20"/>
                <w:color w:val="auto"/>
              </w:rPr>
            </w:pPr>
          </w:p>
        </w:tc>
      </w:tr>
      <w:tr>
        <w:trPr>
          <w:trHeight w:val="24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Borders>
              <w:bottom w:val="single" w:sz="8" w:color="auto"/>
            </w:tcBorders>
          </w:tcPr>
          <w:p>
            <w:pPr>
              <w:spacing w:after="0"/>
              <w:rPr>
                <w:sz w:val="20"/>
                <w:szCs w:val="20"/>
                <w:color w:val="auto"/>
              </w:rPr>
            </w:pP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Cost-method investment impairment charges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Fixed asset impairment expense</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impairments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Income Taxes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provision for income taxes was $58.0 million and $34.0 million for the three months ended September 30, 2026 and 2025, respectively, and the effective tax rate was 21.7% and 19.8%, respectively. The increase in the effective tax rate for the three months ended September 30, 2026, as compared to the same period in 2025, is primarily due to a one-time tax cost of $22.4 million associated with the sale of SmartDose® 3.5mL On-Body Delivery System which occurred in the third quarter of 2026, partially offset by the impact of favorable changes in our geographic mix of earnings.</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$134.9 million and $88.3 million for the nine months ended September 30, 2026 and 2025, respectively, and the effective tax rate was 21.5% and 20.1%, respectively. The increase in the effective tax rate for the nine months ended September 30, 2026, as compared to the same period in 2025, is primarily due to a one-time tax cost of $12.0 million associated with an internal legal entity restructuring which occurred in the first quarter of 2026, in addition to a one-time cost of $22.4 million associated with the sale of SmartDose® 3.5mL On-Body Delivery System which occurred in the third quarter of 2026, partially offset by the impact of favorable changes in our geographic mix of earnings.</w:t>
      </w:r>
    </w:p>
    <w:p>
      <w:pPr>
        <w:spacing w:after="0" w:line="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liability for unrecognized tax benefits was $70.6 million and $56.1 million as of September 30, 2026 and December 31, 2025, respectively, and is included within other long-term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From time to time, we are involved in various proceedings, lawsuits, disputes and claims arising in the ordinary course of the Company’s business, whether that be matters involving commercial operations, product liability, intellectual property or employment actions, including class action lawsuits. We accrue for loss contingencies when it is probable that a liability has been incurred and the amount of the loss can be reasonably estimated based on circumstances and assumptions existing at the time. Unless otherwise disclosed below, while the outcome of such claims cannot be predicted with certainty, we believe their ultimate resolution is not expected to have a material adverse effect on our business, financial condition, results of operations or liquidity. However, if an unfavorable ruling were to occur in any specific case, a material impact on the results of operations could be possible for that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5, 2025, New England Teamsters Pension Fund filed a class action against us and certain of our current and former officers in the United States District Court for the Eastern District of Pennsylvania, purportedly on behalf of a class of the Company’s investors who purchased or otherwise acquired the Company’s common stock between February 16, 2023 and February 12, 2025. On July 23, 2025, the court appointed lead plaintiffs in the action. On October 15, 2025, the lead plaintiffs filed an amended complaint. The amended complaint alleges violations of Sections 10(b), 20(a) and 20A of the Securities Exchange Act of 1934 and Rule 10b-5 promulgated thereunder in connection with 1) various public statements made by the Company and certain current and former officers regarding its business, operations and prospects and 2) certain current and former officers' transactions in the Company's stock. The action seeks unspecified damages, costs and expenses, including attorneys’ fees. On December 18, 2025, the defendants filed their first motion to dismiss the amended complaint. Pursuant to the scheduling order entered by the court, the lead plaintiffs’ opposition to the motion to dismiss was filed on February 24, 2026, and the defendants filed their reply on March 31, 2026. We believe the claims in the amended complaint are without merit and we intend to vigorously defend against such claims. Given the nature of the case, including that the proceedings are in their early stages, we are unable at this time to reasonably estimate losses, if any, or form a judgment that an unfavorable outcome is either probable or remote.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commitments and contingencies since December 31,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Segment Information</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Our business operations are organized into two reportable segments, Proprietary Products and West Vantage. Effective in the first quarter of 2026, the Company renamed its "Contract-Manufactured Products" reportable segment to "West Vantage™" to better align with its current strategic focus and offerings. This change in name does not affect the composition of the reportable segment, nor does it impact previously reported segment financial information. Our Proprietary Products reportable segment offers proprietary packaging, containment solutions and drug delivery products, along with analytical lab services and other integrated services and solutions, primarily to biologic, generic and pharmaceutical drug customers. Our West Vantage reportable segment serves as a fully integrated business, focused on the design, manufacture, and automated assembly of complex devices, primarily for pharmaceutical, diagnostic, and medical device customers.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CODM evaluates the performance of our segments based upon, among other things, segment net sales and segment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 Such items are referred to as other unallocated items and generally include restructuring and related charges, certain asset impairments and other specifically identified income or expense items. The segment operating profit metric is what the CODM uses in evaluating our results of operations and the financial measure that provides a valuable insight into our overall performance and financial position. The CODM considers budget-to-actual variances and variances against prior years within segment operating profit when making decisions about allocating resources to the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our reportable segments, reconciled to consolidated totals: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6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Three Months Ended</w:t>
            </w:r>
          </w:p>
        </w:tc>
        <w:tc>
          <w:tcPr>
            <w:tcW w:w="340" w:type="dxa"/>
            <w:vAlign w:val="bottom"/>
          </w:tcPr>
          <w:p>
            <w:pPr>
              <w:spacing w:after="0"/>
              <w:rPr>
                <w:sz w:val="17"/>
                <w:szCs w:val="17"/>
                <w:color w:val="auto"/>
              </w:rPr>
            </w:pPr>
          </w:p>
        </w:tc>
        <w:tc>
          <w:tcPr>
            <w:tcW w:w="28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7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4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Proprietary Products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2,145.7</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1,830.3</w:t>
            </w:r>
          </w:p>
        </w:tc>
      </w:tr>
      <w:tr>
        <w:trPr>
          <w:trHeight w:val="243"/>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West Vantage</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net sales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2,269.1</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summarized financial information for our two reportable segments and corporate and unallocated: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Pr>
          <w:p>
            <w:pPr>
              <w:spacing w:after="0"/>
              <w:rPr>
                <w:sz w:val="21"/>
                <w:szCs w:val="21"/>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1"/>
                <w:szCs w:val="21"/>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03"/>
        </w:trPr>
        <w:tc>
          <w:tcPr>
            <w:tcW w:w="20" w:type="dxa"/>
            <w:vAlign w:val="bottom"/>
          </w:tcPr>
          <w:p>
            <w:pPr>
              <w:spacing w:after="0"/>
              <w:rPr>
                <w:sz w:val="17"/>
                <w:szCs w:val="17"/>
                <w:color w:val="auto"/>
              </w:rPr>
            </w:pPr>
          </w:p>
        </w:tc>
        <w:tc>
          <w:tcPr>
            <w:tcW w:w="800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17"/>
                <w:szCs w:val="17"/>
                <w:color w:val="auto"/>
              </w:rPr>
            </w:pPr>
          </w:p>
        </w:tc>
        <w:tc>
          <w:tcPr>
            <w:tcW w:w="1380" w:type="dxa"/>
            <w:vAlign w:val="bottom"/>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right"/>
              <w:ind w:right="510"/>
              <w:spacing w:after="0" w:line="202" w:lineRule="exact"/>
              <w:rPr>
                <w:sz w:val="20"/>
                <w:szCs w:val="20"/>
                <w:color w:val="auto"/>
              </w:rPr>
            </w:pPr>
            <w:r>
              <w:rPr>
                <w:rFonts w:ascii="Times New Roman" w:cs="Times New Roman" w:eastAsia="Times New Roman" w:hAnsi="Times New Roman"/>
                <w:sz w:val="18"/>
                <w:szCs w:val="18"/>
                <w:color w:val="auto"/>
              </w:rPr>
              <w:t>2025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2,987.0</w:t>
            </w:r>
          </w:p>
        </w:tc>
      </w:tr>
      <w:tr>
        <w:trPr>
          <w:trHeight w:val="243"/>
        </w:trPr>
        <w:tc>
          <w:tcPr>
            <w:tcW w:w="20" w:type="dxa"/>
            <w:vAlign w:val="bottom"/>
          </w:tcPr>
          <w:p>
            <w:pPr>
              <w:spacing w:after="0"/>
              <w:rPr>
                <w:sz w:val="21"/>
                <w:szCs w:val="21"/>
                <w:color w:val="auto"/>
              </w:rPr>
            </w:pPr>
          </w:p>
        </w:tc>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West Vantage</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r>
      <w:tr>
        <w:trPr>
          <w:trHeight w:val="243"/>
        </w:trPr>
        <w:tc>
          <w:tcPr>
            <w:tcW w:w="20" w:type="dxa"/>
            <w:vAlign w:val="bottom"/>
            <w:shd w:val="clear" w:color="auto" w:fill="CCEEFF"/>
          </w:tcPr>
          <w:p>
            <w:pPr>
              <w:spacing w:after="0"/>
              <w:rPr>
                <w:sz w:val="21"/>
                <w:szCs w:val="21"/>
                <w:color w:val="auto"/>
              </w:rPr>
            </w:pPr>
          </w:p>
        </w:tc>
        <w:tc>
          <w:tcPr>
            <w:tcW w:w="800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 xml:space="preserve">Corporate and Unallocated </w:t>
            </w:r>
            <w:r>
              <w:rPr>
                <w:rFonts w:ascii="Times New Roman" w:cs="Times New Roman" w:eastAsia="Times New Roman" w:hAnsi="Times New Roman"/>
                <w:sz w:val="23"/>
                <w:szCs w:val="23"/>
                <w:color w:val="auto"/>
                <w:vertAlign w:val="superscript"/>
              </w:rPr>
              <w:t>(1)</w:t>
            </w: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r>
      <w:tr>
        <w:trPr>
          <w:trHeight w:val="237"/>
        </w:trPr>
        <w:tc>
          <w:tcPr>
            <w:tcW w:w="20" w:type="dxa"/>
            <w:vAlign w:val="bottom"/>
          </w:tcPr>
          <w:p>
            <w:pPr>
              <w:spacing w:after="0"/>
              <w:rPr>
                <w:sz w:val="20"/>
                <w:szCs w:val="20"/>
                <w:color w:val="auto"/>
              </w:rPr>
            </w:pPr>
          </w:p>
        </w:tc>
        <w:tc>
          <w:tcPr>
            <w:tcW w:w="8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consolidated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4,060.7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4,270.0</w:t>
            </w:r>
          </w:p>
        </w:tc>
      </w:tr>
      <w:tr>
        <w:trPr>
          <w:trHeight w:val="21"/>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firstLine="8"/>
        <w:spacing w:after="0" w:line="282"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unallocated assets primarily include investments in affiliated companies, cash and cash equivalents, property, plant and equipment used in our corporate operations and deferred income taxes.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7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rPr>
              <w:t>Nine Months Ended</w:t>
            </w:r>
          </w:p>
        </w:tc>
        <w:tc>
          <w:tcPr>
            <w:tcW w:w="5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540" w:type="dxa"/>
            <w:vAlign w:val="bottom"/>
            <w:tcBorders>
              <w:bottom w:val="single" w:sz="8" w:color="auto"/>
            </w:tcBorders>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6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West Vantage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7"/>
        </w:trPr>
        <w:tc>
          <w:tcPr>
            <w:tcW w:w="20" w:type="dxa"/>
            <w:vAlign w:val="bottom"/>
          </w:tcPr>
          <w:p>
            <w:pPr>
              <w:spacing w:after="0"/>
              <w:rPr>
                <w:sz w:val="20"/>
                <w:szCs w:val="20"/>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consolidated</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rPr>
              <w:t>Nine Months Ended</w:t>
            </w:r>
          </w:p>
        </w:tc>
        <w:tc>
          <w:tcPr>
            <w:tcW w:w="54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540" w:type="dxa"/>
            <w:vAlign w:val="bottom"/>
            <w:tcBorders>
              <w:bottom w:val="single" w:sz="8" w:color="auto"/>
            </w:tcBorders>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46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2025</w:t>
            </w:r>
          </w:p>
        </w:tc>
        <w:tc>
          <w:tcPr>
            <w:tcW w:w="540" w:type="dxa"/>
            <w:vAlign w:val="bottom"/>
          </w:tcPr>
          <w:p>
            <w:pPr>
              <w:spacing w:after="0"/>
              <w:rPr>
                <w:sz w:val="17"/>
                <w:szCs w:val="17"/>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43"/>
        </w:trPr>
        <w:tc>
          <w:tcPr>
            <w:tcW w:w="20" w:type="dxa"/>
            <w:vAlign w:val="bottom"/>
          </w:tcPr>
          <w:p>
            <w:pPr>
              <w:spacing w:after="0"/>
              <w:rPr>
                <w:sz w:val="21"/>
                <w:szCs w:val="21"/>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West Vantage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43"/>
        </w:trPr>
        <w:tc>
          <w:tcPr>
            <w:tcW w:w="20" w:type="dxa"/>
            <w:vAlign w:val="bottom"/>
            <w:shd w:val="clear" w:color="auto" w:fill="CCEEFF"/>
          </w:tcPr>
          <w:p>
            <w:pPr>
              <w:spacing w:after="0"/>
              <w:rPr>
                <w:sz w:val="21"/>
                <w:szCs w:val="21"/>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20" w:type="dxa"/>
            <w:vAlign w:val="bottom"/>
          </w:tcPr>
          <w:p>
            <w:pPr>
              <w:spacing w:after="0"/>
              <w:rPr>
                <w:sz w:val="20"/>
                <w:szCs w:val="20"/>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consolidated</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20"/>
                <w:szCs w:val="20"/>
                <w:color w:val="auto"/>
              </w:rPr>
            </w:pPr>
          </w:p>
        </w:tc>
        <w:tc>
          <w:tcPr>
            <w:tcW w:w="10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summarized financial information for our segments: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12"/>
          </w:tcPr>
          <w:p>
            <w:pPr>
              <w:jc w:val="right"/>
              <w:ind w:right="480"/>
              <w:spacing w:after="0"/>
              <w:rPr>
                <w:sz w:val="20"/>
                <w:szCs w:val="20"/>
                <w:color w:val="auto"/>
              </w:rPr>
            </w:pPr>
            <w:r>
              <w:rPr>
                <w:rFonts w:ascii="Times New Roman" w:cs="Times New Roman" w:eastAsia="Times New Roman" w:hAnsi="Times New Roman"/>
                <w:sz w:val="14"/>
                <w:szCs w:val="14"/>
                <w:color w:val="auto"/>
              </w:rPr>
              <w:t>Three months ended September 30, 2026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8"/>
          </w:tcPr>
          <w:p>
            <w:pPr>
              <w:jc w:val="center"/>
              <w:ind w:right="28"/>
              <w:spacing w:after="0"/>
              <w:rPr>
                <w:sz w:val="20"/>
                <w:szCs w:val="20"/>
                <w:color w:val="auto"/>
              </w:rPr>
            </w:pPr>
            <w:r>
              <w:rPr>
                <w:rFonts w:ascii="Times New Roman" w:cs="Times New Roman" w:eastAsia="Times New Roman" w:hAnsi="Times New Roman"/>
                <w:sz w:val="14"/>
                <w:szCs w:val="14"/>
                <w:color w:val="auto"/>
              </w:rPr>
              <w:t>Three months ended September 30, 2025</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Proprietary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West Vantage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Proprietary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West Vantage</w:t>
            </w:r>
          </w:p>
        </w:tc>
        <w:tc>
          <w:tcPr>
            <w:tcW w:w="8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Products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Products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145.7</w:t>
            </w:r>
          </w:p>
        </w:tc>
        <w:tc>
          <w:tcPr>
            <w:tcW w:w="24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874.5</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647.5</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804.6</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405.4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121.7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383.5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17.1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expense (income)</w:t>
            </w:r>
            <w:r>
              <w:rPr>
                <w:rFonts w:ascii="Times New Roman" w:cs="Times New Roman" w:eastAsia="Times New Roman" w:hAnsi="Times New Roman"/>
                <w:sz w:val="18"/>
                <w:szCs w:val="18"/>
                <w:color w:val="auto"/>
                <w:vertAlign w:val="superscript"/>
              </w:rPr>
              <w:t>(1)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operating profit</w:t>
            </w:r>
          </w:p>
        </w:tc>
        <w:tc>
          <w:tcPr>
            <w:tcW w:w="1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15.5</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246.1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175.2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197.5</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profit or loss: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general costs</w:t>
            </w:r>
            <w:r>
              <w:rPr>
                <w:rFonts w:ascii="Times New Roman" w:cs="Times New Roman" w:eastAsia="Times New Roman" w:hAnsi="Times New Roman"/>
                <w:sz w:val="18"/>
                <w:szCs w:val="18"/>
                <w:color w:val="auto"/>
                <w:vertAlign w:val="superscript"/>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93"/>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Unallocated items: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Restructuring and other charges</w:t>
            </w:r>
            <w:r>
              <w:rPr>
                <w:rFonts w:ascii="Times New Roman" w:cs="Times New Roman" w:eastAsia="Times New Roman" w:hAnsi="Times New Roman"/>
                <w:sz w:val="18"/>
                <w:szCs w:val="18"/>
                <w:color w:val="auto"/>
                <w:vertAlign w:val="superscript"/>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6"/>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M&amp;A activities, including SmartDose® 3.5mL sale</w:t>
            </w:r>
            <w:r>
              <w:rPr>
                <w:rFonts w:ascii="Times New Roman" w:cs="Times New Roman" w:eastAsia="Times New Roman" w:hAnsi="Times New Roman"/>
                <w:sz w:val="18"/>
                <w:szCs w:val="18"/>
                <w:color w:val="auto"/>
                <w:vertAlign w:val="superscript"/>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consolidated operating profit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267.4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 expense and other nonoperating expense (income), net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9"/>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before income taxes and equity in net income of affiliated companies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color w:val="auto"/>
              </w:rPr>
              <w:t>267.7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2"/>
        </w:trPr>
        <w:tc>
          <w:tcPr>
            <w:tcW w:w="4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12"/>
          </w:tcPr>
          <w:p>
            <w:pPr>
              <w:jc w:val="right"/>
              <w:ind w:right="620"/>
              <w:spacing w:after="0"/>
              <w:rPr>
                <w:sz w:val="20"/>
                <w:szCs w:val="20"/>
                <w:color w:val="auto"/>
              </w:rPr>
            </w:pPr>
            <w:r>
              <w:rPr>
                <w:rFonts w:ascii="Times New Roman" w:cs="Times New Roman" w:eastAsia="Times New Roman" w:hAnsi="Times New Roman"/>
                <w:sz w:val="14"/>
                <w:szCs w:val="14"/>
                <w:color w:val="auto"/>
              </w:rPr>
              <w:t>Nine Months ended September 30, 2026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gridSpan w:val="8"/>
          </w:tcPr>
          <w:p>
            <w:pPr>
              <w:jc w:val="right"/>
              <w:ind w:right="468"/>
              <w:spacing w:after="0"/>
              <w:rPr>
                <w:sz w:val="20"/>
                <w:szCs w:val="20"/>
                <w:color w:val="auto"/>
              </w:rPr>
            </w:pPr>
            <w:r>
              <w:rPr>
                <w:rFonts w:ascii="Times New Roman" w:cs="Times New Roman" w:eastAsia="Times New Roman" w:hAnsi="Times New Roman"/>
                <w:sz w:val="14"/>
                <w:szCs w:val="14"/>
                <w:color w:val="auto"/>
              </w:rPr>
              <w:t>Nine months ended September 30, 2025</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 in millions)</w:t>
            </w:r>
          </w:p>
        </w:tc>
        <w:tc>
          <w:tcPr>
            <w:tcW w:w="160" w:type="dxa"/>
            <w:vAlign w:val="bottom"/>
          </w:tcPr>
          <w:p>
            <w:pPr>
              <w:spacing w:after="0"/>
              <w:rPr>
                <w:sz w:val="12"/>
                <w:szCs w:val="12"/>
                <w:color w:val="auto"/>
              </w:rPr>
            </w:pPr>
          </w:p>
        </w:tc>
        <w:tc>
          <w:tcPr>
            <w:tcW w:w="980" w:type="dxa"/>
            <w:vAlign w:val="bottom"/>
            <w:gridSpan w:val="4"/>
          </w:tcPr>
          <w:p>
            <w:pPr>
              <w:jc w:val="right"/>
              <w:ind w:right="300"/>
              <w:spacing w:after="0" w:line="147" w:lineRule="exact"/>
              <w:rPr>
                <w:sz w:val="20"/>
                <w:szCs w:val="20"/>
                <w:color w:val="auto"/>
              </w:rPr>
            </w:pPr>
            <w:r>
              <w:rPr>
                <w:rFonts w:ascii="Times New Roman" w:cs="Times New Roman" w:eastAsia="Times New Roman" w:hAnsi="Times New Roman"/>
                <w:sz w:val="14"/>
                <w:szCs w:val="14"/>
                <w:color w:val="auto"/>
              </w:rPr>
              <w:t>Proprietary</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West Vantage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00"/>
              <w:spacing w:after="0" w:line="147" w:lineRule="exact"/>
              <w:rPr>
                <w:sz w:val="20"/>
                <w:szCs w:val="20"/>
                <w:color w:val="auto"/>
              </w:rPr>
            </w:pPr>
            <w:r>
              <w:rPr>
                <w:rFonts w:ascii="Times New Roman" w:cs="Times New Roman" w:eastAsia="Times New Roman" w:hAnsi="Times New Roman"/>
                <w:sz w:val="14"/>
                <w:szCs w:val="14"/>
                <w:color w:val="auto"/>
              </w:rPr>
              <w:t>Proprietary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color w:val="auto"/>
                <w:w w:val="98"/>
              </w:rPr>
              <w:t>West Vantage</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43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color w:val="auto"/>
              </w:rPr>
              <w:t>Products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Products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sales</w:t>
            </w: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2,145.7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1,830.3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2,269.1</w:t>
            </w: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goods and services sold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1,107.8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segment expense (income)</w:t>
            </w:r>
            <w:r>
              <w:rPr>
                <w:rFonts w:ascii="Times New Roman" w:cs="Times New Roman" w:eastAsia="Times New Roman" w:hAnsi="Times New Roman"/>
                <w:sz w:val="9"/>
                <w:szCs w:val="9"/>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Segment operating profit</w:t>
            </w:r>
          </w:p>
        </w:tc>
        <w:tc>
          <w:tcPr>
            <w:tcW w:w="16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631.7</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16"/>
                <w:szCs w:val="16"/>
                <w:color w:val="auto"/>
              </w:rPr>
            </w:pPr>
          </w:p>
        </w:tc>
        <w:tc>
          <w:tcPr>
            <w:tcW w:w="240" w:type="dxa"/>
            <w:vAlign w:val="bottom"/>
            <w:tcBorders>
              <w:top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80" w:type="dxa"/>
            <w:vAlign w:val="bottom"/>
          </w:tcPr>
          <w:p>
            <w:pPr>
              <w:spacing w:after="0"/>
              <w:rPr>
                <w:sz w:val="16"/>
                <w:szCs w:val="16"/>
                <w:color w:val="auto"/>
              </w:rPr>
            </w:pPr>
          </w:p>
        </w:tc>
        <w:tc>
          <w:tcPr>
            <w:tcW w:w="1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467.5</w:t>
            </w:r>
          </w:p>
        </w:tc>
        <w:tc>
          <w:tcPr>
            <w:tcW w:w="80" w:type="dxa"/>
            <w:vAlign w:val="bottom"/>
          </w:tcPr>
          <w:p>
            <w:pPr>
              <w:spacing w:after="0"/>
              <w:rPr>
                <w:sz w:val="16"/>
                <w:szCs w:val="16"/>
                <w:color w:val="auto"/>
              </w:rPr>
            </w:pPr>
          </w:p>
        </w:tc>
        <w:tc>
          <w:tcPr>
            <w:tcW w:w="20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Pr>
          <w:p>
            <w:pPr>
              <w:spacing w:after="0"/>
              <w:rPr>
                <w:sz w:val="16"/>
                <w:szCs w:val="16"/>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521.1</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profit or loss: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general costs</w:t>
            </w:r>
            <w:r>
              <w:rPr>
                <w:rFonts w:ascii="Times New Roman" w:cs="Times New Roman" w:eastAsia="Times New Roman" w:hAnsi="Times New Roman"/>
                <w:sz w:val="9"/>
                <w:szCs w:val="9"/>
                <w:color w:val="auto"/>
              </w:rPr>
              <w:t>(2)</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193"/>
        </w:trPr>
        <w:tc>
          <w:tcPr>
            <w:tcW w:w="43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Unallocated items: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Restructuring and other charges</w:t>
            </w:r>
            <w:r>
              <w:rPr>
                <w:rFonts w:ascii="Times New Roman" w:cs="Times New Roman" w:eastAsia="Times New Roman" w:hAnsi="Times New Roman"/>
                <w:sz w:val="9"/>
                <w:szCs w:val="9"/>
                <w:color w:val="auto"/>
              </w:rPr>
              <w:t>(3)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93"/>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M&amp;A activities, including SmartDose® 3.5mL sale</w:t>
            </w:r>
            <w:r>
              <w:rPr>
                <w:rFonts w:ascii="Times New Roman" w:cs="Times New Roman" w:eastAsia="Times New Roman" w:hAnsi="Times New Roman"/>
                <w:sz w:val="9"/>
                <w:szCs w:val="9"/>
                <w:color w:val="auto"/>
              </w:rPr>
              <w:t>(4)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Cost-method investment activity</w:t>
            </w:r>
            <w:r>
              <w:rPr>
                <w:rFonts w:ascii="Times New Roman" w:cs="Times New Roman" w:eastAsia="Times New Roman" w:hAnsi="Times New Roman"/>
                <w:sz w:val="9"/>
                <w:szCs w:val="9"/>
                <w:color w:val="auto"/>
              </w:rPr>
              <w:t>(5)</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(3.5)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Amortization of acquisition-related intangible assets</w:t>
            </w:r>
            <w:r>
              <w:rPr>
                <w:rFonts w:ascii="Times New Roman" w:cs="Times New Roman" w:eastAsia="Times New Roman" w:hAnsi="Times New Roman"/>
                <w:sz w:val="9"/>
                <w:szCs w:val="9"/>
                <w:color w:val="auto"/>
              </w:rPr>
              <w:t>(6)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9"/>
                <w:szCs w:val="9"/>
                <w:color w:val="auto"/>
              </w:rPr>
              <w:t>(7)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6"/>
        </w:trPr>
        <w:tc>
          <w:tcPr>
            <w:tcW w:w="43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consolidated operating profit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428.3</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4360" w:type="dxa"/>
            <w:vAlign w:val="bottom"/>
            <w:shd w:val="clear" w:color="auto" w:fill="CCEEFF"/>
          </w:tcPr>
          <w:p>
            <w:pPr>
              <w:ind w:left="180"/>
              <w:spacing w:after="0" w:line="153" w:lineRule="exact"/>
              <w:rPr>
                <w:sz w:val="20"/>
                <w:szCs w:val="20"/>
                <w:color w:val="auto"/>
              </w:rPr>
            </w:pPr>
            <w:r>
              <w:rPr>
                <w:rFonts w:ascii="Times New Roman" w:cs="Times New Roman" w:eastAsia="Times New Roman" w:hAnsi="Times New Roman"/>
                <w:sz w:val="14"/>
                <w:szCs w:val="14"/>
                <w:color w:val="auto"/>
              </w:rPr>
              <w:t>Interest (income) expense and other nonoperating expense (income),</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8"/>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436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Income before income taxes and equity in net income of affiliated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439.4</w:t>
            </w:r>
          </w:p>
        </w:tc>
        <w:tc>
          <w:tcPr>
            <w:tcW w:w="0" w:type="dxa"/>
            <w:vAlign w:val="bottom"/>
          </w:tcPr>
          <w:p>
            <w:pPr>
              <w:spacing w:after="0"/>
              <w:rPr>
                <w:sz w:val="1"/>
                <w:szCs w:val="1"/>
                <w:color w:val="auto"/>
              </w:rPr>
            </w:pPr>
          </w:p>
        </w:tc>
      </w:tr>
      <w:tr>
        <w:trPr>
          <w:trHeight w:val="176"/>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companies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gridSpan w:val="2"/>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6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expense (income) primarily includes foreign exchange transaction gains and losses, adjustments to contingent consideration and (gain) loss on oil hedges attributable to the segments during the three and nine months ended September 30, 2026 and 2025.</w:t>
      </w:r>
    </w:p>
    <w:p>
      <w:pPr>
        <w:spacing w:after="0" w:line="53" w:lineRule="exact"/>
        <w:rPr>
          <w:rFonts w:ascii="Times New Roman" w:cs="Times New Roman" w:eastAsia="Times New Roman" w:hAnsi="Times New Roman"/>
          <w:sz w:val="18"/>
          <w:szCs w:val="18"/>
          <w:color w:val="auto"/>
        </w:rPr>
      </w:pPr>
    </w:p>
    <w:p>
      <w:pPr>
        <w:ind w:right="20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general costs include executive and director compensation, certain pension and other retirement benefit costs, and other corporate facilities and administrative expenses not allocated to the segments.</w:t>
      </w:r>
    </w:p>
    <w:p>
      <w:pPr>
        <w:spacing w:after="0" w:line="53" w:lineRule="exact"/>
        <w:rPr>
          <w:rFonts w:ascii="Times New Roman" w:cs="Times New Roman" w:eastAsia="Times New Roman" w:hAnsi="Times New Roman"/>
          <w:sz w:val="18"/>
          <w:szCs w:val="18"/>
          <w:color w:val="auto"/>
        </w:rPr>
      </w:pPr>
    </w:p>
    <w:p>
      <w:pPr>
        <w:ind w:right="100" w:firstLine="8"/>
        <w:spacing w:after="0" w:line="254"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2026, the Company recorded pre-tax charges of $6.3 million and $9.3 million, respectively,</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related to our two existing restructuring programs: (i) $5.8 million and $7.7 million, respectively, within other expense (income), related to severance and retention benefit charges and the acceleration of depreciation and lease costs in connection with the Company's January 2025 restructuring plan and (ii) $0.5 million and $1.6 million, respectively, within selling, general and administrative expenses, for professional services relating to our 2024 plan to optimize the legal structure of the Company and its subsidiaries. 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000000"/>
        </w:rPr>
        <w:t xml:space="preserve"> September 30, 2025, the Company recorded pre-tax charges of $2.5 million and $21.9 million, respectively, related to our two existing restructuring programs: (i) $0.9 million and $17.5 million, respectively, within other expense (income), related to severance, acceleration of depreciation and lease costs in connection with the Company's January 2025 restructuring plan and (ii) $1.6 million and $4.4 million, respectively, within selling, general and administrative expenses, for professional services relating to our 2024 plan to optimize the legal structure of the Company and its subsidiaries.</w:t>
      </w:r>
    </w:p>
    <w:p>
      <w:pPr>
        <w:spacing w:after="0" w:line="80" w:lineRule="exact"/>
        <w:rPr>
          <w:rFonts w:ascii="Times New Roman" w:cs="Times New Roman" w:eastAsia="Times New Roman" w:hAnsi="Times New Roman"/>
          <w:sz w:val="18"/>
          <w:szCs w:val="18"/>
          <w:color w:val="auto"/>
        </w:rPr>
      </w:pPr>
    </w:p>
    <w:p>
      <w:pPr>
        <w:ind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2026, the Company recorded a pre-tax benefit of $54.0 million and $45.7 million, respectively,</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related to M&amp;A activities, including the Company's agreement to sell its SmartDose® 3.5mL On-Body Delivery System and associated facilities to AbbVie. The net benefit is composed of a net gain on the sale of its SmartDose® 3.5mL On-Body Delivery System assets of $55.7 million for the </w:t>
      </w:r>
      <w:r>
        <w:rPr>
          <w:rFonts w:ascii="Times New Roman" w:cs="Times New Roman" w:eastAsia="Times New Roman" w:hAnsi="Times New Roman"/>
          <w:sz w:val="18"/>
          <w:szCs w:val="18"/>
          <w:color w:val="252525"/>
        </w:rPr>
        <w:t>three and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nine months ended </w:t>
      </w:r>
      <w:r>
        <w:rPr>
          <w:rFonts w:ascii="Times New Roman" w:cs="Times New Roman" w:eastAsia="Times New Roman" w:hAnsi="Times New Roman"/>
          <w:sz w:val="18"/>
          <w:szCs w:val="18"/>
          <w:color w:val="000000"/>
        </w:rPr>
        <w:t>September 30, 2026 within other expense (income). The Company recorded a net benefit of $1.9 million and net charges of</w:t>
      </w:r>
    </w:p>
    <w:p>
      <w:pPr>
        <w:spacing w:after="0" w:line="2"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million, respectively, within other expense (income), related to employee benefit costs in connection with the sale agreement. The Company recorded the remaining $3.6 million and $9.7 million, respectively, within selling, general and administrative expenses, relating to professional services in connection with the sale agreement and other M&amp;A activities.</w:t>
      </w:r>
    </w:p>
    <w:p>
      <w:pPr>
        <w:spacing w:after="0" w:line="77"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nine months ended</w:t>
      </w:r>
      <w:r>
        <w:rPr>
          <w:rFonts w:ascii="Times New Roman" w:cs="Times New Roman" w:eastAsia="Times New Roman" w:hAnsi="Times New Roman"/>
          <w:sz w:val="18"/>
          <w:szCs w:val="18"/>
          <w:color w:val="auto"/>
        </w:rPr>
        <w:t xml:space="preserve"> September 30, 2026, the Company recorded cost-method investment impairment charges of $3.5 million within other expense (income).</w:t>
      </w:r>
    </w:p>
    <w:p>
      <w:pPr>
        <w:spacing w:after="0" w:line="53" w:lineRule="exact"/>
        <w:rPr>
          <w:rFonts w:ascii="Times New Roman" w:cs="Times New Roman" w:eastAsia="Times New Roman" w:hAnsi="Times New Roman"/>
          <w:sz w:val="18"/>
          <w:szCs w:val="18"/>
          <w:color w:val="auto"/>
        </w:rPr>
      </w:pPr>
    </w:p>
    <w:p>
      <w:pPr>
        <w:ind w:right="18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and nine months ended September 30, 2025, we recorded $0.0 million and $0.2 million, respectively, of amortization expense within selling, general and administrative expenses associated with an intangible asset acquired during the second quarter of 2020.</w:t>
      </w:r>
    </w:p>
    <w:p>
      <w:pPr>
        <w:spacing w:after="0" w:line="53"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nonrecurring professional fees associated with various items including certain legal matters and our cybersecurity incident from May 2026. These charges are recorded within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160"/>
        <w:spacing w:after="0" w:line="37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2025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2025 Annual Report and in Part II, Item 1A of this Form 10-Q.</w:t>
      </w:r>
    </w:p>
    <w:p>
      <w:pPr>
        <w:spacing w:after="0" w:line="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Throughout this section, references to “Notes” refer to the notes to our condensed consolidated financial statements (unaudited) in Part I, Item 1 of this Form 10-Q, unless otherwise indicated.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GAAP Financial Measures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 identified income or expense items. The re-measured results excluding effects from currency translation, the impact from acquisitions and/or divestitures, and excluding the effects of unallocated items are not in conformity with U.S.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business operations are organized into two global segments, Proprietary Products and West Vantage. Effective in the first quarter of 2026, the Company renamed its "Contract-Manufactured Products" reportable segment to "West Vantage™" to better align with its current strategic focus and offerings. This change in name does not affect the composition of the reportable segment, nor does it impact previously reported segment financial information. Our Proprietary Products reportable segment offers proprietary packaging, containment solutions and drug delivery systems, along with analytical lab services and other integrated services and solutions, primarily to biologic, generic and pharmaceutical drug customers. Our West Vantage reportable segment serves as a fully integrated business, focused on the design, manufacture, and automated assembly of complex devices, as well as combination product assembly and packaging, primarily for pharmaceutical, diagnostic, and medical device customers. We also maintain collaborations to share technologies and market products with affiliates in Japan and Mexico.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Beginning in 2025, the U.S. government imposed additional tariffs and trade restrictions on certain goods produced outside of the United States, and certain jurisdictions in which we operate have imposed or are considering imposing tariffs and restrictions on certain goods produced in the United States. In February 2026, the U.S. Supreme Court issued a ruling that certain tariffs imposed under the International Emergency Economic Power Act (“IEEPA”) were unauthorized. During the second quarter of 2026, the Company began applying for and receiving certain refunds for tariffs previously collected under the IEEPA. We continue to monitor this dynamic trade-policy environment, including the potential impact of existing or future tariffs, trade restrictions, retaliatory measures, available refund processes and mitigation actions. Based on information currently available, we do not expect these matters to have a material impact on our 2026 results.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continue to monitor the conflict in the Middle East and related macroeconomic developments, including potential impacts on our operations, supply chain, transportation costs, energy costs and petroleum-based raw material inputs. While escalation or prolongation of the conflict could contribute to volatility or inflationary pressure in certain of these costs, based on information currently available and our corresponding mitigation efforts, we do not expect these matters to have a material impact on our results of operations, financial condition or liquidity. During the first nine months of 2026, our Israel-based facilities continued to operate without material disruption.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Performance Summary</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52525"/>
        </w:rPr>
        <w:t xml:space="preserve">The following tables present a reconciliation from U.S. GAAP to non-U.S. GAAP financial measures for the three and nine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37"/>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2026 U.S.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3.02</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Restructuring and other charges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0.06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M&amp;A activities, including SmartDose® 3.5mL sale</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Amortization of acquisition-related intangible assets</w:t>
            </w:r>
            <w:r>
              <w:rPr>
                <w:rFonts w:ascii="Times New Roman" w:cs="Times New Roman" w:eastAsia="Times New Roman" w:hAnsi="Times New Roman"/>
                <w:sz w:val="23"/>
                <w:szCs w:val="23"/>
                <w:color w:val="auto"/>
                <w:vertAlign w:val="superscript"/>
              </w:rPr>
              <w:t>(4)</w:t>
            </w: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0.01</w:t>
            </w: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(5)</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191"/>
        </w:trPr>
        <w:tc>
          <w:tcPr>
            <w:tcW w:w="470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Three months ended September 30, 2026 adjusted amounts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2.66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profit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4"/>
                <w:szCs w:val="24"/>
                <w:color w:val="auto"/>
              </w:rPr>
            </w:pPr>
          </w:p>
        </w:tc>
        <w:tc>
          <w:tcPr>
            <w:tcW w:w="1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EPS</w:t>
            </w:r>
          </w:p>
        </w:tc>
        <w:tc>
          <w:tcPr>
            <w:tcW w:w="0" w:type="dxa"/>
            <w:vAlign w:val="bottom"/>
          </w:tcPr>
          <w:p>
            <w:pPr>
              <w:spacing w:after="0"/>
              <w:rPr>
                <w:sz w:val="1"/>
                <w:szCs w:val="1"/>
                <w:color w:val="auto"/>
              </w:rPr>
            </w:pPr>
          </w:p>
        </w:tc>
      </w:tr>
      <w:tr>
        <w:trPr>
          <w:trHeight w:val="236"/>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2026 U.S.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0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506.8</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7.09</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Restructuring and other charges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0.26</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M&amp;A activities, including SmartDose® 3.5mL sale</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center"/>
              <w:ind w:left="770"/>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Cost-method investment activity</w:t>
            </w:r>
            <w:r>
              <w:rPr>
                <w:rFonts w:ascii="Times New Roman" w:cs="Times New Roman" w:eastAsia="Times New Roman" w:hAnsi="Times New Roman"/>
                <w:sz w:val="23"/>
                <w:szCs w:val="23"/>
                <w:color w:val="auto"/>
                <w:vertAlign w:val="superscript"/>
              </w:rPr>
              <w:t>(3)</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0.05</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Amortization of acquisition-related intangible assets</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5"/>
              </w:rPr>
              <w:t>0.02</w:t>
            </w:r>
          </w:p>
        </w:tc>
        <w:tc>
          <w:tcPr>
            <w:tcW w:w="0" w:type="dxa"/>
            <w:vAlign w:val="bottom"/>
          </w:tcPr>
          <w:p>
            <w:pPr>
              <w:spacing w:after="0"/>
              <w:rPr>
                <w:sz w:val="1"/>
                <w:szCs w:val="1"/>
                <w:color w:val="auto"/>
              </w:rPr>
            </w:pPr>
          </w:p>
        </w:tc>
      </w:tr>
      <w:tr>
        <w:trPr>
          <w:trHeight w:val="243"/>
        </w:trPr>
        <w:tc>
          <w:tcPr>
            <w:tcW w:w="4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(5)</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5"/>
              </w:rPr>
              <w:t>0.10</w:t>
            </w:r>
          </w:p>
        </w:tc>
        <w:tc>
          <w:tcPr>
            <w:tcW w:w="0" w:type="dxa"/>
            <w:vAlign w:val="bottom"/>
          </w:tcPr>
          <w:p>
            <w:pPr>
              <w:spacing w:after="0"/>
              <w:rPr>
                <w:sz w:val="1"/>
                <w:szCs w:val="1"/>
                <w:color w:val="auto"/>
              </w:rPr>
            </w:pPr>
          </w:p>
        </w:tc>
      </w:tr>
      <w:tr>
        <w:trPr>
          <w:trHeight w:val="169"/>
        </w:trPr>
        <w:tc>
          <w:tcPr>
            <w:tcW w:w="47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Nine months ended September 30, 2026 adjusted amounts (non-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tcPr>
          <w:p>
            <w:pPr>
              <w:spacing w:after="0"/>
              <w:rPr>
                <w:sz w:val="14"/>
                <w:szCs w:val="14"/>
                <w:color w:val="auto"/>
              </w:rPr>
            </w:pPr>
          </w:p>
        </w:tc>
        <w:tc>
          <w:tcPr>
            <w:tcW w:w="6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4"/>
                <w:szCs w:val="14"/>
                <w:color w:val="auto"/>
              </w:rPr>
            </w:pP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00" w:type="dxa"/>
            <w:vAlign w:val="bottom"/>
          </w:tcPr>
          <w:p>
            <w:pPr>
              <w:spacing w:after="0"/>
              <w:rPr>
                <w:sz w:val="14"/>
                <w:szCs w:val="14"/>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tcPr>
          <w:p>
            <w:pPr>
              <w:jc w:val="center"/>
              <w:ind w:left="790"/>
              <w:spacing w:after="0"/>
              <w:rPr>
                <w:sz w:val="20"/>
                <w:szCs w:val="20"/>
                <w:color w:val="auto"/>
              </w:rPr>
            </w:pPr>
            <w:r>
              <w:rPr>
                <w:rFonts w:ascii="Times New Roman" w:cs="Times New Roman" w:eastAsia="Times New Roman" w:hAnsi="Times New Roman"/>
                <w:sz w:val="18"/>
                <w:szCs w:val="18"/>
                <w:color w:val="auto"/>
                <w:w w:val="95"/>
              </w:rPr>
              <w:t>7.16</w:t>
            </w:r>
          </w:p>
        </w:tc>
        <w:tc>
          <w:tcPr>
            <w:tcW w:w="0" w:type="dxa"/>
            <w:vAlign w:val="bottom"/>
          </w:tcPr>
          <w:p>
            <w:pPr>
              <w:spacing w:after="0"/>
              <w:rPr>
                <w:sz w:val="1"/>
                <w:szCs w:val="1"/>
                <w:color w:val="auto"/>
              </w:rPr>
            </w:pP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GAAP)</w:t>
            </w:r>
          </w:p>
        </w:tc>
        <w:tc>
          <w:tcPr>
            <w:tcW w:w="14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252525"/>
        </w:rPr>
        <w:t xml:space="preserve">The following tables present a reconciliation from U.S. GAAP to non-U.S. GAAP financial measures for the three and nine months ended </w:t>
      </w:r>
      <w:r>
        <w:rPr>
          <w:rFonts w:ascii="Times New Roman" w:cs="Times New Roman" w:eastAsia="Times New Roman" w:hAnsi="Times New Roman"/>
          <w:sz w:val="18"/>
          <w:szCs w:val="18"/>
          <w:color w:val="000000"/>
        </w:rPr>
        <w:t>September 30,</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2025: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4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0"/>
                <w:szCs w:val="20"/>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Diluted EPS</w:t>
            </w:r>
          </w:p>
        </w:tc>
      </w:tr>
      <w:tr>
        <w:trPr>
          <w:trHeight w:val="264"/>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 2025 U.S.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Restructuring and other charges</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r>
              <w:rPr>
                <w:rFonts w:ascii="Times New Roman" w:cs="Times New Roman" w:eastAsia="Times New Roman" w:hAnsi="Times New Roman"/>
                <w:sz w:val="23"/>
                <w:szCs w:val="23"/>
                <w:color w:val="auto"/>
                <w:vertAlign w:val="superscript"/>
              </w:rPr>
              <w:t>(4)</w:t>
            </w:r>
          </w:p>
        </w:tc>
        <w:tc>
          <w:tcPr>
            <w:tcW w:w="140" w:type="dxa"/>
            <w:vAlign w:val="bottom"/>
          </w:tcPr>
          <w:p>
            <w:pPr>
              <w:spacing w:after="0"/>
              <w:rPr>
                <w:sz w:val="23"/>
                <w:szCs w:val="23"/>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191"/>
        </w:trPr>
        <w:tc>
          <w:tcPr>
            <w:tcW w:w="4700" w:type="dxa"/>
            <w:vAlign w:val="bottom"/>
            <w:tcBorders>
              <w:top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Three months ended September 30, 2025 adjusted amounts</w:t>
            </w: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r>
      <w:tr>
        <w:trPr>
          <w:trHeight w:val="25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GAAP)</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millions, except per share data)</w:t>
            </w: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Profit</w:t>
            </w:r>
          </w:p>
        </w:tc>
        <w:tc>
          <w:tcPr>
            <w:tcW w:w="16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24"/>
                <w:szCs w:val="24"/>
                <w:color w:val="auto"/>
              </w:rPr>
            </w:pPr>
          </w:p>
        </w:tc>
        <w:tc>
          <w:tcPr>
            <w:tcW w:w="13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Diluted EPS</w:t>
            </w:r>
          </w:p>
        </w:tc>
      </w:tr>
      <w:tr>
        <w:trPr>
          <w:trHeight w:val="26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2025 U.S. GAAP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r>
    </w:tbl>
    <w:p>
      <w:pPr>
        <w:spacing w:after="0" w:line="9" w:lineRule="exact"/>
        <w:rPr>
          <w:sz w:val="20"/>
          <w:szCs w:val="20"/>
          <w:color w:val="auto"/>
        </w:rPr>
      </w:pPr>
    </w:p>
    <w:p>
      <w:pPr>
        <w:sectPr>
          <w:pgSz w:w="11900" w:h="16838" w:orient="portrait"/>
          <w:cols w:equalWidth="0" w:num="1">
            <w:col w:w="11240"/>
          </w:cols>
          <w:pgMar w:left="320" w:top="124" w:right="339" w:bottom="1440" w:gutter="0" w:footer="0" w:header="0"/>
        </w:sectPr>
      </w:pPr>
    </w:p>
    <w:tbl>
      <w:tblPr>
        <w:tblLayout w:type="fixed"/>
        <w:tblInd w:w="2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Unallocated items:</w:t>
            </w:r>
          </w:p>
        </w:tc>
        <w:tc>
          <w:tcPr>
            <w:tcW w:w="120" w:type="dxa"/>
            <w:vAlign w:val="bottom"/>
          </w:tcPr>
          <w:p>
            <w:pPr>
              <w:spacing w:after="0"/>
              <w:rPr>
                <w:sz w:val="20"/>
                <w:szCs w:val="20"/>
                <w:color w:val="auto"/>
              </w:rPr>
            </w:pPr>
          </w:p>
        </w:tc>
      </w:tr>
      <w:tr>
        <w:trPr>
          <w:trHeight w:val="275"/>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 charges</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23"/>
                <w:szCs w:val="23"/>
                <w:color w:val="auto"/>
              </w:rPr>
            </w:pPr>
          </w:p>
        </w:tc>
      </w:tr>
      <w:tr>
        <w:trPr>
          <w:trHeight w:val="27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r>
              <w:rPr>
                <w:rFonts w:ascii="Times New Roman" w:cs="Times New Roman" w:eastAsia="Times New Roman" w:hAnsi="Times New Roman"/>
                <w:sz w:val="23"/>
                <w:szCs w:val="23"/>
                <w:color w:val="auto"/>
                <w:vertAlign w:val="superscript"/>
              </w:rPr>
              <w:t>(4)</w:t>
            </w:r>
          </w:p>
        </w:tc>
        <w:tc>
          <w:tcPr>
            <w:tcW w:w="120" w:type="dxa"/>
            <w:vAlign w:val="bottom"/>
          </w:tcPr>
          <w:p>
            <w:pPr>
              <w:spacing w:after="0"/>
              <w:rPr>
                <w:sz w:val="23"/>
                <w:szCs w:val="23"/>
                <w:color w:val="auto"/>
              </w:rPr>
            </w:pPr>
          </w:p>
        </w:tc>
      </w:tr>
      <w:tr>
        <w:trPr>
          <w:trHeight w:val="203"/>
        </w:trPr>
        <w:tc>
          <w:tcPr>
            <w:tcW w:w="46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Nine months ended September 30, 2025 adjusted amounts (non-</w:t>
            </w:r>
          </w:p>
        </w:tc>
        <w:tc>
          <w:tcPr>
            <w:tcW w:w="120" w:type="dxa"/>
            <w:vAlign w:val="bottom"/>
          </w:tcPr>
          <w:p>
            <w:pPr>
              <w:spacing w:after="0"/>
              <w:rPr>
                <w:sz w:val="17"/>
                <w:szCs w:val="17"/>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U.S. GAAP)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21.9</w:t>
            </w: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r>
      <w:tr>
        <w:trPr>
          <w:trHeight w:val="270"/>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c>
          <w:tcPr>
            <w:tcW w:w="64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426"/>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450.4</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4"/>
                <w:szCs w:val="24"/>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24"/>
                <w:szCs w:val="24"/>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-642620</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-3664585</wp:posOffset>
            </wp:positionH>
            <wp:positionV relativeFrom="paragraph">
              <wp:posOffset>-316865</wp:posOffset>
            </wp:positionV>
            <wp:extent cx="7132320" cy="317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060" w:space="720"/>
            <w:col w:w="5460"/>
          </w:cols>
          <w:pgMar w:left="320" w:top="124" w:right="339" w:bottom="1440" w:gutter="0" w:footer="0" w:header="0"/>
          <w:type w:val="continuous"/>
        </w:sectPr>
      </w:pPr>
    </w:p>
    <w:p>
      <w:pPr>
        <w:ind w:left="660" w:right="40" w:hanging="328"/>
        <w:spacing w:after="0" w:line="253" w:lineRule="auto"/>
        <w:tabs>
          <w:tab w:leader="none" w:pos="654" w:val="left"/>
        </w:tabs>
        <w:numPr>
          <w:ilvl w:val="0"/>
          <w:numId w:val="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2026, the Company recorded pre-tax charges of $6.3 million and $9.3 million,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respectively, related to our two existing restructuring programs: (i) $5.8 million and $7.7 million, respectively, within other expense (income), related to severance and retention benefit charges and the acceleration of depreciation and lease costs in connection with the Company's January 2025 restructuring plan and (ii) $0.5 million and $1.6 million, respectively, within selling, general and administrative expenses, for professional services relating to our 2024 plan to optimize the legal structure of the Company and its subsidiaries. In addition, we recorded a one-time tax cost of $12.0 million associated with an internal legal entity restructuring which occurred in the first quarter of 2026. During the </w:t>
      </w:r>
      <w:r>
        <w:rPr>
          <w:rFonts w:ascii="Times New Roman" w:cs="Times New Roman" w:eastAsia="Times New Roman" w:hAnsi="Times New Roman"/>
          <w:sz w:val="18"/>
          <w:szCs w:val="18"/>
          <w:color w:val="252525"/>
        </w:rPr>
        <w:t>three and nine months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52525"/>
        </w:rPr>
        <w:t xml:space="preserve">ended </w:t>
      </w:r>
      <w:r>
        <w:rPr>
          <w:rFonts w:ascii="Times New Roman" w:cs="Times New Roman" w:eastAsia="Times New Roman" w:hAnsi="Times New Roman"/>
          <w:sz w:val="18"/>
          <w:szCs w:val="18"/>
          <w:color w:val="000000"/>
        </w:rPr>
        <w:t>September 30, 2025, the Company recorded pre-tax charges of $2.5 million and $21.9 million, respectively, related to our two existing</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restructuring programs: (i) $0.9 million and $17.5 million, respectively, within other expense (income), related to severance, acceleration of depreciation and lease costs in connection with the Company's January 2025 restructuring plan and (ii) $1.6 million and $4.4 million, respectively, within selling, general and administrative expenses, for professional services relating to our 2024 plan to optimize the legal structure of the Company and its subsidiaries. In addition, we recorded income tax charges of $2.0 million in the first quarter of 2025, related primarily to withholding tax and capital gains incurred in executing our plan to optimize our legal structure.</w:t>
      </w:r>
    </w:p>
    <w:p>
      <w:pPr>
        <w:spacing w:after="0" w:line="81" w:lineRule="exact"/>
        <w:rPr>
          <w:rFonts w:ascii="Times New Roman" w:cs="Times New Roman" w:eastAsia="Times New Roman" w:hAnsi="Times New Roman"/>
          <w:sz w:val="18"/>
          <w:szCs w:val="18"/>
          <w:color w:val="252525"/>
        </w:rPr>
      </w:pPr>
    </w:p>
    <w:p>
      <w:pPr>
        <w:ind w:left="660" w:right="40" w:hanging="328"/>
        <w:spacing w:after="0" w:line="254" w:lineRule="auto"/>
        <w:tabs>
          <w:tab w:leader="none" w:pos="654" w:val="left"/>
        </w:tabs>
        <w:numPr>
          <w:ilvl w:val="0"/>
          <w:numId w:val="7"/>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 xml:space="preserve">During the three and nine months ended </w:t>
      </w:r>
      <w:r>
        <w:rPr>
          <w:rFonts w:ascii="Times New Roman" w:cs="Times New Roman" w:eastAsia="Times New Roman" w:hAnsi="Times New Roman"/>
          <w:sz w:val="18"/>
          <w:szCs w:val="18"/>
          <w:color w:val="000000"/>
        </w:rPr>
        <w:t>September 30, 2026, the Company recorded pre-tax benefit of $54.0 million and $45.7 million,</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 xml:space="preserve">respectively, related to M&amp;A activities, primarily related to the Company's agreement to sell its SmartDose® 3.5mL On-Body Delivery System and associated facilities to AbbVie. The net benefit is composed of a net gain on the sale of its SmartDose® 3.5mL On-Body Delivery System assets of $55.7 million for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000000"/>
        </w:rPr>
        <w:t xml:space="preserve"> September 30, 2026 within other expense (income). The Company recorded a one-time tax cost of $22.4 million associated with the gain on the sale of SmartDose® 3.5mL On-Body Delivery System. The Company recorded a net benefit of $1.9 million and net charges of $0.3 million, respectively, within other expense (income), related to employee benefits in connection with the sale agreement. The Company recorded the remaining $3.6 million and $9.7 million, respectively, within selling, general and administrative expenses, relating to professional services in connection with other M&amp;A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right="34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nine months ended</w:t>
      </w:r>
      <w:r>
        <w:rPr>
          <w:rFonts w:ascii="Times New Roman" w:cs="Times New Roman" w:eastAsia="Times New Roman" w:hAnsi="Times New Roman"/>
          <w:sz w:val="18"/>
          <w:szCs w:val="18"/>
          <w:color w:val="auto"/>
        </w:rPr>
        <w:t xml:space="preserve"> September 30, 2026, the Company recorded cost-method investment impairment charges of $3.5 million within other expense (income).</w:t>
      </w:r>
    </w:p>
    <w:p>
      <w:pPr>
        <w:spacing w:after="0" w:line="53" w:lineRule="exact"/>
        <w:rPr>
          <w:rFonts w:ascii="Times New Roman" w:cs="Times New Roman" w:eastAsia="Times New Roman" w:hAnsi="Times New Roman"/>
          <w:sz w:val="18"/>
          <w:szCs w:val="18"/>
          <w:color w:val="auto"/>
        </w:rPr>
      </w:pPr>
    </w:p>
    <w:p>
      <w:pPr>
        <w:ind w:left="660" w:hanging="328"/>
        <w:spacing w:after="0" w:line="256"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w:t>
      </w:r>
      <w:r>
        <w:rPr>
          <w:rFonts w:ascii="Times New Roman" w:cs="Times New Roman" w:eastAsia="Times New Roman" w:hAnsi="Times New Roman"/>
          <w:sz w:val="18"/>
          <w:szCs w:val="18"/>
          <w:color w:val="252525"/>
        </w:rPr>
        <w:t>three and nine months ended</w:t>
      </w:r>
      <w:r>
        <w:rPr>
          <w:rFonts w:ascii="Times New Roman" w:cs="Times New Roman" w:eastAsia="Times New Roman" w:hAnsi="Times New Roman"/>
          <w:sz w:val="18"/>
          <w:szCs w:val="18"/>
          <w:color w:val="auto"/>
        </w:rPr>
        <w:t xml:space="preserve"> September 30, 2026, the Company recorded $0.5 million and $1.4 million, respectively, of amortization expense in association with an acquisition of increased ownership interest in Daikyo. </w:t>
      </w:r>
      <w:r>
        <w:rPr>
          <w:rFonts w:ascii="Times New Roman" w:cs="Times New Roman" w:eastAsia="Times New Roman" w:hAnsi="Times New Roman"/>
          <w:sz w:val="18"/>
          <w:szCs w:val="18"/>
          <w:color w:val="252525"/>
        </w:rPr>
        <w:t>During the three and nine months ended</w:t>
      </w:r>
      <w:r>
        <w:rPr>
          <w:rFonts w:ascii="Times New Roman" w:cs="Times New Roman" w:eastAsia="Times New Roman" w:hAnsi="Times New Roman"/>
          <w:sz w:val="18"/>
          <w:szCs w:val="18"/>
          <w:color w:val="auto"/>
        </w:rPr>
        <w:t xml:space="preserve"> September 30, 2025, </w:t>
      </w:r>
      <w:r>
        <w:rPr>
          <w:rFonts w:ascii="Times New Roman" w:cs="Times New Roman" w:eastAsia="Times New Roman" w:hAnsi="Times New Roman"/>
          <w:sz w:val="18"/>
          <w:szCs w:val="18"/>
          <w:color w:val="252525"/>
        </w:rPr>
        <w:t xml:space="preserve">the Company recorded </w:t>
      </w:r>
      <w:r>
        <w:rPr>
          <w:rFonts w:ascii="Times New Roman" w:cs="Times New Roman" w:eastAsia="Times New Roman" w:hAnsi="Times New Roman"/>
          <w:sz w:val="18"/>
          <w:szCs w:val="18"/>
          <w:color w:val="000000"/>
        </w:rPr>
        <w:t>$0.0 million and $0.2 million, respectively,</w:t>
      </w:r>
      <w:r>
        <w:rPr>
          <w:rFonts w:ascii="Times New Roman" w:cs="Times New Roman" w:eastAsia="Times New Roman" w:hAnsi="Times New Roman"/>
          <w:sz w:val="18"/>
          <w:szCs w:val="18"/>
          <w:color w:val="252525"/>
        </w:rPr>
        <w:t xml:space="preserve"> of amortization expense </w:t>
      </w:r>
      <w:r>
        <w:rPr>
          <w:rFonts w:ascii="Times New Roman" w:cs="Times New Roman" w:eastAsia="Times New Roman" w:hAnsi="Times New Roman"/>
          <w:sz w:val="18"/>
          <w:szCs w:val="18"/>
          <w:color w:val="000000"/>
        </w:rPr>
        <w:t>within selling, general and administrative expenses</w:t>
      </w:r>
      <w:r>
        <w:rPr>
          <w:rFonts w:ascii="Times New Roman" w:cs="Times New Roman" w:eastAsia="Times New Roman" w:hAnsi="Times New Roman"/>
          <w:sz w:val="18"/>
          <w:szCs w:val="18"/>
          <w:color w:val="252525"/>
        </w:rPr>
        <w:t xml:space="preserve"> associated with an intangible asset acquired during </w:t>
      </w:r>
      <w:r>
        <w:rPr>
          <w:rFonts w:ascii="Times New Roman" w:cs="Times New Roman" w:eastAsia="Times New Roman" w:hAnsi="Times New Roman"/>
          <w:sz w:val="18"/>
          <w:szCs w:val="18"/>
          <w:color w:val="000000"/>
        </w:rPr>
        <w:t>the second quarter of 2020. During the</w:t>
      </w:r>
      <w:r>
        <w:rPr>
          <w:rFonts w:ascii="Times New Roman" w:cs="Times New Roman" w:eastAsia="Times New Roman" w:hAnsi="Times New Roman"/>
          <w:sz w:val="18"/>
          <w:szCs w:val="18"/>
          <w:color w:val="252525"/>
        </w:rPr>
        <w:t xml:space="preserve"> three and nine months ended </w:t>
      </w:r>
      <w:r>
        <w:rPr>
          <w:rFonts w:ascii="Times New Roman" w:cs="Times New Roman" w:eastAsia="Times New Roman" w:hAnsi="Times New Roman"/>
          <w:sz w:val="18"/>
          <w:szCs w:val="18"/>
          <w:color w:val="000000"/>
        </w:rPr>
        <w:t>September 30, 2025, the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000000"/>
        </w:rPr>
        <w:t>Company recorded $0.4 million and $1.3 million, respectively, of amortization expense in association with an acquisition of increased ownership interest in Daikyo.</w:t>
      </w:r>
    </w:p>
    <w:p>
      <w:pPr>
        <w:spacing w:after="0" w:line="79"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nonrecurring professional fees associated with various items including certain legal matters and our cybersecurity incident from May 2026. These charges are recorded within selling, general and administrative expenses.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Percentages in the following tables and throughout the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xml:space="preserve"> section may reflect rounding adjustments.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three months ended September 30, 2026 and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Sales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3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69.9</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Foreign exchange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SmartDose® 3.5mL transaction</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866.7</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91.9</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11.9 %</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Proprietary Products Net Sales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3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Foreign exchange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4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SmartDose® 3.5mL transaction</w:t>
            </w: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37"/>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617.7</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0"/>
        </w:trPr>
        <w:tc>
          <w:tcPr>
            <w:tcW w:w="4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West Vantage Net Sales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3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Foreign exchange</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2"/>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net sales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7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Consolidated net sales increased by $69.9 million, or 8.7%, for the three months ended September 30, 2026, as compared to the same period in 2025, including an unfavorable foreign currency translation impact of $4.0 million and a reduction in SmartDose® 3.5mL product revenue of $18.0 million due to our sale of the product line to AbbVie on July 1, 2026. Excluding foreign currency translation effects and the impact of SmartDose® 3.5mL, consolidated net sales for the three months ended September 30, 2026 organically increased by $91.9 million, or 11.9%, as compared to the same period in 2025. Volume and mix contributed $58.3 million of growth in the three months ended September 30, 2026, while sales price increases contributed $33.6 million.</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net sales increased by $81.3 million, or 12.6%, for the three months ended September 30, 2026,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2025, including an unfavorable foreign currency translation impact of $3.0 million. Excluding foreign currency translation effects and SmartDose® 3.5mL product revenue reduction of $18.0 million, net sales for the three months ended September 30, 2026 increased by $102.3 million, or 16.6%, as compared to the same period in 2025. Increased sales of HVP components contributed approximately 13 percentage points of organic sales growth and sales of HVP delivery devices contributed a further 3 percentage points. Sales of HVP components increased $79.1 million, or 20.3%, excluding foreign currency translation effects. This increase in HVP components sales was driven by continued strong customer demand for both Biologics and GLP-1 products as well as sales price increases. Sales of HVP delivery devices increased $18.3 million, or 26.4%, excluding foreign currency translation effects and the impact of SmartDose® 3.5mL. The increase in HVP delivery devices was driven primarily by customer demand for Daikyo Crystal Zenith® and Administration Systems. Sales of Standard Products increased by $4.9 million, or 3.1%, excluding foreign currency translation adjustments.</w:t>
      </w:r>
    </w:p>
    <w:p>
      <w:pPr>
        <w:spacing w:after="0" w:line="7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West Vantage – </w:t>
      </w:r>
      <w:r>
        <w:rPr>
          <w:rFonts w:ascii="Times New Roman" w:cs="Times New Roman" w:eastAsia="Times New Roman" w:hAnsi="Times New Roman"/>
          <w:sz w:val="18"/>
          <w:szCs w:val="18"/>
          <w:color w:val="auto"/>
        </w:rPr>
        <w:t>West Vantage net sales decreased by $11.4 million, or 7.3%, for the three months ended September 30, 2026,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including an unfavorable foreign currency translation impact of $1.0 million. Excluding foreign currency translation effects, net sales for the three months ended September 30, 2026 decreased by $10.4 million, or 6.6%, as compared to the same period in 2025. The decrease was driven by the planned expiration of a continuous glucose monitoring customer contract at one of our facilities, offset by sales price increases and increases in sales of self-injection devices for diabetes and obesity and device components.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sales, consolidated and by reportable segment, for the nine months ended September 30, 2026 and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Net Sales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36"/>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2,269.1</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Foreign exchange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SmartDose® 3.5mL transaction</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2,239.3</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0"/>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Proprietary Products Net Sales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3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Foreign exchange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SmartDose® 3.5mL transaction</w:t>
            </w: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3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net sales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1"/>
        </w:trPr>
        <w:tc>
          <w:tcPr>
            <w:tcW w:w="4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West Vantage Net Sales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Percentage Change</w:t>
            </w:r>
          </w:p>
        </w:tc>
      </w:tr>
      <w:tr>
        <w:trPr>
          <w:trHeight w:val="23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rPr>
              <w:t>7.2</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Foreign exchange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4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61"/>
        </w:trPr>
        <w:tc>
          <w:tcPr>
            <w:tcW w:w="4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net sales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center"/>
              <w:ind w:left="770"/>
              <w:spacing w:after="0"/>
              <w:rPr>
                <w:sz w:val="20"/>
                <w:szCs w:val="20"/>
                <w:color w:val="auto"/>
              </w:rPr>
            </w:pPr>
            <w:r>
              <w:rPr>
                <w:rFonts w:ascii="Times New Roman" w:cs="Times New Roman" w:eastAsia="Times New Roman" w:hAnsi="Times New Roman"/>
                <w:sz w:val="18"/>
                <w:szCs w:val="18"/>
                <w:color w:val="auto"/>
                <w:w w:val="98"/>
              </w:rPr>
              <w:t>(0.8)</w:t>
            </w:r>
          </w:p>
        </w:tc>
        <w:tc>
          <w:tcPr>
            <w:tcW w:w="18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Consolidated net sales increased by $322.6 million, or 14.2%, for the nine months ended September 30, 2026, as compared to the same period in 2025, including a favorable foreign currency translation impact of $44.5 million. Excluding foreign currency translation effects and the reduction in SmartDose® 3.5mL product revenue of $18.0 million for the three months ended September 30, 2026 due to our sale of the product line to AbbVie on July 1, 2026, consolidated net sales for the nine months ended September 30, 2026 increased by $296.1 million, or 13.2%, as compared to the same period in 2025. Volume and mix contributed $208.0 million of growth in the nine months ended September 30, 2026, while sales price increases contributed $88.1 million.</w:t>
      </w:r>
    </w:p>
    <w:p>
      <w:pPr>
        <w:spacing w:after="0" w:line="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net sales increased by $315.4 million, or 17.2%, for the nine months ended September 30, 2026, as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2025, including a favorable foreign currency translation impact of $36.5 million. Excluding foreign currency translation effects and the reduction in SmartDose® 3.5mL product revenue, net sales for the nine months ended September 30, 2026 increased by $296.9 million, or 16.5%, as compared to the same period in 2025. Sales of HVP components increased $216.0 million, or 20.4%, excluding foreign currency translation effects. The increase in HVP components sales was driven by continued strong customer demand for Biologics products and GLP-1 products as well as sales price increases. Sales of HVP delivery devices increased $74.3 million, or 27.9%, excluding foreign currency translation effects and excluding the reduction in SmartDose® 3.5mL product revenue. The increase in HVP delivery devices was driven by higher market demand for self-injection devices in the first half of 2026, higher sales of Daikyo Crystal Zenith®, and sales price increases. Sales of Standard Products increased by $6.6 million, or 1.4%, excluding foreign currency translation adjustments.</w:t>
      </w:r>
    </w:p>
    <w:p>
      <w:pPr>
        <w:spacing w:after="0" w:line="8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West Vantage – </w:t>
      </w:r>
      <w:r>
        <w:rPr>
          <w:rFonts w:ascii="Times New Roman" w:cs="Times New Roman" w:eastAsia="Times New Roman" w:hAnsi="Times New Roman"/>
          <w:sz w:val="18"/>
          <w:szCs w:val="18"/>
          <w:color w:val="auto"/>
        </w:rPr>
        <w:t>West Vantage net sales increased by $7.2 million, or 1.6%, for the nine months ended September 30, 2026, as compared to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2025, including a favorable foreign currency translation impact of $8.0 million. Excluding foreign currency translation effects, net sales for the nine months ended September 30, 2026 decreased by $0.8 million, or 0.2%, as compared to the same period in 2025. The decrease was primarily driven by the planned expiration of a continuous glucose monitoring customer contract at one of our facilities in June, offset by sales price increases and an increase in sales of self-injection devices for diabetes and obesity and device components.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gross profit and related gross profit margins, consolidated and by reportable segment: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9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r>
      <w:tr>
        <w:trPr>
          <w:trHeight w:val="241"/>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3"/>
        </w:trPr>
        <w:tc>
          <w:tcPr>
            <w:tcW w:w="44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323.4</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904.5</w:t>
            </w:r>
          </w:p>
        </w:tc>
        <w:tc>
          <w:tcPr>
            <w:tcW w:w="8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722.5</w:t>
            </w:r>
          </w:p>
        </w:tc>
      </w:tr>
      <w:tr>
        <w:trPr>
          <w:trHeight w:val="243"/>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44.4 %</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Vantage:</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44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77.6</w:t>
            </w:r>
          </w:p>
        </w:tc>
      </w:tr>
      <w:tr>
        <w:trPr>
          <w:trHeight w:val="243"/>
        </w:trPr>
        <w:tc>
          <w:tcPr>
            <w:tcW w:w="44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 margin</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61"/>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294.3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973.0</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800.1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gross profit margin</w:t>
            </w: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36.6 %</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35.3 %</w:t>
            </w:r>
          </w:p>
        </w:tc>
      </w:tr>
      <w:tr>
        <w:trPr>
          <w:trHeight w:val="20"/>
        </w:trPr>
        <w:tc>
          <w:tcPr>
            <w:tcW w:w="4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Consolidated - </w:t>
      </w:r>
      <w:r>
        <w:rPr>
          <w:rFonts w:ascii="Times New Roman" w:cs="Times New Roman" w:eastAsia="Times New Roman" w:hAnsi="Times New Roman"/>
          <w:sz w:val="18"/>
          <w:szCs w:val="18"/>
          <w:color w:val="auto"/>
        </w:rPr>
        <w:t>Consolidated gross profit increased by $53.1 million, or 18.0%, for the three months ended September 30, 2026,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including an unfavorable foreign currency translation impact of $2.5 million for the three months ended September 30, 2026, as compared to the same period in 2025. Consolidated gross profit margin increased by 3.1 percentage points for the three months ended September 30, 2026, as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Consolidated gross profit increased by $172.9 million, or 21.6%, for the nine months ended September 30, 2026, as compared to the same period in 2025, including a favorable foreign currency translation impact of $16.5 million for the nine months ended September 30, 2026, as compared to the same period in 2025. Consolidated gross profit margin increased by 2.2 percentage points for the nine months ended September 30, 2026, as compared to the same period in 2025.</w:t>
      </w:r>
    </w:p>
    <w:p>
      <w:pPr>
        <w:spacing w:after="0" w:line="6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gross profit increased by $59.4 million, or 22.5%, for the three months ended September 30,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2025, including an unfavorable foreign currency translation impact of $2.4 million. Proprietary Products gross profit margin increased by 3.6 percentage points for the three months ended September 30, 2026, as compared to the same periods in 2025, due primarily to favorable sales mix of HVP components, including GLP-1 products, as well as sales price increases. These were partially offset by inflationary pressures and plant costs.</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Proprietary Products gross profit increased by $182.0 million, or 25.2%, for the nine months ended September 30, 2026, as compared to the same period in 2025, including a favorable foreign currency translation impact of $15.2 million. Proprietary Products gross profit margin increased by 2.7 percentage points for the nine months ended September 30, 2026, as compared to the same periods in 2025, due primarily to favorable sales mix of HVP components, including GLP-1 products, and sales price increases. These were offset by inflationary pressures on our cost base and plant performance.</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West Vantage - </w:t>
      </w:r>
      <w:r>
        <w:rPr>
          <w:rFonts w:ascii="Times New Roman" w:cs="Times New Roman" w:eastAsia="Times New Roman" w:hAnsi="Times New Roman"/>
          <w:sz w:val="18"/>
          <w:szCs w:val="18"/>
          <w:color w:val="auto"/>
        </w:rPr>
        <w:t>West Vantage gross profit decreased by $6.3 million, or 20.8%, for the three months ended September 30, 2026,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including an unfavorable foreign currency translation impact of $0.1 million. West Vantage gross profit margin decreased by 2.8 percentage points for the three months ended September 30, 2026, as compared to the same period in 2025, due to product mix, inflationary pressures on our plant spend, and plant ramp up costs related to our drug handling programs, partially offset by sales price increases.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West Vantage gross profit decreased by $9.1 million, or 11.7%, for the nine months ended September 30, 2026, as compared to the same period in 2025, including a favorable foreign currency translation impact of $1.3 million. West Vantage gross profit margin decreased by 2.3 percentage points for the nine months ended September 30, 2026, as compared to the same period in 2025, due to inefficiencies associated with production downtime related to the Company’s May 2026 cyber incident, as well as inflationary pressures on our plant spend, partially offset by sales price increases.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 Costs</w:t>
            </w: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consolidated R&amp;D costs:</w:t>
            </w: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4700" w:type="dxa"/>
            <w:vAlign w:val="bottom"/>
          </w:tcPr>
          <w:p>
            <w:pPr>
              <w:spacing w:after="0"/>
              <w:rPr>
                <w:sz w:val="18"/>
                <w:szCs w:val="18"/>
                <w:color w:val="auto"/>
              </w:rPr>
            </w:pPr>
          </w:p>
        </w:tc>
        <w:tc>
          <w:tcPr>
            <w:tcW w:w="2720" w:type="dxa"/>
            <w:vAlign w:val="bottom"/>
            <w:gridSpan w:val="4"/>
          </w:tcPr>
          <w:p>
            <w:pPr>
              <w:jc w:val="center"/>
              <w:ind w:left="4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4"/>
          </w:tcPr>
          <w:p>
            <w:pPr>
              <w:jc w:val="center"/>
              <w:ind w:right="25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7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410"/>
              <w:spacing w:after="0"/>
              <w:rPr>
                <w:sz w:val="20"/>
                <w:szCs w:val="20"/>
                <w:color w:val="auto"/>
              </w:rPr>
            </w:pPr>
            <w:r>
              <w:rPr>
                <w:rFonts w:ascii="Times New Roman" w:cs="Times New Roman" w:eastAsia="Times New Roman" w:hAnsi="Times New Roman"/>
                <w:sz w:val="18"/>
                <w:szCs w:val="18"/>
                <w:color w:val="auto"/>
                <w:w w:val="99"/>
              </w:rPr>
              <w:t>September 30,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color w:val="auto"/>
                <w:w w:val="99"/>
              </w:rPr>
              <w:t>September 30,</w:t>
            </w:r>
          </w:p>
        </w:tc>
        <w:tc>
          <w:tcPr>
            <w:tcW w:w="1020" w:type="dxa"/>
            <w:vAlign w:val="bottom"/>
            <w:tcBorders>
              <w:bottom w:val="single" w:sz="8" w:color="auto"/>
            </w:tcBorders>
          </w:tcPr>
          <w:p>
            <w:pPr>
              <w:spacing w:after="0"/>
              <w:rPr>
                <w:sz w:val="20"/>
                <w:szCs w:val="20"/>
                <w:color w:val="auto"/>
              </w:rPr>
            </w:pPr>
          </w:p>
        </w:tc>
      </w:tr>
      <w:tr>
        <w:trPr>
          <w:trHeight w:val="241"/>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6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R&amp;D costs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Consolidated R&amp;D costs increased by $1.2 million, or 7.0%, and $1.3 million, or 2.5%, for the three and nine months ended September 30, 2026, respectively, as compared to the three and nine months ended September 30, 2025. The increase in R&amp;D spend is associated with our investment in (1) primary injectables in elastomeric components, formulation development &amp; packaging and (2) drug containment systems, self-injection systems, and drug administration consumables.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the R&amp;D costs incurred in the three and nine months ended September 30, 2026 and 2025 related to Proprietary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(“SG&amp;A”) Costs</w:t>
            </w: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4"/>
        </w:trPr>
        <w:tc>
          <w:tcPr>
            <w:tcW w:w="96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SG&amp;A costs, consolidated and by reportable segment and corporate and unallocated items:</w:t>
            </w: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4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5"/>
          </w:tcPr>
          <w:p>
            <w:pPr>
              <w:ind w:left="540"/>
              <w:spacing w:after="0"/>
              <w:rPr>
                <w:sz w:val="20"/>
                <w:szCs w:val="20"/>
                <w:color w:val="auto"/>
              </w:rPr>
            </w:pPr>
            <w:r>
              <w:rPr>
                <w:rFonts w:ascii="Times New Roman" w:cs="Times New Roman" w:eastAsia="Times New Roman" w:hAnsi="Times New Roman"/>
                <w:sz w:val="18"/>
                <w:szCs w:val="18"/>
                <w:color w:val="auto"/>
              </w:rPr>
              <w:t>Three Months Ended</w:t>
            </w:r>
          </w:p>
        </w:tc>
        <w:tc>
          <w:tcPr>
            <w:tcW w:w="380" w:type="dxa"/>
            <w:vAlign w:val="bottom"/>
          </w:tcPr>
          <w:p>
            <w:pPr>
              <w:spacing w:after="0"/>
              <w:rPr>
                <w:sz w:val="18"/>
                <w:szCs w:val="18"/>
                <w:color w:val="auto"/>
              </w:rPr>
            </w:pPr>
          </w:p>
        </w:tc>
        <w:tc>
          <w:tcPr>
            <w:tcW w:w="29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r>
      <w:tr>
        <w:trPr>
          <w:trHeight w:val="241"/>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209.0</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187.4</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Vantage</w:t>
            </w:r>
          </w:p>
        </w:tc>
        <w:tc>
          <w:tcPr>
            <w:tcW w:w="3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96.8</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77.1</w:t>
            </w: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SG&amp;A costs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286.6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2"/>
        </w:trPr>
        <w:tc>
          <w:tcPr>
            <w:tcW w:w="44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SG&amp;A as a % of net sales</w:t>
            </w: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w:t>
      </w:r>
      <w:r>
        <w:rPr>
          <w:rFonts w:ascii="Times New Roman" w:cs="Times New Roman" w:eastAsia="Times New Roman" w:hAnsi="Times New Roman"/>
          <w:sz w:val="18"/>
          <w:szCs w:val="18"/>
          <w:color w:val="auto"/>
        </w:rPr>
        <w:t>- Consolidated SG&amp;A costs increased by $10.2 million, or 9.9%, for the three months ended September 30, 2026,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including a favorable foreign currency translation impact of $0.1 million.</w:t>
      </w:r>
    </w:p>
    <w:p>
      <w:pPr>
        <w:spacing w:after="0" w:line="5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Consolidated SG&amp;A costs increased by $43.4 million, or 15.1%, for the nine months ended September 30, 2026, as compared to the same period in 2025, including an unfavorable foreign currency translation impact of $2.7 million.</w:t>
      </w:r>
    </w:p>
    <w:p>
      <w:pPr>
        <w:spacing w:after="0" w:line="5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SG&amp;A costs increased by $8.9 million, or 13.6%, for the three months ended September 30,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2025, including a favorable foreign currency translation impact of $0.1 million, due primarily to higher annual incentive compensation from a higher projected incentive payout compared to the same period in 2025, increased salaries and wages due to headcount increases and increased professional fees, which contributed approximately 6%, 4% and 2%, respectively, to the SG&amp;A cost increases.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Proprietary Products SG&amp;A costs increased by $21.6 million, or 11.5%, for the nine months ended September 30, 2026, as compared to the same period in 2025, including an unfavorable foreign currency translation impact of $2.5 million. Proprietary Products SG&amp;A costs increased due primarily to higher annual incentive compensation from a higher projected incentive payout compared to the same period in 2025 and increased salaries and wages due to headcount increases, each of which contributed approximately 4% of the SG&amp;A cost increases.</w:t>
      </w:r>
    </w:p>
    <w:p>
      <w:pPr>
        <w:spacing w:after="0" w:line="6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West Vantage - </w:t>
      </w:r>
      <w:r>
        <w:rPr>
          <w:rFonts w:ascii="Times New Roman" w:cs="Times New Roman" w:eastAsia="Times New Roman" w:hAnsi="Times New Roman"/>
          <w:sz w:val="18"/>
          <w:szCs w:val="18"/>
          <w:color w:val="auto"/>
        </w:rPr>
        <w:t>West Vantage SG&amp;A costs increased by $0.6 million, or 8.0%, for the three months ended September 30, 2026,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due primarily to increased salary and wages due to annual inflationary increases.</w:t>
      </w:r>
    </w:p>
    <w:p>
      <w:pPr>
        <w:spacing w:after="0" w:line="51"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West Vantage SG&amp;A costs increased by $2.1 million, or 9.5%, for the nine months ended September 30, 2026, as compared to the same period in 2025, including an unfavorable foreign currency translation impact of $0.2 million, due primarily to increased salary and wages due to annual inflationary increases and higher annual incentive compensation from a higher projected incentive payout compared to the same period in 2025.</w:t>
      </w:r>
    </w:p>
    <w:p>
      <w:pPr>
        <w:spacing w:after="0" w:line="6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and unallocated SG&amp;A costs increased by $0.7 million, or 2.4%,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as compared to the same period in 2025. During the three months ended September 30, 2026, the Company recorded expense within SG&amp;A on the following unallocated items: (i) expense of $1.8 million related to nonrecurring professional fees associated with various items including certain legal matters and our cybersecurity incident from May 2026 and (ii) expense of $3.6 million relating to professional services in connection with the Company's agreement to sell its SmartDose® 3.5mL On-Body Delivery System and other M&amp;A activities, which were not recorded during the same period in 2025. These increases were partially offset by a decrease in charges related to stock-based compensation in the three months ended September 30, 2026, as compared to the same period in 2025, of approximately $4 million, and decreased general corporate costs. See the Financial Performance Summary section above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Corporate and unallocated SG&amp;A costs increased by $19.7 million, or 25.6%, for the nine months ended September 30, 2026, as compared to the same period in 2025. During the nine months ended September 30, 2026, the Company recorded expense within SG&amp;A on the following unallocated items: (i) expense of $9.2 million related to nonrecurring professional fees associated with various items including certain legal matters and our cybersecurity incident from May 2026 and (ii) expense of $9.7 million relating to professional services in connection with the Company's agreement to sell its SmartDose® 3.5mL On-Body Delivery System and other M&amp;A activities, which were not recorded during the same period in 2025. Additionally, the Company recorded additional charges related to stock-based compensation in the nine months ended September 30, 2026, as compared to the same period in 2025, of approximately $5 million related to improved financial performance metrics and increased mark-to-market charges. These increases were partially offset by decreased general corporate costs. See the Financial Performance Summary section above for further details.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and expense items, consolidated and by reportable segment, corporate and unallocated items: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7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8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(Income)</w:t>
            </w:r>
          </w:p>
        </w:tc>
        <w:tc>
          <w:tcPr>
            <w:tcW w:w="10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1"/>
                <w:szCs w:val="21"/>
                <w:color w:val="auto"/>
              </w:rPr>
            </w:pPr>
          </w:p>
        </w:tc>
      </w:tr>
      <w:tr>
        <w:trPr>
          <w:trHeight w:val="237"/>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Vantage</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0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7"/>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other expense (income)</w:t>
            </w:r>
          </w:p>
        </w:tc>
        <w:tc>
          <w:tcPr>
            <w:tcW w:w="102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0"/>
        </w:trPr>
        <w:tc>
          <w:tcPr>
            <w:tcW w:w="4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expense and income items consist of restructuring and related charges, foreign exchange transaction gains and losses, contingent consideration, gains and losses on oil hedges, asset impairments and miscellaneous income and charges.</w:t>
      </w:r>
    </w:p>
    <w:p>
      <w:pPr>
        <w:spacing w:after="0" w:line="50"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Consolidated </w:t>
      </w:r>
      <w:r>
        <w:rPr>
          <w:rFonts w:ascii="Times New Roman" w:cs="Times New Roman" w:eastAsia="Times New Roman" w:hAnsi="Times New Roman"/>
          <w:sz w:val="18"/>
          <w:szCs w:val="18"/>
          <w:color w:val="auto"/>
        </w:rPr>
        <w:t>- Consolidated other expense (income) changed by $58.1 million for the three months ended September 30, 2026,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due to the factors described below.</w:t>
      </w:r>
    </w:p>
    <w:p>
      <w:pPr>
        <w:spacing w:after="0" w:line="5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Consolidated other expense (income) changed by $67.1 million for the nine months ended September 30, 2026, as compared to the same period in 2025, due to the factors described below.</w:t>
      </w:r>
    </w:p>
    <w:p>
      <w:pPr>
        <w:spacing w:after="0" w:line="50"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other expense (income) changed by $6.1 million for the three months ended September 30,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2025, due primarily to decreased contingent consideration expense and increased gains on oil hedges recorded in the three months ended September 30, 2026, as compared to the same period in 2025.</w:t>
      </w:r>
    </w:p>
    <w:p>
      <w:pPr>
        <w:spacing w:after="0" w:line="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Proprietary Products other expense (income) changed by $5.1 million for the nine months ended September 30, 2026, as compared to the same period in 2025, due primarily to increased gains on oil hedges and decreased contingent consideration expense in the nine months ended September 30, 2026, as compared to the same period in 2025.</w:t>
      </w:r>
    </w:p>
    <w:p>
      <w:pPr>
        <w:spacing w:after="0" w:line="6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West Vantage - </w:t>
      </w:r>
      <w:r>
        <w:rPr>
          <w:rFonts w:ascii="Times New Roman" w:cs="Times New Roman" w:eastAsia="Times New Roman" w:hAnsi="Times New Roman"/>
          <w:sz w:val="18"/>
          <w:szCs w:val="18"/>
          <w:color w:val="auto"/>
        </w:rPr>
        <w:t>West Vantage other expense (income) changed by $0.1 million for the three months ended September 30, 2026, as compared to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in 2025, due primarily to foreign exchange gains being recorded in the three months ended September 30, 2026, as compared to foreign exchange losses being recorded in the same period in 2025.</w:t>
      </w:r>
    </w:p>
    <w:p>
      <w:pPr>
        <w:spacing w:after="0" w:line="6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West Vantage other expense (income) changed by $1.6 million for the nine months ended September 30, 2026, as compared to the same period in 2025, due primarily to foreign exchange gains being recorded in the nine months ended September 30, 2026, as compared to foreign exchange losses being recorded in the same period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items - </w:t>
      </w:r>
      <w:r>
        <w:rPr>
          <w:rFonts w:ascii="Times New Roman" w:cs="Times New Roman" w:eastAsia="Times New Roman" w:hAnsi="Times New Roman"/>
          <w:sz w:val="18"/>
          <w:szCs w:val="18"/>
          <w:color w:val="auto"/>
        </w:rPr>
        <w:t>Corporate and unallocated items changed by $51.9 million for the three months ended September 30,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2025, due primarily to the Company recording a net gain on the sale of its SmartDose® 3.5mL On-Body Delivery System assets of $55.7 million. The gain on sale was partially offset by restructuring and other charges of $3.9 million within the three months ended September 30, 2026, as compared to $0.9 million being recorded during the same period in 2025. The Company's 2026 restructuring and other charges within other expense (income) were (i) $5.8 million related to the acceleration of depreciation and lease costs in connection with the Company's January 2025 restructuring plan and (ii) a net benefit of $1.9 million related to employee benefit costs in connection with the Company's agreement to sell its SmartDose® 3.5mL On-Body Delivery System and associated facilities to AbbVie. The Company's 2025 restructuring and other charges within other expense (income) were $0.9 million related to severance, acceleration of depreciation and lease costs in connection with the Company's January 2025 restructuring plan.</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Corporate and unallocated items changed by $60.4 million for the nine months ended September 30, 2026, as compared to the same period in 2025, due primarily to the Company recording a net gain on the sale of its SmartDose® 3.5mL On-Body Delivery System assets of $55.7 million. Additionally, the Company recorded restructuring and other charges during 2025 within other expense (income) of $17.5 million related to severance and retention benefits and acceleration of depreciation and lease costs in connection with the Company's January 2025 restructuring plan. The Company's 2026 restructuring and other charges within other expense (income) were (i) $7.7 million related to severance, acceleration of depreciation and lease costs in connection with the Company's January 2025 restructuring plan and (ii) $0.3 million related to employee benefit costs in connection with the Company's agreement to sell its SmartDose® 3.5mL On-Body Delivery System and associated facilities to AbbVie. The decrease in restructuring and other charges was partially offset by the Company recording cost-method investment impairment charges of $3.5 million during the nine months ended September 30, 2026 that did not occur in the same period in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Profit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adjusted operating profit, consolidated and by reportable segment, corporate and unallocated items: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7"/>
                <w:szCs w:val="17"/>
                <w:color w:val="auto"/>
              </w:rPr>
            </w:pPr>
          </w:p>
        </w:tc>
        <w:tc>
          <w:tcPr>
            <w:tcW w:w="274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9"/>
        </w:trPr>
        <w:tc>
          <w:tcPr>
            <w:tcW w:w="44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tcBorders>
              <w:bottom w:val="single" w:sz="8" w:color="auto"/>
            </w:tcBorders>
          </w:tcPr>
          <w:p>
            <w:pPr>
              <w:spacing w:after="0"/>
              <w:rPr>
                <w:sz w:val="20"/>
                <w:szCs w:val="20"/>
                <w:color w:val="auto"/>
              </w:rPr>
            </w:pPr>
          </w:p>
        </w:tc>
      </w:tr>
      <w:tr>
        <w:trPr>
          <w:trHeight w:val="241"/>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36"/>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Proprietary Products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230.6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175.2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631.7</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467.5</w:t>
            </w:r>
          </w:p>
        </w:tc>
      </w:tr>
      <w:tr>
        <w:trPr>
          <w:trHeight w:val="243"/>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West Vantage</w:t>
            </w:r>
          </w:p>
        </w:tc>
        <w:tc>
          <w:tcPr>
            <w:tcW w:w="10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53.6</w:t>
            </w:r>
          </w:p>
        </w:tc>
      </w:tr>
      <w:tr>
        <w:trPr>
          <w:trHeight w:val="24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unallocated items</w:t>
            </w:r>
          </w:p>
        </w:tc>
        <w:tc>
          <w:tcPr>
            <w:tcW w:w="10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6"/>
              </w:rPr>
              <w:t>(29.9)</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(92.8)</w:t>
            </w:r>
          </w:p>
        </w:tc>
      </w:tr>
      <w:tr>
        <w:trPr>
          <w:trHeight w:val="23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8"/>
              </w:rPr>
              <w:t>267.4</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3"/>
              </w:rPr>
              <w:t>167.6</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623.6</w:t>
            </w:r>
          </w:p>
        </w:tc>
        <w:tc>
          <w:tcPr>
            <w:tcW w:w="80" w:type="dxa"/>
            <w:vAlign w:val="bottom"/>
          </w:tcPr>
          <w:p>
            <w:pPr>
              <w:spacing w:after="0"/>
              <w:rPr>
                <w:sz w:val="20"/>
                <w:szCs w:val="20"/>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428.3</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2"/>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operating profit margin</w:t>
            </w:r>
          </w:p>
        </w:tc>
        <w:tc>
          <w:tcPr>
            <w:tcW w:w="100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 items</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22.1</w:t>
            </w:r>
          </w:p>
        </w:tc>
      </w:tr>
      <w:tr>
        <w:trPr>
          <w:trHeight w:val="262"/>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8"/>
              </w:rPr>
              <w:t>221.5</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3"/>
              </w:rPr>
              <w:t>170.1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450.4</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consolidated operating profit margin</w:t>
            </w:r>
          </w:p>
        </w:tc>
        <w:tc>
          <w:tcPr>
            <w:tcW w:w="10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19.8 %</w:t>
            </w:r>
          </w:p>
        </w:tc>
      </w:tr>
      <w:tr>
        <w:trPr>
          <w:trHeight w:val="20"/>
        </w:trPr>
        <w:tc>
          <w:tcPr>
            <w:tcW w:w="4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Consolidated </w:t>
      </w:r>
      <w:r>
        <w:rPr>
          <w:rFonts w:ascii="Times New Roman" w:cs="Times New Roman" w:eastAsia="Times New Roman" w:hAnsi="Times New Roman"/>
          <w:sz w:val="18"/>
          <w:szCs w:val="18"/>
          <w:color w:val="auto"/>
        </w:rPr>
        <w:t>- Consolidated operating profit increased by $99.8 million, or 59.5%, for the three months ended September 30, 2026, as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2025, including an unfavorable foreign currency translation impact of $2.3 million for the three months ended September 30, 2026, as compared to the same period in 2025.</w:t>
      </w:r>
    </w:p>
    <w:p>
      <w:pPr>
        <w:spacing w:after="0" w:line="6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Consolidated operating profit increased by $195.3 million, or 45.6%, for the nine months ended September 30, 2026, as compared to the same period in 2025, including a favorable foreign currency translation impact of $13.3 million for the nine months ended September 30, 2026, as compared to the same period in 2025.</w:t>
      </w:r>
    </w:p>
    <w:p>
      <w:pPr>
        <w:spacing w:after="0" w:line="64"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Proprietary Products - </w:t>
      </w:r>
      <w:r>
        <w:rPr>
          <w:rFonts w:ascii="Times New Roman" w:cs="Times New Roman" w:eastAsia="Times New Roman" w:hAnsi="Times New Roman"/>
          <w:sz w:val="18"/>
          <w:szCs w:val="18"/>
          <w:color w:val="auto"/>
        </w:rPr>
        <w:t>Proprietary Products operating profit increased by $55.4 million, or 31.6%, for the three months ended September 30, 2026,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2025, including an unfavorable foreign currency translation impact of $2.2 million, due to the factors described above, most notably favorable sales mix of HVP components, including GLP-1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Proprietary Products operating profit increased by $164.2 million, or 35.1%, for the nine months ended September 30, 2026, as compared to the same period in 2025, including a favorable foreign currency translation impact of $12.2 million, due to the factors described above, most notably favorable sales mix of HVP components, including GLP-1 products.</w:t>
      </w:r>
    </w:p>
    <w:p>
      <w:pPr>
        <w:spacing w:after="0" w:line="6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West Vantage - </w:t>
      </w:r>
      <w:r>
        <w:rPr>
          <w:rFonts w:ascii="Times New Roman" w:cs="Times New Roman" w:eastAsia="Times New Roman" w:hAnsi="Times New Roman"/>
          <w:sz w:val="18"/>
          <w:szCs w:val="18"/>
          <w:color w:val="auto"/>
        </w:rPr>
        <w:t>West Vantage operating profit decreased by $6.8 million, or 30.5%, for the three months ended September 30, 2026, as compared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period in 2025, including an unfavorable foreign currency translation impact of $0.1 million, due to the factors described above, most notably inefficiencies associated with production, as well as inflationary pressures on our plant spend.</w:t>
      </w:r>
    </w:p>
    <w:p>
      <w:pPr>
        <w:spacing w:after="0" w:line="6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West Vantage operating profit decreased by $9.6 million, or 17.9%, for the nine months ended September 30, 2026, as compared to the same period in 2025, including a favorable foreign currency translation impact of $1.1 million, due to the factors described above, most notably inefficiencies associated with production downtime related to the Company’s May 2026 cyber incident, as well as inflationary pressures on our plant spend.</w:t>
      </w:r>
    </w:p>
    <w:p>
      <w:pPr>
        <w:spacing w:after="0" w:line="6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Corporate and unallocated - </w:t>
      </w:r>
      <w:r>
        <w:rPr>
          <w:rFonts w:ascii="Times New Roman" w:cs="Times New Roman" w:eastAsia="Times New Roman" w:hAnsi="Times New Roman"/>
          <w:sz w:val="18"/>
          <w:szCs w:val="18"/>
          <w:color w:val="auto"/>
        </w:rPr>
        <w:t>Excluding the unallocated items, Corporate costs decreased by $2.8 million, or 10.2%, for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 as compared to the same period in 2025, due to the factors described above, most notably the decrease in expense related to stock-based compensation.</w:t>
      </w:r>
    </w:p>
    <w:p>
      <w:pPr>
        <w:spacing w:after="0" w:line="6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Excluding the unallocated items, Corporate costs increased by $5.1 million, or 7.2%, for the nine months ended September 30, 2026, as compared to the same period in 2025, due to the factors described above, most notably the increase in expense related to stock-based compensation.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unallocated items, please refer to the Financial Performance Summary section above for details.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 and Interest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interest expense, net, by significant component:</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40" w:type="dxa"/>
            <w:vAlign w:val="bottom"/>
          </w:tcPr>
          <w:p>
            <w:pPr>
              <w:spacing w:after="0"/>
              <w:rPr>
                <w:sz w:val="17"/>
                <w:szCs w:val="17"/>
                <w:color w:val="auto"/>
              </w:rPr>
            </w:pPr>
          </w:p>
        </w:tc>
        <w:tc>
          <w:tcPr>
            <w:tcW w:w="27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c>
          <w:tcPr>
            <w:tcW w:w="520" w:type="dxa"/>
            <w:vAlign w:val="bottom"/>
          </w:tcPr>
          <w:p>
            <w:pPr>
              <w:spacing w:after="0"/>
              <w:rPr>
                <w:sz w:val="17"/>
                <w:szCs w:val="17"/>
                <w:color w:val="auto"/>
              </w:rPr>
            </w:pPr>
          </w:p>
        </w:tc>
      </w:tr>
      <w:tr>
        <w:trPr>
          <w:trHeight w:val="239"/>
        </w:trPr>
        <w:tc>
          <w:tcPr>
            <w:tcW w:w="47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Borders>
              <w:bottom w:val="single" w:sz="8" w:color="auto"/>
            </w:tcBorders>
          </w:tcPr>
          <w:p>
            <w:pPr>
              <w:spacing w:after="0"/>
              <w:rPr>
                <w:sz w:val="20"/>
                <w:szCs w:val="20"/>
                <w:color w:val="auto"/>
              </w:rPr>
            </w:pPr>
          </w:p>
        </w:tc>
      </w:tr>
      <w:tr>
        <w:trPr>
          <w:trHeight w:val="241"/>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4.4</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interest</w:t>
            </w: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(4.0)</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6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4740" w:type="dxa"/>
            <w:vAlign w:val="bottom"/>
            <w:tcBorders>
              <w:bottom w:val="single" w:sz="8" w:color="CCEEFF"/>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r>
      <w:tr>
        <w:trPr>
          <w:trHeight w:val="262"/>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expense, net, increased by $3.6 million and $7.6 million for the three and nine months ended September 30, 2026, respectively, as compared to the same periods in 2025, due primarily to a decrease in capitalized interest, partially offset by a decline in interest rates on the Company's Term Loan in the three and nine months ended September 30, 2026, as compared to the same periods in 2025.</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Interest income decreased by $0.4 million and increased by $0.8 million for the three and nine months ended September 30, 2026, respectively, as compared to the same periods in 2025, due primarily to the Company having a lower average cash balance in the three months ended September 30, 2026 and a higher average cash balance in the nine months ended September 30, 2026, as compared to the same periods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Nonoperating Expense (Income)</w:t>
      </w:r>
    </w:p>
    <w:p>
      <w:pPr>
        <w:spacing w:after="0" w:line="12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Other nonoperating expense (income) was $0.2 million and $0.6 million for both the three and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color w:val="auto"/>
        </w:rPr>
        <w:t xml:space="preserve">The provision for income taxes was $58.0 million and $34.0 million for the three months ended September 30, 2026 and 2025, respectively, and the effective tax rate was 21.7% and 19.8%, respectively. The increase in the effective tax rate for the three months ended September 30, 2026, as compared to the same period in 2025, </w:t>
      </w:r>
      <w:r>
        <w:rPr>
          <w:rFonts w:ascii="Times New Roman" w:cs="Times New Roman" w:eastAsia="Times New Roman" w:hAnsi="Times New Roman"/>
          <w:sz w:val="19"/>
          <w:szCs w:val="19"/>
          <w:color w:val="auto"/>
        </w:rPr>
        <w:t>i</w:t>
      </w:r>
      <w:r>
        <w:rPr>
          <w:rFonts w:ascii="Times New Roman" w:cs="Times New Roman" w:eastAsia="Times New Roman" w:hAnsi="Times New Roman"/>
          <w:sz w:val="18"/>
          <w:szCs w:val="18"/>
          <w:color w:val="auto"/>
        </w:rPr>
        <w:t>s primarily due to a one-time tax cost of $22.4 million associated with the sale of SmartDose® 3.5mL On-Body Delivery System which occurred in the third quarter of 2026, partially offset by the impact of favorable changes in our geographic mix of earnings.</w:t>
      </w:r>
    </w:p>
    <w:p>
      <w:pPr>
        <w:spacing w:after="0" w:line="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provision for income taxes was $134.9 million and $88.3 million for the nine months ended September 30, 2026 and 2025, respectively, and the effective tax rate was 21.5% and 20.1%, respectively. The increase in the effective tax rate for the nine months ended September 30, 2026, as compared to the same period in 2025, is primarily due to a one-time tax cost of $12.0 million associated with an internal legal entity restructuring which occurred in the first quarter of 2026, in addition to a one-time cost of $22.4 million associated with the sale of SmartDose® 3.5mL On-Body Delivery System which occurred in the third quarter of 2026, partially offset by the impact of favorable changes in our geographic mix of earnings.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 Net Income of Affiliated Companies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Equity in net income of affiliated companies was $4.3 million and $2.1 million for the three months ended September 30, 2026 and 2025, respectively. Equity in net income of affiliated companies increased by $2.2 million for the three months ended September 30, 2026, as compared to the same period in 2025, due primarily to favorable operating results at Daikyo and the Mexico affiliates.</w:t>
      </w:r>
    </w:p>
    <w:p>
      <w:pPr>
        <w:spacing w:after="0" w:line="68"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Equity in net income of affiliated companies was $13.8 million and $10.5 million for the nine months ended September 30, 2026 and 2025, respectively. Equity in net income of affiliated companies increased by $3.3 million for the nine months ended September 30, 2026, as compared to the same period in 2025, due primarily to favorable operating results at Daikyo, partially offset by unfavorable operating results at the Mexico affiliates.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tc>
        <w:tc>
          <w:tcPr>
            <w:tcW w:w="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cash flow data for the nine months ended September 30:</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8"/>
              </w:rPr>
              <w:t>503.7</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rPr>
              <w:t>(209.8)</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8"/>
                <w:szCs w:val="18"/>
                <w:color w:val="auto"/>
              </w:rPr>
              <w:t>(173.4)</w:t>
            </w:r>
          </w:p>
        </w:tc>
      </w:tr>
    </w:tbl>
    <w:p>
      <w:pPr>
        <w:spacing w:after="0" w:line="167"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Cash Provided by Operating Activities – </w:t>
      </w:r>
      <w:r>
        <w:rPr>
          <w:rFonts w:ascii="Times New Roman" w:cs="Times New Roman" w:eastAsia="Times New Roman" w:hAnsi="Times New Roman"/>
          <w:sz w:val="18"/>
          <w:szCs w:val="18"/>
          <w:color w:val="auto"/>
        </w:rPr>
        <w:t>Net cash provided by operating activities decreased by $100.3 million for the nine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 as compared to the same period in 2025, due primarily to increases in customer accounts receivable and timing of collections as well as increased inventory levels to support our operations.</w:t>
      </w:r>
    </w:p>
    <w:p>
      <w:pPr>
        <w:spacing w:after="0" w:line="6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Cash Used in Investing Activities – </w:t>
      </w:r>
      <w:r>
        <w:rPr>
          <w:rFonts w:ascii="Times New Roman" w:cs="Times New Roman" w:eastAsia="Times New Roman" w:hAnsi="Times New Roman"/>
          <w:sz w:val="18"/>
          <w:szCs w:val="18"/>
          <w:color w:val="auto"/>
        </w:rPr>
        <w:t>Net cash used in investing activities decreased by $202.8 million for the nine months ended September 30,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the same period in 2025, due primarily to the proceeds from the sale of assets of the SmartDose® 3.5mL On-Body Delivery System and associated facilities to AbbVie and a reduction in capital expenditures.</w:t>
      </w:r>
    </w:p>
    <w:p>
      <w:pPr>
        <w:spacing w:after="0" w:line="6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Cash Used in Financing Activities – </w:t>
      </w:r>
      <w:r>
        <w:rPr>
          <w:rFonts w:ascii="Times New Roman" w:cs="Times New Roman" w:eastAsia="Times New Roman" w:hAnsi="Times New Roman"/>
          <w:sz w:val="18"/>
          <w:szCs w:val="18"/>
          <w:color w:val="auto"/>
        </w:rPr>
        <w:t>Net cash used in financing activities increased by $541.9 million for the nine months ended September 30,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compared to the same period in 2025, due primarily to an increase in purchases under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selected liquidity and capital measures:</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6"/>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millions)</w:t>
            </w: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r>
      <w:tr>
        <w:trPr>
          <w:trHeight w:val="24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3,176.0</w:t>
            </w:r>
          </w:p>
        </w:tc>
      </w:tr>
      <w:tr>
        <w:trPr>
          <w:trHeight w:val="24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1,323.3</w:t>
            </w: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all instruments that have maturities of ninety days or less when purchased. Working capital is defined as current assets less current liabilities.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Cash and cash equivalents – </w:t>
      </w:r>
      <w:r>
        <w:rPr>
          <w:rFonts w:ascii="Times New Roman" w:cs="Times New Roman" w:eastAsia="Times New Roman" w:hAnsi="Times New Roman"/>
          <w:sz w:val="18"/>
          <w:szCs w:val="18"/>
          <w:color w:val="auto"/>
        </w:rPr>
        <w:t>Our cash and cash equivalents balance at September 30, 2026 consisted of cash held in depository accounts with banks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around the world and cash invested in high-quality, short-term investments. The cash and cash equivalents balance at September 30, 2026 included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$84.7 million of cash held by subsidiaries within the U.S., and $379.4 million of cash held by subsidiaries outside of the U.S. During the nine months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September 30, 2026, we purchased 2,424,121 shares of our common stock under the share repurchase program at a cost of $685.3 million, or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price of $282.68 per share.</w:t>
      </w:r>
    </w:p>
    <w:p>
      <w:pPr>
        <w:spacing w:after="0" w:line="9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Working capital – </w:t>
      </w:r>
      <w:r>
        <w:rPr>
          <w:rFonts w:ascii="Times New Roman" w:cs="Times New Roman" w:eastAsia="Times New Roman" w:hAnsi="Times New Roman"/>
          <w:sz w:val="18"/>
          <w:szCs w:val="18"/>
          <w:color w:val="auto"/>
        </w:rPr>
        <w:t>Working capital at September 30, 2026 decreased by $151.1 million, or 11.4%, as compared to December 31, 2025, which includes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of $3.4 million due to foreign currency translation. Excluding the impact of currency exchange rates, cash and cash equivalents decreased by $318.9 million, while accounts receivable increased by $182.2 million.</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decrease in cash and cash equivalents was due to share repurchases and capital expenditures during the nine months ended September 30, 2026, partially offset by cash from operations and proceeds from the sale of assets of the SmartDose® 3.5mL On-Body Delivery System and associated facilities to AbbVie. The increase in accounts receivable was due to timing of sales within the third quarter of 2026 as compared to the fourth quarter of 2025, as well as timing of customer collections.</w:t>
      </w:r>
    </w:p>
    <w:p>
      <w:pPr>
        <w:spacing w:after="0" w:line="6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Debt and credit facilities – </w:t>
      </w:r>
      <w:r>
        <w:rPr>
          <w:rFonts w:ascii="Times New Roman" w:cs="Times New Roman" w:eastAsia="Times New Roman" w:hAnsi="Times New Roman"/>
          <w:sz w:val="18"/>
          <w:szCs w:val="18"/>
          <w:color w:val="auto"/>
        </w:rPr>
        <w:t>The total debt balance of $202.9 million at September 30, 2026 is consistent with the total debt balance of $202.8 million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w:t>
      </w:r>
    </w:p>
    <w:p>
      <w:pPr>
        <w:spacing w:after="0" w:line="5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Our sources of liquidity include our multi-currency revolving credit facility. At September 30, 2026, we had no outstanding borrowings under the multi-currency revolving credit facility. At September 30, 2026, the borrowing capacity available under the multi-currency revolving credit facility, including outstanding letters of credit of $2.3 million, was $497.7 million. We do not expect any significant limitations on our ability to access this source of funds.</w:t>
      </w:r>
    </w:p>
    <w:p>
      <w:pPr>
        <w:spacing w:after="0" w:line="5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September 30, 2026, we were in compliance with all of our debt covenants.</w:t>
      </w:r>
    </w:p>
    <w:p>
      <w:pPr>
        <w:spacing w:after="0" w:line="6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generated from operations, together with availability under our multi-currency revolving credit facility, will be adequate to address our foreseeable liquidity needs based on our current expectations of our business operations, capital expenditures and scheduled payments of debt obligations.</w:t>
      </w:r>
    </w:p>
    <w:p>
      <w:pPr>
        <w:spacing w:after="0" w:line="66"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Additionally, on October 26, 2026, the Company completed a refinancing of its senior unsecured credit facilities. See Note 8, </w:t>
      </w:r>
      <w:r>
        <w:rPr>
          <w:rFonts w:ascii="Times New Roman" w:cs="Times New Roman" w:eastAsia="Times New Roman" w:hAnsi="Times New Roman"/>
          <w:sz w:val="18"/>
          <w:szCs w:val="18"/>
          <w:i w:val="1"/>
          <w:iCs w:val="1"/>
          <w:u w:val="single" w:color="auto"/>
          <w:color w:val="0000FF"/>
        </w:rPr>
        <w:t>Debt</w:t>
      </w:r>
      <w:r>
        <w:rPr>
          <w:rFonts w:ascii="Times New Roman" w:cs="Times New Roman" w:eastAsia="Times New Roman" w:hAnsi="Times New Roman"/>
          <w:sz w:val="18"/>
          <w:szCs w:val="18"/>
          <w:color w:val="auto"/>
        </w:rPr>
        <w:t>, within Item 1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summary of future material cash payments resulting from commitments and contractual obligations was provided in our 2025 Annual Report. During the three months ended September 30, 2026, there were no material changes outside of the ordinary course of business to our commitments and contractual obligations.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At September 30, 2026, we had no off-balance sheet financing arrangements other than unconditional purchase obligations incurred in the ordinary course of business and outstanding letters of credit related to various insurance programs, as noted in our 2025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changes to the Critical Accounting Policies and Estimates disclosed in Part II, Item 7 of our 2025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information on new accounting standards, see Note 2, </w:t>
      </w:r>
      <w:r>
        <w:rPr>
          <w:rFonts w:ascii="Times New Roman" w:cs="Times New Roman" w:eastAsia="Times New Roman" w:hAnsi="Times New Roman"/>
          <w:sz w:val="18"/>
          <w:szCs w:val="18"/>
          <w:i w:val="1"/>
          <w:iCs w:val="1"/>
          <w:u w:val="single" w:color="auto"/>
          <w:color w:val="0000FF"/>
        </w:rPr>
        <w:t>New Accounting Standards</w:t>
      </w:r>
      <w:r>
        <w:rPr>
          <w:rFonts w:ascii="Times New Roman" w:cs="Times New Roman" w:eastAsia="Times New Roman" w:hAnsi="Times New Roman"/>
          <w:sz w:val="18"/>
          <w:szCs w:val="18"/>
          <w:color w:val="auto"/>
        </w:rPr>
        <w:t>, within Item 1 of this report.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8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w:t>
      </w:r>
    </w:p>
    <w:p>
      <w:pPr>
        <w:spacing w:after="0" w:line="63"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demand and our ability to meet that demand;</w:t>
      </w:r>
    </w:p>
    <w:p>
      <w:pPr>
        <w:spacing w:after="0" w:line="63" w:lineRule="exact"/>
        <w:rPr>
          <w:rFonts w:ascii="Times New Roman" w:cs="Times New Roman" w:eastAsia="Times New Roman" w:hAnsi="Times New Roman"/>
          <w:sz w:val="18"/>
          <w:szCs w:val="18"/>
          <w:color w:val="auto"/>
        </w:rPr>
      </w:pPr>
    </w:p>
    <w:p>
      <w:pPr>
        <w:ind w:left="980" w:right="320" w:hanging="324"/>
        <w:spacing w:after="0" w:line="28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providers in our businesses, including customers’ in-house operations, and from lower-cost producers in emerging markets, which can impact unit volume, price and profitability;</w:t>
      </w:r>
    </w:p>
    <w:p>
      <w:pPr>
        <w:spacing w:after="0" w:line="1"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changing inventory requirements and manufacturing plans that alter existing orders or ordering patterns for the products we supply to them;</w:t>
      </w:r>
    </w:p>
    <w:p>
      <w:pPr>
        <w:spacing w:after="0" w:line="1"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regulatory approval and commercial success of customer products that incorporate our products and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980" w:right="20" w:hanging="324"/>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7" w:lineRule="exact"/>
        <w:rPr>
          <w:rFonts w:ascii="Times New Roman" w:cs="Times New Roman" w:eastAsia="Times New Roman" w:hAnsi="Times New Roman"/>
          <w:sz w:val="18"/>
          <w:szCs w:val="18"/>
          <w:color w:val="auto"/>
        </w:rPr>
      </w:pPr>
    </w:p>
    <w:p>
      <w:pPr>
        <w:ind w:left="980" w:right="62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 w:lineRule="exact"/>
        <w:rPr>
          <w:rFonts w:ascii="Times New Roman" w:cs="Times New Roman" w:eastAsia="Times New Roman" w:hAnsi="Times New Roman"/>
          <w:sz w:val="18"/>
          <w:szCs w:val="18"/>
          <w:color w:val="auto"/>
        </w:rPr>
      </w:pPr>
    </w:p>
    <w:p>
      <w:pPr>
        <w:ind w:left="980" w:right="26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profitability, or mix, of the products sold in any reporting period, including lower-than-expected sales growth of our high-value proprietary product offerings;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or improving production efficiencies and overhead absorption;</w:t>
      </w:r>
    </w:p>
    <w:p>
      <w:pPr>
        <w:spacing w:after="0" w:line="63" w:lineRule="exact"/>
        <w:rPr>
          <w:rFonts w:ascii="Times New Roman" w:cs="Times New Roman" w:eastAsia="Times New Roman" w:hAnsi="Times New Roman"/>
          <w:sz w:val="18"/>
          <w:szCs w:val="18"/>
          <w:color w:val="auto"/>
        </w:rPr>
      </w:pPr>
    </w:p>
    <w:p>
      <w:pPr>
        <w:ind w:left="980" w:right="18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suppliers and partners, some of which are single-source suppliers of critical materials and products, including our Japanese partner and affiliate, Daikyo;</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 or highly skilled employees;</w:t>
      </w:r>
    </w:p>
    <w:p>
      <w:pPr>
        <w:spacing w:after="0" w:line="63" w:lineRule="exact"/>
        <w:rPr>
          <w:rFonts w:ascii="Times New Roman" w:cs="Times New Roman" w:eastAsia="Times New Roman" w:hAnsi="Times New Roman"/>
          <w:sz w:val="18"/>
          <w:szCs w:val="18"/>
          <w:color w:val="auto"/>
        </w:rPr>
      </w:pPr>
    </w:p>
    <w:p>
      <w:pPr>
        <w:ind w:left="980" w:right="72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 w:lineRule="exact"/>
        <w:rPr>
          <w:rFonts w:ascii="Times New Roman" w:cs="Times New Roman" w:eastAsia="Times New Roman" w:hAnsi="Times New Roman"/>
          <w:sz w:val="18"/>
          <w:szCs w:val="18"/>
          <w:color w:val="auto"/>
        </w:rPr>
      </w:pPr>
    </w:p>
    <w:p>
      <w:pPr>
        <w:ind w:left="980" w:right="66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implementation of price increases necessary to offset rising production costs, including raw material prices, particularly petroleum-based raw materials;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progress of development, regulatory approval and marketing of new products;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licenses in any jurisdiction in which we do business;</w:t>
      </w:r>
    </w:p>
    <w:p>
      <w:pPr>
        <w:spacing w:after="0" w:line="63" w:lineRule="exact"/>
        <w:rPr>
          <w:rFonts w:ascii="Times New Roman" w:cs="Times New Roman" w:eastAsia="Times New Roman" w:hAnsi="Times New Roman"/>
          <w:sz w:val="18"/>
          <w:szCs w:val="18"/>
          <w:color w:val="auto"/>
        </w:rPr>
      </w:pPr>
    </w:p>
    <w:p>
      <w:pPr>
        <w:ind w:left="980" w:right="280" w:hanging="324"/>
        <w:spacing w:after="0" w:line="28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strength of USD in relation to other currencies, particularly the Euro, SGD, the Danish Krone, Yen, Colombian Peso, Brazilian Real, and the South Korean Won;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effects of global healthcare legislation on customer demand, product pricing and profitability.</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2025 Annual Report as well as Part II, section 1A of this quarterly report.</w:t>
      </w:r>
    </w:p>
    <w:p>
      <w:pPr>
        <w:spacing w:after="0" w:line="7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Except as required by law or regulation, we undertake no obligation to publicly update any forward-looking statements, whether as a result of new information, future events or otherwise.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our exposure to market risk or the information provided in Part II, Item 7A of our 2025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CONTROLS AND PROCEDURES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September 30, 2026, our disclosure controls and procedures are 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From time to time, we are involved in various proceedings, lawsuits, disputes and claims arising in the ordinary course of the Company’s business, whether that be matters involving commercial operations, product liability, intellectual property or employment actions, including class action lawsuits. We accrue for loss contingencies when it is probable that a liability has been incurred and the amount of the loss can be reasonably estimated based on circumstances and assumptions existing at the time. Unless otherwise disclosed below, while the outcome of such claims cannot be predicted with certainty, we believe their ultimate resolution is not expected to have a material adverse effect on our business, financial condition, results of operations or liquidity. However, if an unfavorable ruling were to occur in any specific case, a material impact on the results of operations could be possible for that period.</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Class Action</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May 5, 2025, New England Teamsters Pension Fund filed a class action against us and certain of our current and former officers in the United States District Court for the Eastern District of Pennsylvania, purportedly on behalf of a class of the Company’s investors who purchased or otherwise acquired the Company’s common stock between February 16, 2023 and February 12, 2025. On July 23, 2025, the court appointed lead plaintiffs in the action. On October 15, 2025, the lead plaintiffs filed an amended complaint. The amended complaint alleges violations of Sections 10(b), 20(a) and 20A of the Securities Exchange Act of 1934 and Rule 10b-5 promulgated thereunder in connection with 1) various public statements made by the Company and certain current and former officers regarding its business, operations and prospects and 2) certain current and former officers' transactions in the Company's stock. The action seeks unspecified damages, costs and expenses, including attorneys’ fees. On December 18, 2025, the defendants filed their first motion to dismiss the amended complaint. Pursuant to the scheduling order entered by the court, the lead plaintiffs’ opposition to the motion to dismiss was filed on February 24, 2026, and the defendants filed their reply on March 31, 2026. We believe the claims in the amended complaint are without merit and we intend to vigorously defend against such claims. Given the nature of the case, including that the proceedings are in their early stages, we are unable at this time to reasonably estimate losses, if any, or form a judgment that an unfavorable outcome is either probable or remote.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risk factor listed below, there have been no material changes to the risk factors disclosed in Part I, Item 1A of our 2025 Annual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Unauthorized access to our or our customers’ information and systems could negatively impact our business.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systems and networks, as well as those of our customers, suppliers, service providers, and banks, have been, or may in the future become the target of cyberattacks or information security breaches which, in turn, could result in the unauthorized release and misuse of confidential or proprietary information about our company, our employees or our customers, as well as disrupt our operations or damage our facilities or those of third parties. Attacks on information systems and networks are increasing in their frequency, levels of persistence, sophistication, and intensity, and they are being conducted by increasingly sophisticated and organized groups and individuals, including state-sponsored organizations, with a wide range of motives and expertise.</w:t>
      </w:r>
    </w:p>
    <w:p>
      <w:pPr>
        <w:spacing w:after="0" w:line="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example, in May 2026, we experienced a material cybersecurity attack in which certain data was exfiltrated by an unauthorized party and certain systems were encrypted. Upon initial detection of an intrusion, we promptly activated our incident response protocols (including proactively taking systems offline globally for containment purposes), notified law enforcement, and engaged external cyber-forensic experts. The incident and our response temporarily disrupted our global operations. We have taken steps intended to mitigate the risk of dissemination of the exfiltrated data. This incident has been contained and our operations have fully recovered.</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Techniques used to gain unauthorized access to or to acquire data and systems, disable or degrade service, or sabotage systems, are constantly evolving (including through the use of artificial intelligence), and we are unable to anticipate all techniques or comprehensively avoid unauthorized access, acquisition of, or other adverse impacts to our data or our systems or the networks and systems of third parties upon which we rely. We may not discover all such incidents or activities or be able to respond or otherwise address them promptly, in sufficient respects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Additionally, our systems are subject to regulations to preserve the privacy of certain data held on those systems. We maintain an extensive network of technical security controls, policy enforcement mechanisms and monitoring systems, in order to address these threats. While these measures are designed to prevent, detect and respond to unauthorized activity in our systems, certain types of attacks could result in financial or information losses and/or reputational harm. If we cannot comply with regulations or prevent the unauthorized access, release and/or corruption of our or our customers’ confidential, classified or personally identifiable information, our reputation could be damaged, and/or we could face financial losses.</w:t>
      </w:r>
    </w:p>
    <w:p>
      <w:pPr>
        <w:spacing w:after="0" w:line="7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An adverse impact to the availability, integrity, or confidentiality of our information technology systems or data, or the information technology systems or data of third parties upon which we rely, could require us to incur additional costs to modify or enhance our systems, or to try to prevent or remediate any such attacks. Modifying or enhancing our systems may result in unanticipated or prolonged disruption events, which could have a material adverse effect on our business and/or results of operations.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costs of mitigating data security risks could be significant and are likely to increase in the future. Although we carry cybersecurity insurance, there can be no assurance that our limits are sufficient to cover us against all potential losses for damages or fines in an amount exceeding our policy limits, or that applicable insurance will be available to us in the future on economically reasonable terms or at all.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The following table shows information with respect to purchases of our common stock made during the three months ended September 30, 2026 by us or any of our “affiliated purchasers” as defined in Rule 10b-18(a)(3) under the Exchange Act:</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w:t>
      </w:r>
    </w:p>
    <w:p>
      <w:pPr>
        <w:spacing w:after="0" w:line="50" w:lineRule="exact"/>
        <w:rPr>
          <w:sz w:val="20"/>
          <w:szCs w:val="20"/>
          <w:color w:val="auto"/>
        </w:rPr>
      </w:pPr>
    </w:p>
    <w:p>
      <w:pPr>
        <w:ind w:left="20"/>
        <w:spacing w:after="0" w:line="297" w:lineRule="auto"/>
        <w:rPr>
          <w:sz w:val="20"/>
          <w:szCs w:val="20"/>
          <w:color w:val="auto"/>
        </w:rPr>
      </w:pPr>
      <w:r>
        <w:rPr>
          <w:rFonts w:ascii="Times New Roman" w:cs="Times New Roman" w:eastAsia="Times New Roman" w:hAnsi="Times New Roman"/>
          <w:sz w:val="18"/>
          <w:szCs w:val="18"/>
          <w:color w:val="auto"/>
        </w:rPr>
        <w:t>July 1 - 31, 2026 August 1 - 31, 2026 September 1 - 30, 2026</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80"/>
              <w:spacing w:after="0" w:line="182" w:lineRule="exact"/>
              <w:rPr>
                <w:sz w:val="20"/>
                <w:szCs w:val="20"/>
                <w:color w:val="auto"/>
              </w:rPr>
            </w:pPr>
            <w:r>
              <w:rPr>
                <w:rFonts w:ascii="Times New Roman" w:cs="Times New Roman" w:eastAsia="Times New Roman" w:hAnsi="Times New Roman"/>
                <w:sz w:val="18"/>
                <w:szCs w:val="18"/>
                <w:color w:val="auto"/>
                <w:w w:val="99"/>
              </w:rPr>
              <w:t>Total number of shares</w:t>
            </w:r>
          </w:p>
        </w:tc>
        <w:tc>
          <w:tcPr>
            <w:tcW w:w="140" w:type="dxa"/>
            <w:vAlign w:val="bottom"/>
          </w:tcPr>
          <w:p>
            <w:pPr>
              <w:spacing w:after="0"/>
              <w:rPr>
                <w:sz w:val="15"/>
                <w:szCs w:val="15"/>
                <w:color w:val="auto"/>
              </w:rPr>
            </w:pPr>
          </w:p>
        </w:tc>
        <w:tc>
          <w:tcPr>
            <w:tcW w:w="242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Approximate dollar value of</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purchased as part of publicly</w:t>
            </w:r>
          </w:p>
        </w:tc>
        <w:tc>
          <w:tcPr>
            <w:tcW w:w="14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20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color w:val="auto"/>
                <w:w w:val="98"/>
              </w:rPr>
              <w:t>Total number of shares</w:t>
            </w:r>
          </w:p>
        </w:tc>
        <w:tc>
          <w:tcPr>
            <w:tcW w:w="120" w:type="dxa"/>
            <w:vAlign w:val="bottom"/>
          </w:tcPr>
          <w:p>
            <w:pPr>
              <w:spacing w:after="0"/>
              <w:rPr>
                <w:sz w:val="16"/>
                <w:szCs w:val="16"/>
                <w:color w:val="auto"/>
              </w:rPr>
            </w:pPr>
          </w:p>
        </w:tc>
        <w:tc>
          <w:tcPr>
            <w:tcW w:w="1860" w:type="dxa"/>
            <w:vAlign w:val="bottom"/>
            <w:gridSpan w:val="2"/>
          </w:tcPr>
          <w:p>
            <w:pPr>
              <w:jc w:val="center"/>
              <w:ind w:right="200"/>
              <w:spacing w:after="0" w:line="189" w:lineRule="exact"/>
              <w:rPr>
                <w:sz w:val="20"/>
                <w:szCs w:val="20"/>
                <w:color w:val="auto"/>
              </w:rPr>
            </w:pPr>
            <w:r>
              <w:rPr>
                <w:rFonts w:ascii="Times New Roman" w:cs="Times New Roman" w:eastAsia="Times New Roman" w:hAnsi="Times New Roman"/>
                <w:sz w:val="18"/>
                <w:szCs w:val="18"/>
                <w:color w:val="auto"/>
                <w:w w:val="98"/>
              </w:rPr>
              <w:t>Average price paid per</w:t>
            </w:r>
          </w:p>
        </w:tc>
        <w:tc>
          <w:tcPr>
            <w:tcW w:w="222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25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color w:val="auto"/>
              </w:rPr>
              <w:t>shares that may yet be purchased</w:t>
            </w:r>
          </w:p>
        </w:tc>
        <w:tc>
          <w:tcPr>
            <w:tcW w:w="0" w:type="dxa"/>
            <w:vAlign w:val="bottom"/>
          </w:tcPr>
          <w:p>
            <w:pPr>
              <w:spacing w:after="0"/>
              <w:rPr>
                <w:sz w:val="1"/>
                <w:szCs w:val="1"/>
                <w:color w:val="auto"/>
              </w:rPr>
            </w:pPr>
          </w:p>
        </w:tc>
      </w:tr>
      <w:tr>
        <w:trPr>
          <w:trHeight w:val="230"/>
        </w:trPr>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 (1)</w:t>
            </w:r>
          </w:p>
        </w:tc>
        <w:tc>
          <w:tcPr>
            <w:tcW w:w="120" w:type="dxa"/>
            <w:vAlign w:val="bottom"/>
          </w:tcPr>
          <w:p>
            <w:pPr>
              <w:spacing w:after="0"/>
              <w:rPr>
                <w:sz w:val="19"/>
                <w:szCs w:val="19"/>
                <w:color w:val="auto"/>
              </w:rPr>
            </w:pPr>
          </w:p>
        </w:tc>
        <w:tc>
          <w:tcPr>
            <w:tcW w:w="1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share (1)</w:t>
            </w:r>
          </w:p>
        </w:tc>
        <w:tc>
          <w:tcPr>
            <w:tcW w:w="22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programs (1)</w:t>
            </w:r>
          </w:p>
        </w:tc>
        <w:tc>
          <w:tcPr>
            <w:tcW w:w="140" w:type="dxa"/>
            <w:vAlign w:val="bottom"/>
          </w:tcPr>
          <w:p>
            <w:pPr>
              <w:spacing w:after="0"/>
              <w:rPr>
                <w:sz w:val="19"/>
                <w:szCs w:val="19"/>
                <w:color w:val="auto"/>
              </w:rPr>
            </w:pPr>
          </w:p>
        </w:tc>
        <w:tc>
          <w:tcPr>
            <w:tcW w:w="24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under the plans or programs (1)</w:t>
            </w:r>
          </w:p>
        </w:tc>
        <w:tc>
          <w:tcPr>
            <w:tcW w:w="0" w:type="dxa"/>
            <w:vAlign w:val="bottom"/>
          </w:tcPr>
          <w:p>
            <w:pPr>
              <w:spacing w:after="0"/>
              <w:rPr>
                <w:sz w:val="1"/>
                <w:szCs w:val="1"/>
                <w:color w:val="auto"/>
              </w:rPr>
            </w:pPr>
          </w:p>
        </w:tc>
      </w:tr>
      <w:tr>
        <w:trPr>
          <w:trHeight w:val="237"/>
        </w:trPr>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185,521</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339.09</w:t>
            </w:r>
          </w:p>
        </w:tc>
        <w:tc>
          <w:tcPr>
            <w:tcW w:w="100" w:type="dxa"/>
            <w:vAlign w:val="bottom"/>
          </w:tcPr>
          <w:p>
            <w:pPr>
              <w:spacing w:after="0"/>
              <w:rPr>
                <w:sz w:val="20"/>
                <w:szCs w:val="20"/>
                <w:color w:val="auto"/>
              </w:rPr>
            </w:pPr>
          </w:p>
        </w:tc>
        <w:tc>
          <w:tcPr>
            <w:tcW w:w="2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185,521</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482,810,000</w:t>
            </w:r>
          </w:p>
        </w:tc>
        <w:tc>
          <w:tcPr>
            <w:tcW w:w="0" w:type="dxa"/>
            <w:vAlign w:val="bottom"/>
          </w:tcPr>
          <w:p>
            <w:pPr>
              <w:spacing w:after="0"/>
              <w:rPr>
                <w:sz w:val="1"/>
                <w:szCs w:val="1"/>
                <w:color w:val="auto"/>
              </w:rPr>
            </w:pPr>
          </w:p>
        </w:tc>
      </w:tr>
      <w:tr>
        <w:trPr>
          <w:trHeight w:val="243"/>
        </w:trPr>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323,689</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w:t>
            </w:r>
          </w:p>
        </w:tc>
        <w:tc>
          <w:tcPr>
            <w:tcW w:w="1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323,689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369,640,000</w:t>
            </w:r>
          </w:p>
        </w:tc>
        <w:tc>
          <w:tcPr>
            <w:tcW w:w="0" w:type="dxa"/>
            <w:vAlign w:val="bottom"/>
          </w:tcPr>
          <w:p>
            <w:pPr>
              <w:spacing w:after="0"/>
              <w:rPr>
                <w:sz w:val="1"/>
                <w:szCs w:val="1"/>
                <w:color w:val="auto"/>
              </w:rPr>
            </w:pPr>
          </w:p>
        </w:tc>
      </w:tr>
      <w:tr>
        <w:trPr>
          <w:trHeight w:val="243"/>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154,301</w:t>
            </w:r>
          </w:p>
        </w:tc>
        <w:tc>
          <w:tcPr>
            <w:tcW w:w="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355.79</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154,301</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314,740,000</w:t>
            </w:r>
          </w:p>
        </w:tc>
        <w:tc>
          <w:tcPr>
            <w:tcW w:w="0" w:type="dxa"/>
            <w:vAlign w:val="bottom"/>
          </w:tcPr>
          <w:p>
            <w:pPr>
              <w:spacing w:after="0"/>
              <w:rPr>
                <w:sz w:val="1"/>
                <w:szCs w:val="1"/>
                <w:color w:val="auto"/>
              </w:rPr>
            </w:pPr>
          </w:p>
        </w:tc>
      </w:tr>
      <w:tr>
        <w:trPr>
          <w:trHeight w:val="237"/>
        </w:trPr>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663,511</w:t>
            </w: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348.11</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663,511</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314,740,000</w:t>
            </w:r>
          </w:p>
        </w:tc>
        <w:tc>
          <w:tcPr>
            <w:tcW w:w="0" w:type="dxa"/>
            <w:vAlign w:val="bottom"/>
          </w:tcPr>
          <w:p>
            <w:pPr>
              <w:spacing w:after="0"/>
              <w:rPr>
                <w:sz w:val="1"/>
                <w:szCs w:val="1"/>
                <w:color w:val="auto"/>
              </w:rPr>
            </w:pPr>
          </w:p>
        </w:tc>
      </w:tr>
      <w:tr>
        <w:trPr>
          <w:trHeight w:val="20"/>
        </w:trPr>
        <w:tc>
          <w:tcPr>
            <w:tcW w:w="2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-350520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-668020</wp:posOffset>
            </wp:positionV>
            <wp:extent cx="7132320"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1720" w:space="560"/>
            <w:col w:w="8960"/>
          </w:cols>
          <w:pgMar w:left="320" w:top="124" w:right="339" w:bottom="1440" w:gutter="0" w:footer="0" w:header="0"/>
          <w:type w:val="continuous"/>
        </w:sectPr>
      </w:pPr>
    </w:p>
    <w:p>
      <w:pPr>
        <w:ind w:left="340" w:right="20" w:hanging="332"/>
        <w:spacing w:after="0" w:line="261"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the Company’s Board of Directors authorized a new share repurchase program for the purchase of up to $1.0 billion of the Company’s common stock in open-market transactions, block transactions, through derivative transactions, privately negotiated transactions, or otherwise, including pursuant to any trading plan entered into by the Company under Rule 10b5-1 of the Exchange Act. This share repurchase program has no expiration date and it may be suspended or terminated at any time.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2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6"/>
        </w:trPr>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012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20" w:type="dxa"/>
            <w:vAlign w:val="bottom"/>
            <w:gridSpan w:val="20"/>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Our Amended and Restated Articles of Incorporation, effective May 6, 2025 (incorporated by reference to Exhibit 5.7 to the Company's</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Form 8-K, filed May 8, 2025).</w:t>
              </w:r>
            </w:hyperlink>
          </w:p>
        </w:tc>
        <w:tc>
          <w:tcPr>
            <w:tcW w:w="7580" w:type="dxa"/>
            <w:vAlign w:val="bottom"/>
            <w:tcBorders>
              <w:top w:val="single" w:sz="8" w:color="0000FF"/>
            </w:tcBorders>
            <w:gridSpan w:val="11"/>
          </w:tcPr>
          <w:p>
            <w:pPr>
              <w:spacing w:after="0"/>
              <w:rPr>
                <w:sz w:val="17"/>
                <w:szCs w:val="17"/>
                <w:color w:val="auto"/>
              </w:rPr>
            </w:pPr>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120" w:type="dxa"/>
            <w:vAlign w:val="bottom"/>
            <w:gridSpan w:val="20"/>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Our Amended and Restated Bylaws, effective October 23, 2023 (incorporated by reference to Exhibit 3.2 to the Company's Form 10-Q</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0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report for the quarter ended September 30, 2023, filed October 26, 2023).</w:t>
              </w:r>
            </w:hyperlink>
          </w:p>
        </w:tc>
        <w:tc>
          <w:tcPr>
            <w:tcW w:w="4420" w:type="dxa"/>
            <w:vAlign w:val="bottom"/>
            <w:tcBorders>
              <w:top w:val="single" w:sz="8" w:color="0000FF"/>
            </w:tcBorders>
            <w:gridSpan w:val="7"/>
          </w:tcPr>
          <w:p>
            <w:pPr>
              <w:spacing w:after="0"/>
              <w:rPr>
                <w:sz w:val="17"/>
                <w:szCs w:val="17"/>
                <w:color w:val="auto"/>
              </w:rPr>
            </w:pPr>
          </w:p>
        </w:tc>
        <w:tc>
          <w:tcPr>
            <w:tcW w:w="4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9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Articles 5, 8(c) and 9 of our Amended and Restated Articles of Incorporation, effective May 6, 2025 (incorporated by reference to Exhibit</w:t>
              </w:r>
            </w:hyperlink>
          </w:p>
        </w:tc>
        <w:tc>
          <w:tcPr>
            <w:tcW w:w="1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7</w:t>
              </w:r>
              <w:r>
                <w:rPr>
                  <w:rFonts w:ascii="Times New Roman" w:cs="Times New Roman" w:eastAsia="Times New Roman" w:hAnsi="Times New Roman"/>
                  <w:sz w:val="18"/>
                  <w:szCs w:val="18"/>
                  <w:color w:val="0000FF"/>
                </w:rPr>
                <w:t xml:space="preserve"> to the Company's Form 8-K, filed May 8, 2025).</w:t>
              </w:r>
            </w:hyperlink>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12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Articles I and IV of our Bylaws, as amended through October 23, 2023 (incorporated by reference to Exhibit 3.2 to the Company's Form 10-</w:t>
              </w:r>
            </w:hyperlink>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20"/>
          </w:tcPr>
          <w:p>
            <w:pPr>
              <w:spacing w:after="0" w:line="196"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Q report for the quarter ended September 30, 2023, filed October 26, 2023).</w:t>
              </w:r>
            </w:hyperlink>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200" w:type="dxa"/>
            <w:vAlign w:val="bottom"/>
            <w:gridSpan w:val="3"/>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120" w:type="dxa"/>
            <w:vAlign w:val="bottom"/>
            <w:gridSpan w:val="20"/>
          </w:tcPr>
          <w:p>
            <w:pPr>
              <w:spacing w:after="0"/>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Description of Registered Securities (incorporated by reference to Exhibit 4.3 to the Company's Form 10-K report for the year ended</w:t>
              </w:r>
            </w:hyperlink>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5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December 31, 2025, filed February 17, 2026)</w:t>
              </w:r>
            </w:hyperlink>
          </w:p>
        </w:tc>
        <w:tc>
          <w:tcPr>
            <w:tcW w:w="4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4.4</w:t>
            </w:r>
            <w:r>
              <w:rPr>
                <w:rFonts w:ascii="Times New Roman" w:cs="Times New Roman" w:eastAsia="Times New Roman" w:hAnsi="Times New Roman"/>
                <w:sz w:val="23"/>
                <w:szCs w:val="23"/>
                <w:color w:val="auto"/>
                <w:vertAlign w:val="superscript"/>
              </w:rPr>
              <w:t>(1)</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7"/>
        </w:trPr>
        <w:tc>
          <w:tcPr>
            <w:tcW w:w="640" w:type="dxa"/>
            <w:vAlign w:val="bottom"/>
            <w:gridSpan w:val="2"/>
          </w:tcPr>
          <w:p>
            <w:pPr>
              <w:spacing w:after="0" w:line="198" w:lineRule="exact"/>
              <w:rPr>
                <w:sz w:val="20"/>
                <w:szCs w:val="20"/>
                <w:color w:val="auto"/>
              </w:rPr>
            </w:pPr>
            <w:r>
              <w:rPr>
                <w:rFonts w:ascii="Times New Roman" w:cs="Times New Roman" w:eastAsia="Times New Roman" w:hAnsi="Times New Roman"/>
                <w:sz w:val="22"/>
                <w:szCs w:val="22"/>
                <w:color w:val="auto"/>
                <w:vertAlign w:val="subscript"/>
              </w:rPr>
              <w:t>10.1</w:t>
            </w:r>
            <w:r>
              <w:rPr>
                <w:rFonts w:ascii="Times New Roman" w:cs="Times New Roman" w:eastAsia="Times New Roman" w:hAnsi="Times New Roman"/>
                <w:sz w:val="10"/>
                <w:szCs w:val="10"/>
                <w:color w:val="auto"/>
              </w:rPr>
              <w:t>(2)(3)</w:t>
            </w:r>
          </w:p>
        </w:tc>
        <w:tc>
          <w:tcPr>
            <w:tcW w:w="420" w:type="dxa"/>
            <w:vAlign w:val="bottom"/>
          </w:tcPr>
          <w:p>
            <w:pPr>
              <w:spacing w:after="0"/>
              <w:rPr>
                <w:sz w:val="17"/>
                <w:szCs w:val="17"/>
                <w:color w:val="auto"/>
              </w:rPr>
            </w:pPr>
          </w:p>
        </w:tc>
        <w:tc>
          <w:tcPr>
            <w:tcW w:w="10120" w:type="dxa"/>
            <w:vAlign w:val="bottom"/>
            <w:gridSpan w:val="20"/>
          </w:tcPr>
          <w:p>
            <w:pPr>
              <w:spacing w:after="0" w:line="197" w:lineRule="exact"/>
              <w:rPr>
                <w:sz w:val="20"/>
                <w:szCs w:val="20"/>
                <w:color w:val="auto"/>
              </w:rPr>
            </w:pPr>
            <w:r>
              <w:rPr>
                <w:rFonts w:ascii="Times New Roman" w:cs="Times New Roman" w:eastAsia="Times New Roman" w:hAnsi="Times New Roman"/>
                <w:sz w:val="18"/>
                <w:szCs w:val="18"/>
                <w:color w:val="0000FF"/>
              </w:rPr>
              <w:t>Amended and Restated Technology Exchange and CrossLicense Agreement, dated and effective July 14, 2026, between Daikyo Seiko, Ltd.</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6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and us.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gridSpan w:val="2"/>
            <w:vMerge w:val="restart"/>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10.2</w:t>
            </w:r>
            <w:r>
              <w:rPr>
                <w:rFonts w:ascii="Times New Roman" w:cs="Times New Roman" w:eastAsia="Times New Roman" w:hAnsi="Times New Roman"/>
                <w:sz w:val="11"/>
                <w:szCs w:val="11"/>
                <w:color w:val="auto"/>
              </w:rPr>
              <w:t>(2)(3)</w:t>
            </w: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1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0" w:type="dxa"/>
            <w:vAlign w:val="bottom"/>
            <w:gridSpan w:val="2"/>
            <w:vMerge w:val="continue"/>
          </w:tcPr>
          <w:p>
            <w:pPr>
              <w:spacing w:after="0"/>
              <w:rPr>
                <w:sz w:val="20"/>
                <w:szCs w:val="20"/>
                <w:color w:val="auto"/>
              </w:rPr>
            </w:pPr>
          </w:p>
        </w:tc>
        <w:tc>
          <w:tcPr>
            <w:tcW w:w="420" w:type="dxa"/>
            <w:vAlign w:val="bottom"/>
          </w:tcPr>
          <w:p>
            <w:pPr>
              <w:spacing w:after="0"/>
              <w:rPr>
                <w:sz w:val="20"/>
                <w:szCs w:val="20"/>
                <w:color w:val="auto"/>
              </w:rPr>
            </w:pP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Distributorship Agreement, dated and effective July 14, 2026, between Daikyo Seiko, Ltd. and us.</w:t>
            </w:r>
          </w:p>
        </w:tc>
        <w:tc>
          <w:tcPr>
            <w:tcW w:w="0" w:type="dxa"/>
            <w:vAlign w:val="bottom"/>
          </w:tcPr>
          <w:p>
            <w:pPr>
              <w:spacing w:after="0"/>
              <w:rPr>
                <w:sz w:val="1"/>
                <w:szCs w:val="1"/>
                <w:color w:val="auto"/>
              </w:rPr>
            </w:pPr>
          </w:p>
        </w:tc>
      </w:tr>
      <w:tr>
        <w:trPr>
          <w:trHeight w:val="223"/>
        </w:trPr>
        <w:tc>
          <w:tcPr>
            <w:tcW w:w="640" w:type="dxa"/>
            <w:vAlign w:val="bottom"/>
            <w:gridSpan w:val="2"/>
          </w:tcPr>
          <w:p>
            <w:pPr>
              <w:spacing w:after="0" w:line="223" w:lineRule="exact"/>
              <w:rPr>
                <w:sz w:val="20"/>
                <w:szCs w:val="20"/>
                <w:color w:val="auto"/>
              </w:rPr>
            </w:pPr>
            <w:r>
              <w:rPr>
                <w:rFonts w:ascii="Times New Roman" w:cs="Times New Roman" w:eastAsia="Times New Roman" w:hAnsi="Times New Roman"/>
                <w:sz w:val="25"/>
                <w:szCs w:val="25"/>
                <w:color w:val="auto"/>
                <w:vertAlign w:val="subscript"/>
              </w:rPr>
              <w:t>10.3</w:t>
            </w:r>
            <w:r>
              <w:rPr>
                <w:rFonts w:ascii="Times New Roman" w:cs="Times New Roman" w:eastAsia="Times New Roman" w:hAnsi="Times New Roman"/>
                <w:sz w:val="10"/>
                <w:szCs w:val="10"/>
                <w:color w:val="auto"/>
              </w:rPr>
              <w:t>(2)(3)</w:t>
            </w:r>
          </w:p>
        </w:tc>
        <w:tc>
          <w:tcPr>
            <w:tcW w:w="420" w:type="dxa"/>
            <w:vAlign w:val="bottom"/>
          </w:tcPr>
          <w:p>
            <w:pPr>
              <w:spacing w:after="0"/>
              <w:rPr>
                <w:sz w:val="19"/>
                <w:szCs w:val="19"/>
                <w:color w:val="auto"/>
              </w:rPr>
            </w:pPr>
          </w:p>
        </w:tc>
        <w:tc>
          <w:tcPr>
            <w:tcW w:w="70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Distributorship Agreement, dated and effective July 14, 2026, between us and Daikyo Seiko, Ltd.</w:t>
            </w:r>
          </w:p>
        </w:tc>
        <w:tc>
          <w:tcPr>
            <w:tcW w:w="30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12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5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by the Chief Executive Officer Pursuant to Section 302 of the Sarbanes-Oxley Act of 2002.</w:t>
            </w:r>
          </w:p>
        </w:tc>
        <w:tc>
          <w:tcPr>
            <w:tcW w:w="25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the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6580" w:type="dxa"/>
            <w:vAlign w:val="bottom"/>
            <w:gridSpan w:val="8"/>
            <w:shd w:val="clear" w:color="auto" w:fill="0000FF"/>
          </w:tcPr>
          <w:p>
            <w:pPr>
              <w:spacing w:after="0" w:line="20" w:lineRule="exact"/>
              <w:rPr>
                <w:sz w:val="1"/>
                <w:szCs w:val="1"/>
                <w:color w:val="auto"/>
              </w:rPr>
            </w:pPr>
          </w:p>
        </w:tc>
        <w:tc>
          <w:tcPr>
            <w:tcW w:w="25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Certification by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8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Act of 2002.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14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by the Chief Financial Officer Pursuant to 18 U.S.C. Section 1350, as Adopted Pursuant to Section 906 of the Sarbanes-Oxley</w:t>
            </w:r>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1060" w:type="dxa"/>
            <w:vAlign w:val="bottom"/>
            <w:gridSpan w:val="3"/>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922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43"/>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43"/>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3"/>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3"/>
        </w:trPr>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080" w:hanging="1054"/>
        <w:spacing w:after="0"/>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15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 agree to furnish to the SEC, upon request, a copy of each instrument with respect to issuances of long-term debt of the Company and its subsidiaries.</w:t>
      </w:r>
    </w:p>
    <w:p>
      <w:pPr>
        <w:spacing w:after="0" w:line="89" w:lineRule="exact"/>
        <w:rPr>
          <w:rFonts w:ascii="Times New Roman" w:cs="Times New Roman" w:eastAsia="Times New Roman" w:hAnsi="Times New Roman"/>
          <w:sz w:val="22"/>
          <w:szCs w:val="22"/>
          <w:color w:val="auto"/>
          <w:vertAlign w:val="superscript"/>
        </w:rPr>
      </w:pPr>
    </w:p>
    <w:p>
      <w:pPr>
        <w:ind w:right="200" w:firstLine="8"/>
        <w:spacing w:after="0" w:line="287" w:lineRule="auto"/>
        <w:tabs>
          <w:tab w:leader="none" w:pos="165"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Certain information has been excluded from this exhibit pursuant to Item 601(b)(10)(iv) of Regulation S-K because it is both (i) not material and (ii) is the type of information that the registrant treats as private or confidential.</w:t>
      </w:r>
    </w:p>
    <w:p>
      <w:pPr>
        <w:spacing w:after="0" w:line="44" w:lineRule="exact"/>
        <w:rPr>
          <w:rFonts w:ascii="Times New Roman" w:cs="Times New Roman" w:eastAsia="Times New Roman" w:hAnsi="Times New Roman"/>
          <w:sz w:val="20"/>
          <w:szCs w:val="20"/>
          <w:color w:val="auto"/>
          <w:vertAlign w:val="superscript"/>
        </w:rPr>
      </w:pPr>
    </w:p>
    <w:p>
      <w:pPr>
        <w:ind w:firstLine="8"/>
        <w:spacing w:after="0" w:line="242" w:lineRule="auto"/>
        <w:tabs>
          <w:tab w:leader="none" w:pos="181"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Pursuant to Item 601(a)(5) of Regulation S-K, schedules have been omitted and will be furnished on a supplemental basis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-926465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portions of this exhibit have been omitted and filed separately with the SEC pursuant to a confidential treatment order of the SEC.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 PHARMACEUTICAL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/s/ Robert W. McMahon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McMahon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880"/>
          </w:cols>
          <w:pgMar w:left="320" w:top="124" w:right="699" w:bottom="1440" w:gutter="0" w:footer="0" w:header="0"/>
        </w:sectPr>
      </w:pPr>
    </w:p>
    <w:bookmarkStart w:id="49" w:name="page50"/>
    <w:bookmarkEnd w:id="49"/>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this exhibit pursuant to Item 601(b)(10)(iv) of Regulation S-K because the Registrant customarily and actually treats that information as private or confidential and the omitted information is not material. Information that was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TECHNOLOGY EXCHANGE AND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CROSSLICENSE AGREEMENT</w:t>
      </w:r>
    </w:p>
    <w:p>
      <w:pPr>
        <w:spacing w:after="0" w:line="196"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22"/>
          <w:szCs w:val="22"/>
          <w:color w:val="auto"/>
        </w:rPr>
        <w:t>THIS AMENDED AND RESTATED TECHNOLOGY EXCHANGE AND CROSSLICENSE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made and entered into this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July, 2026 by and between DAIKYO SEIKO, LTD., a corporation organized and existing under the laws of Japan, having a place of business at 1305-1, Kurohakama-Cho, Sano-Shi, Tochigi, 327-0813, Japan (hereinafter, together with its Subsidiaries, referred to as “</w:t>
      </w:r>
      <w:r>
        <w:rPr>
          <w:rFonts w:ascii="Times New Roman" w:cs="Times New Roman" w:eastAsia="Times New Roman" w:hAnsi="Times New Roman"/>
          <w:sz w:val="22"/>
          <w:szCs w:val="22"/>
          <w:u w:val="single" w:color="auto"/>
          <w:color w:val="auto"/>
        </w:rPr>
        <w:t>Daikyo</w:t>
      </w:r>
      <w:r>
        <w:rPr>
          <w:rFonts w:ascii="Times New Roman" w:cs="Times New Roman" w:eastAsia="Times New Roman" w:hAnsi="Times New Roman"/>
          <w:sz w:val="22"/>
          <w:szCs w:val="22"/>
          <w:color w:val="auto"/>
        </w:rPr>
        <w:t>”) and WEST PHARMACEUTICAL SERVICES, INC. (formerly known as THE WEST COMPANY, INCORPORATED), a corporation organized and existing under the laws of the Commonwealth of Pennsylvania, United States of America, having a place of business at 530 Herman O. West Drive, Exton, Pennsylvania 19341, United States of America (hereinafter, “</w:t>
      </w:r>
      <w:r>
        <w:rPr>
          <w:rFonts w:ascii="Times New Roman" w:cs="Times New Roman" w:eastAsia="Times New Roman" w:hAnsi="Times New Roman"/>
          <w:sz w:val="22"/>
          <w:szCs w:val="22"/>
          <w:u w:val="single" w:color="auto"/>
          <w:color w:val="auto"/>
        </w:rPr>
        <w:t>West</w:t>
      </w:r>
      <w:r>
        <w:rPr>
          <w:rFonts w:ascii="Times New Roman" w:cs="Times New Roman" w:eastAsia="Times New Roman" w:hAnsi="Times New Roman"/>
          <w:sz w:val="22"/>
          <w:szCs w:val="22"/>
          <w:color w:val="auto"/>
        </w:rPr>
        <w:t>”). West and Daikyo are sometimes referred to in this Agreement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p>
    <w:p>
      <w:pPr>
        <w:spacing w:after="0" w:line="224"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22"/>
          <w:szCs w:val="22"/>
          <w:color w:val="auto"/>
        </w:rPr>
        <w:t>WHEREAS, West and Daikyo have entered into an Amended and Restated Technology Exchange and Cross License Agreement, dated January 25, 2007 (the “</w:t>
      </w:r>
      <w:r>
        <w:rPr>
          <w:rFonts w:ascii="Times New Roman" w:cs="Times New Roman" w:eastAsia="Times New Roman" w:hAnsi="Times New Roman"/>
          <w:sz w:val="22"/>
          <w:szCs w:val="22"/>
          <w:u w:val="single" w:color="auto"/>
          <w:color w:val="auto"/>
        </w:rPr>
        <w:t>2007 Agreement</w:t>
      </w:r>
      <w:r>
        <w:rPr>
          <w:rFonts w:ascii="Times New Roman" w:cs="Times New Roman" w:eastAsia="Times New Roman" w:hAnsi="Times New Roman"/>
          <w:sz w:val="22"/>
          <w:szCs w:val="22"/>
          <w:color w:val="auto"/>
        </w:rPr>
        <w:t>”), which provides for the exchange of technology relating to the manufacture of closures, vials, medical device components, and similar products (defined herein as “</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and the licensing of Know-How and Patents relating to such Products;</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22"/>
          <w:szCs w:val="22"/>
          <w:color w:val="auto"/>
        </w:rPr>
        <w:t>WHEREAS, in 2013 West and Daikyo have entered into an Addendum to the 2007 Agreement (the “Addendum”) that set forth the relationship between the parties with respect to certain Daikyo products and support of the West [***] device, West provision to Daikyo of products and support related to West’s [***] and support by West to Daikyo relating to development efforts regarding current and future Daikyo [***] products used in medical device applications, all of which is described in detail in Addendum l hereof;</w:t>
      </w:r>
    </w:p>
    <w:p>
      <w:pPr>
        <w:spacing w:after="0" w:line="179"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WHEREAS, in 2017 the Parties entered into that certain Amended and Restated Technology Exchange and CrossLicense Agreement, dated January 18, 2017 (the “</w:t>
      </w:r>
      <w:r>
        <w:rPr>
          <w:rFonts w:ascii="Times New Roman" w:cs="Times New Roman" w:eastAsia="Times New Roman" w:hAnsi="Times New Roman"/>
          <w:sz w:val="22"/>
          <w:szCs w:val="22"/>
          <w:u w:val="single" w:color="auto"/>
          <w:color w:val="auto"/>
        </w:rPr>
        <w:t>2017 Agreement</w:t>
      </w:r>
      <w:r>
        <w:rPr>
          <w:rFonts w:ascii="Times New Roman" w:cs="Times New Roman" w:eastAsia="Times New Roman" w:hAnsi="Times New Roman"/>
          <w:sz w:val="22"/>
          <w:szCs w:val="22"/>
          <w:color w:val="auto"/>
        </w:rPr>
        <w:t>”), which amended and restated the 2007 Agreement and the Addendum to reflect certain changes to the provisions thereof;</w:t>
      </w:r>
    </w:p>
    <w:p>
      <w:pPr>
        <w:spacing w:after="0" w:line="173" w:lineRule="exact"/>
        <w:rPr>
          <w:sz w:val="20"/>
          <w:szCs w:val="20"/>
          <w:color w:val="auto"/>
        </w:rPr>
      </w:pPr>
    </w:p>
    <w:p>
      <w:pPr>
        <w:ind w:right="60" w:firstLine="648"/>
        <w:spacing w:after="0" w:line="309" w:lineRule="auto"/>
        <w:rPr>
          <w:sz w:val="20"/>
          <w:szCs w:val="20"/>
          <w:color w:val="auto"/>
        </w:rPr>
      </w:pPr>
      <w:r>
        <w:rPr>
          <w:rFonts w:ascii="Times New Roman" w:cs="Times New Roman" w:eastAsia="Times New Roman" w:hAnsi="Times New Roman"/>
          <w:sz w:val="21"/>
          <w:szCs w:val="21"/>
          <w:color w:val="auto"/>
        </w:rPr>
        <w:t>WHEREAS, in 2018 and 2019, respectively, the Parties entered into that certain Letter Agreement dated July 2, 2018 (the “</w:t>
      </w:r>
      <w:r>
        <w:rPr>
          <w:rFonts w:ascii="Times New Roman" w:cs="Times New Roman" w:eastAsia="Times New Roman" w:hAnsi="Times New Roman"/>
          <w:sz w:val="21"/>
          <w:szCs w:val="21"/>
          <w:u w:val="single" w:color="auto"/>
          <w:color w:val="auto"/>
        </w:rPr>
        <w:t>Letter Agreement</w:t>
      </w:r>
      <w:r>
        <w:rPr>
          <w:rFonts w:ascii="Times New Roman" w:cs="Times New Roman" w:eastAsia="Times New Roman" w:hAnsi="Times New Roman"/>
          <w:sz w:val="21"/>
          <w:szCs w:val="21"/>
          <w:color w:val="auto"/>
        </w:rPr>
        <w:t>”) and that certain Amendment Agreement dated October 15, 2019 (the “</w:t>
      </w:r>
      <w:r>
        <w:rPr>
          <w:rFonts w:ascii="Times New Roman" w:cs="Times New Roman" w:eastAsia="Times New Roman" w:hAnsi="Times New Roman"/>
          <w:sz w:val="21"/>
          <w:szCs w:val="21"/>
          <w:u w:val="single" w:color="auto"/>
          <w:color w:val="auto"/>
        </w:rPr>
        <w:t>Amendment Agreement</w:t>
      </w:r>
      <w:r>
        <w:rPr>
          <w:rFonts w:ascii="Times New Roman" w:cs="Times New Roman" w:eastAsia="Times New Roman" w:hAnsi="Times New Roman"/>
          <w:sz w:val="21"/>
          <w:szCs w:val="21"/>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2"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desire to amend and restate the 2017 Agreement to reflect the agreed certain changes in the Letter Agreement and the Amendment Agreement into this Agreement, in addition to other agreed changes, such that this Agreement supersedes the 2017 Agreement, the Amendment Agreement and the Letter Agreement.</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NOW THEREFORE, in consideration of the mutual covenants herein set forth, the Parties hereto agree, as follows:</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4400"/>
        <w:spacing w:after="0"/>
        <w:rPr>
          <w:sz w:val="20"/>
          <w:szCs w:val="20"/>
          <w:color w:val="auto"/>
        </w:rPr>
      </w:pPr>
      <w:r>
        <w:rPr>
          <w:rFonts w:ascii="Times New Roman" w:cs="Times New Roman" w:eastAsia="Times New Roman" w:hAnsi="Times New Roman"/>
          <w:sz w:val="22"/>
          <w:szCs w:val="22"/>
          <w:b w:val="1"/>
          <w:bCs w:val="1"/>
          <w:color w:val="auto"/>
        </w:rPr>
        <w:t>CERTAIN DEFINITIONS</w:t>
      </w:r>
    </w:p>
    <w:p>
      <w:pPr>
        <w:spacing w:after="0" w:line="182" w:lineRule="exact"/>
        <w:rPr>
          <w:sz w:val="20"/>
          <w:szCs w:val="20"/>
          <w:color w:val="auto"/>
        </w:rPr>
      </w:pPr>
    </w:p>
    <w:p>
      <w:pPr>
        <w:ind w:right="140" w:firstLine="648"/>
        <w:spacing w:after="0" w:line="271" w:lineRule="auto"/>
        <w:rPr>
          <w:sz w:val="20"/>
          <w:szCs w:val="20"/>
          <w:color w:val="auto"/>
        </w:rPr>
      </w:pPr>
      <w:r>
        <w:rPr>
          <w:rFonts w:ascii="Times New Roman" w:cs="Times New Roman" w:eastAsia="Times New Roman" w:hAnsi="Times New Roman"/>
          <w:sz w:val="22"/>
          <w:szCs w:val="22"/>
          <w:color w:val="auto"/>
        </w:rPr>
        <w:t>Terms defined in this Article 1 and parenthetically elsewhere in this Agreement will throughout this Agreement have the meanings here or there provided. Defined terms may be used in the singular or in the plural, as sense shall require.</w:t>
      </w:r>
    </w:p>
    <w:p>
      <w:pPr>
        <w:spacing w:after="0" w:line="158"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when, in connection with or as the direct or indirect result of any acquisition or sale of any assets or capital stock of West or Daikyo, as the case may be, whether or not approved by that company’s board of directors or its shareholders, any entity or Person either alone or acting in concert with others acquires shares of the company’s stock and such acquisition results in that entity or Person either alone or acting in concert with others directly or indirectly owning beneficially 51% or more of the company’s outstanding shares.</w:t>
      </w:r>
    </w:p>
    <w:p>
      <w:pPr>
        <w:spacing w:after="0" w:line="179" w:lineRule="exact"/>
        <w:rPr>
          <w:sz w:val="20"/>
          <w:szCs w:val="20"/>
          <w:color w:val="auto"/>
        </w:rPr>
      </w:pPr>
    </w:p>
    <w:p>
      <w:pPr>
        <w:ind w:right="68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Developments</w:t>
      </w:r>
      <w:r>
        <w:rPr>
          <w:rFonts w:ascii="Times New Roman" w:cs="Times New Roman" w:eastAsia="Times New Roman" w:hAnsi="Times New Roman"/>
          <w:sz w:val="22"/>
          <w:szCs w:val="22"/>
          <w:color w:val="auto"/>
        </w:rPr>
        <w:t>” means developments and improvements, whether or not patentable, relating to a Party’s Licensed Patents, Know-How or Products produced thereby.</w:t>
      </w:r>
    </w:p>
    <w:p>
      <w:pPr>
        <w:spacing w:after="0" w:line="158" w:lineRule="exact"/>
        <w:rPr>
          <w:sz w:val="20"/>
          <w:szCs w:val="20"/>
          <w:color w:val="auto"/>
        </w:rPr>
      </w:pPr>
    </w:p>
    <w:p>
      <w:pPr>
        <w:ind w:right="380"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Commercial Sale of a Product</w:t>
      </w:r>
      <w:r>
        <w:rPr>
          <w:rFonts w:ascii="Times New Roman" w:cs="Times New Roman" w:eastAsia="Times New Roman" w:hAnsi="Times New Roman"/>
          <w:sz w:val="22"/>
          <w:szCs w:val="22"/>
          <w:color w:val="auto"/>
        </w:rPr>
        <w:t>” means the shipment of a Licensed Product to a customer in quantities of at least [***] units.</w:t>
      </w:r>
    </w:p>
    <w:p>
      <w:pPr>
        <w:spacing w:after="0" w:line="14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Know-How</w:t>
      </w:r>
      <w:r>
        <w:rPr>
          <w:rFonts w:ascii="Times New Roman" w:cs="Times New Roman" w:eastAsia="Times New Roman" w:hAnsi="Times New Roman"/>
          <w:sz w:val="22"/>
          <w:szCs w:val="22"/>
          <w:color w:val="auto"/>
        </w:rPr>
        <w:t>” means all useful technical information that is confidential and not generally known by or accessible to the public but is not protected by a patent, which a Party uses or may use in connection with its manufacture of Products. Know-How of a Party may include, without limitation, documents, models, the design and configuration of molds, formulae, prototypes containing design and technical information, data, drawings, plans, specifications, formulations and reports, in written or non-written form. Know-How shall also include Developments.</w:t>
      </w:r>
    </w:p>
    <w:p>
      <w:pPr>
        <w:spacing w:after="0" w:line="194"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Patents</w:t>
      </w:r>
      <w:r>
        <w:rPr>
          <w:rFonts w:ascii="Times New Roman" w:cs="Times New Roman" w:eastAsia="Times New Roman" w:hAnsi="Times New Roman"/>
          <w:sz w:val="22"/>
          <w:szCs w:val="22"/>
          <w:color w:val="auto"/>
        </w:rPr>
        <w:t>” means patents owned by a Party and licensed to the other Party under the terms of this Agreement, or any interest in such patents, and all continuations, divisions, reissues or extensions of any of such patents, as well as any reexamination certificate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20"/>
          </w:cols>
          <w:pgMar w:left="320" w:top="1440" w:right="35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34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Products</w:t>
      </w:r>
      <w:r>
        <w:rPr>
          <w:rFonts w:ascii="Times New Roman" w:cs="Times New Roman" w:eastAsia="Times New Roman" w:hAnsi="Times New Roman"/>
          <w:sz w:val="22"/>
          <w:szCs w:val="22"/>
          <w:color w:val="auto"/>
        </w:rPr>
        <w:t>” means Products whose process of manufacture or use incorporate Know-How or come within the scope of any unexpired claim of any Licensed Patent.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Licensed Trademarks</w:t>
      </w:r>
      <w:r>
        <w:rPr>
          <w:rFonts w:ascii="Times New Roman" w:cs="Times New Roman" w:eastAsia="Times New Roman" w:hAnsi="Times New Roman"/>
          <w:sz w:val="22"/>
          <w:szCs w:val="22"/>
          <w:color w:val="auto"/>
        </w:rPr>
        <w:t>” means the trademarks of West or Daikyo, as the case may be, identified in Schedule A hereto.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Schedule A may be amended from time to time by mutual consent of the Parties.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Licensee</w:t>
      </w:r>
      <w:r>
        <w:rPr>
          <w:rFonts w:ascii="Times New Roman" w:cs="Times New Roman" w:eastAsia="Times New Roman" w:hAnsi="Times New Roman"/>
          <w:sz w:val="22"/>
          <w:szCs w:val="22"/>
          <w:color w:val="auto"/>
        </w:rPr>
        <w:t>” means West or Daikyo, as the case may be, in its capacity as licensee of Know-How or Licensed Patents.</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Licensor</w:t>
      </w:r>
      <w:r>
        <w:rPr>
          <w:rFonts w:ascii="Times New Roman" w:cs="Times New Roman" w:eastAsia="Times New Roman" w:hAnsi="Times New Roman"/>
          <w:sz w:val="22"/>
          <w:szCs w:val="22"/>
          <w:color w:val="auto"/>
        </w:rPr>
        <w:t>” means West or Daikyo, as the case may be, in its capacity as licensor of Know-How or Licensed Patents.</w:t>
      </w:r>
    </w:p>
    <w:p>
      <w:pPr>
        <w:spacing w:after="0" w:line="220"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Sales</w:t>
      </w:r>
      <w:r>
        <w:rPr>
          <w:rFonts w:ascii="Times New Roman" w:cs="Times New Roman" w:eastAsia="Times New Roman" w:hAnsi="Times New Roman"/>
          <w:sz w:val="22"/>
          <w:szCs w:val="22"/>
          <w:color w:val="auto"/>
        </w:rPr>
        <w:t>” means the proportional value of the Special Material, Formula or Process, as determined by West, relative to the net sales of the respective Product as determined under U.S. Generally Accepted Accounting Principles; provided, however, that Daikyo shall determine such proportional value for any Special Material, Formula or Process relative to the net sales of the respective Product that Daikyo licenses from West as contemplated in Section 4.04(a) of this Agreement.</w:t>
      </w:r>
    </w:p>
    <w:p>
      <w:pPr>
        <w:spacing w:after="0" w:line="176"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 individual, partnership, corporation, trust or unincorporated organization, and a government or agency or political subdivision thereof</w:t>
      </w:r>
    </w:p>
    <w:p>
      <w:pPr>
        <w:spacing w:after="0" w:line="158" w:lineRule="exact"/>
        <w:rPr>
          <w:sz w:val="20"/>
          <w:szCs w:val="20"/>
          <w:color w:val="auto"/>
        </w:rPr>
      </w:pPr>
    </w:p>
    <w:p>
      <w:pPr>
        <w:ind w:right="80"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closures, vials, cartridges, syringes, medical device components, and similar products used in connection with the packaging, delivery, administration or dispensing of pharmaceutical products, along with materials for making the same, manufactured or sold by West or Daikyo and which are agreed by West and Daikyo to be included in the scope of this Agreement by executing a Technology Transfer Agreement substantially in the form of Exhibit A attached hereto. “West Products” means Products manufactured or sold by West, and “Daikyo Products” means Products manufactured or sold by Daikyo.</w:t>
      </w:r>
    </w:p>
    <w:p>
      <w:pPr>
        <w:spacing w:after="0" w:line="181"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Special Material, Formula or Process</w:t>
      </w:r>
      <w:r>
        <w:rPr>
          <w:rFonts w:ascii="Times New Roman" w:cs="Times New Roman" w:eastAsia="Times New Roman" w:hAnsi="Times New Roman"/>
          <w:sz w:val="22"/>
          <w:szCs w:val="22"/>
          <w:color w:val="auto"/>
        </w:rPr>
        <w:t>” means a material, formula, or process, including any [***], together with finished product specifications, used in or useful to the manufacture of Products, and which (i) constitutes Know-How or is protected by Licensed Patents and (ii) has demonstrated commercial potential.</w:t>
      </w:r>
    </w:p>
    <w:p>
      <w:pPr>
        <w:spacing w:after="0" w:line="167"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Subsidiaries</w:t>
      </w:r>
      <w:r>
        <w:rPr>
          <w:rFonts w:ascii="Times New Roman" w:cs="Times New Roman" w:eastAsia="Times New Roman" w:hAnsi="Times New Roman"/>
          <w:sz w:val="21"/>
          <w:szCs w:val="21"/>
          <w:color w:val="auto"/>
        </w:rPr>
        <w:t>” means (i) any corporation or other legal entity of which West or Daikyo owns 100% of the stock ownership or other equity interest, directly or indirectly, (ii) any other entity that both West and Daikyo consent to designate as a subsidiary, provided, however that West or Daikyo may in any case revoke such consent for any reason without prejudice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revoking Party, and (iii) in the case of West, The West Company Mexico S.A. de C.V. and Nanopass Technologies, Ltd..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all countries in the world.</w:t>
      </w:r>
    </w:p>
    <w:p>
      <w:pPr>
        <w:spacing w:after="0" w:line="1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2</w:t>
      </w:r>
    </w:p>
    <w:p>
      <w:pPr>
        <w:ind w:left="4060"/>
        <w:spacing w:after="0"/>
        <w:rPr>
          <w:sz w:val="20"/>
          <w:szCs w:val="20"/>
          <w:color w:val="auto"/>
        </w:rPr>
      </w:pPr>
      <w:r>
        <w:rPr>
          <w:rFonts w:ascii="Times New Roman" w:cs="Times New Roman" w:eastAsia="Times New Roman" w:hAnsi="Times New Roman"/>
          <w:sz w:val="22"/>
          <w:szCs w:val="22"/>
          <w:b w:val="1"/>
          <w:bCs w:val="1"/>
          <w:color w:val="auto"/>
        </w:rPr>
        <w:t>FURNISHING OF KNOW-HOW</w:t>
      </w:r>
    </w:p>
    <w:p>
      <w:pPr>
        <w:spacing w:after="0" w:line="155"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Furnishing of Know-How</w:t>
      </w:r>
      <w:r>
        <w:rPr>
          <w:rFonts w:ascii="Times New Roman" w:cs="Times New Roman" w:eastAsia="Times New Roman" w:hAnsi="Times New Roman"/>
          <w:sz w:val="22"/>
          <w:szCs w:val="22"/>
          <w:color w:val="auto"/>
        </w:rPr>
        <w:t>. To the extent that they are legally free to do so, the Parties shall (i) mutually furnish to each other their complete present Know-How, (ii) assist each other in the exploitation of such Know-How, (iii) keep each other fully and promptly informed as to all Developments, and (iv) cooperate to jointly develop new Products and improvements to existing Products for their mutual benefit and the benefit of their customers.</w:t>
      </w:r>
    </w:p>
    <w:p>
      <w:pPr>
        <w:spacing w:after="0" w:line="152" w:lineRule="exact"/>
        <w:rPr>
          <w:sz w:val="20"/>
          <w:szCs w:val="20"/>
          <w:color w:val="auto"/>
        </w:rPr>
      </w:pPr>
    </w:p>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Exchange of Documents</w:t>
      </w:r>
      <w:r>
        <w:rPr>
          <w:rFonts w:ascii="Times New Roman" w:cs="Times New Roman" w:eastAsia="Times New Roman" w:hAnsi="Times New Roman"/>
          <w:sz w:val="22"/>
          <w:szCs w:val="22"/>
          <w:color w:val="auto"/>
        </w:rPr>
        <w:t>. Subject to the terms of any confidentiality or non-disclosure agreements or obligations that may be binding on a Party, upon request, the Parties will furnish each other with such records, work-drawings, other drawings, formulae and other technical records as may be necessary or desirable to further the purposes of this Agreement.</w:t>
      </w:r>
    </w:p>
    <w:p>
      <w:pPr>
        <w:spacing w:after="0" w:line="153"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Each Party may send personnel to the premises of the other Party for the purpose of acquainting such personnel with all existing and future Know-How so long as the normal course of production and business of the other Party are not disrupted by such personnel. Upon request, each Party shall send personnel to assist in acquainting the other Party with Know-How, but only in the event and to the extent that the normal course of production and business of the sending Party is not disrupted.</w:t>
      </w:r>
    </w:p>
    <w:p>
      <w:pPr>
        <w:spacing w:after="0" w:line="152" w:lineRule="exact"/>
        <w:rPr>
          <w:sz w:val="20"/>
          <w:szCs w:val="20"/>
          <w:color w:val="auto"/>
        </w:rPr>
      </w:pPr>
    </w:p>
    <w:p>
      <w:pPr>
        <w:ind w:right="1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Expenses of Furnishing Know-How</w:t>
      </w:r>
      <w:r>
        <w:rPr>
          <w:rFonts w:ascii="Times New Roman" w:cs="Times New Roman" w:eastAsia="Times New Roman" w:hAnsi="Times New Roman"/>
          <w:sz w:val="22"/>
          <w:szCs w:val="22"/>
          <w:color w:val="auto"/>
        </w:rPr>
        <w:t>. All expenses incurred in connection with furnishing Know-How will be borne by the Party to which the Know-How is being furnished, except that the salaries of personnel and related salary costs will be borne in any case by their employer, unless also in respect of such salaries a different arrangement has been reached by prior written agreement.</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3</w:t>
      </w:r>
    </w:p>
    <w:p>
      <w:pPr>
        <w:ind w:left="4760"/>
        <w:spacing w:after="0"/>
        <w:rPr>
          <w:sz w:val="20"/>
          <w:szCs w:val="20"/>
          <w:color w:val="auto"/>
        </w:rPr>
      </w:pPr>
      <w:r>
        <w:rPr>
          <w:rFonts w:ascii="Times New Roman" w:cs="Times New Roman" w:eastAsia="Times New Roman" w:hAnsi="Times New Roman"/>
          <w:sz w:val="22"/>
          <w:szCs w:val="22"/>
          <w:b w:val="1"/>
          <w:bCs w:val="1"/>
          <w:color w:val="auto"/>
        </w:rPr>
        <w:t>CROSS LICENSE</w:t>
      </w:r>
    </w:p>
    <w:p>
      <w:pPr>
        <w:spacing w:after="0" w:line="155" w:lineRule="exact"/>
        <w:rPr>
          <w:sz w:val="20"/>
          <w:szCs w:val="20"/>
          <w:color w:val="auto"/>
        </w:rPr>
      </w:pPr>
    </w:p>
    <w:p>
      <w:pPr>
        <w:ind w:right="6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Daikyo License</w:t>
      </w:r>
      <w:r>
        <w:rPr>
          <w:rFonts w:ascii="Times New Roman" w:cs="Times New Roman" w:eastAsia="Times New Roman" w:hAnsi="Times New Roman"/>
          <w:sz w:val="22"/>
          <w:szCs w:val="22"/>
          <w:color w:val="auto"/>
        </w:rPr>
        <w:t>. Subject to the terms and conditions of this Agreement, West grants to Daikyo, and Daikyo accepts:</w:t>
      </w:r>
    </w:p>
    <w:p>
      <w:pPr>
        <w:spacing w:after="0" w:line="150" w:lineRule="exact"/>
        <w:rPr>
          <w:sz w:val="20"/>
          <w:szCs w:val="20"/>
          <w:color w:val="auto"/>
        </w:rPr>
      </w:pPr>
    </w:p>
    <w:p>
      <w:pPr>
        <w:ind w:firstLine="1304"/>
        <w:spacing w:after="0" w:line="236" w:lineRule="auto"/>
        <w:tabs>
          <w:tab w:leader="none" w:pos="19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non-exclusive right and license to use and employ Licensed Patents of West solely in the manufacture, use and sale of Licensed Products in the Territory;</w:t>
      </w:r>
    </w:p>
    <w:p>
      <w:pPr>
        <w:spacing w:after="0" w:line="150" w:lineRule="exact"/>
        <w:rPr>
          <w:rFonts w:ascii="Times New Roman" w:cs="Times New Roman" w:eastAsia="Times New Roman" w:hAnsi="Times New Roman"/>
          <w:sz w:val="22"/>
          <w:szCs w:val="22"/>
          <w:color w:val="auto"/>
        </w:rPr>
      </w:pPr>
    </w:p>
    <w:p>
      <w:pPr>
        <w:ind w:right="40" w:firstLine="1304"/>
        <w:spacing w:after="0" w:line="236" w:lineRule="auto"/>
        <w:tabs>
          <w:tab w:leader="none" w:pos="1939"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non-exclusive right and license to use and employ Know-How of West disclosed to Daikyo under this Agreement solely in the manufacture, use and sale of Licensed Products in the Territory;</w:t>
      </w:r>
    </w:p>
    <w:p>
      <w:pPr>
        <w:spacing w:after="0" w:line="150" w:lineRule="exact"/>
        <w:rPr>
          <w:rFonts w:ascii="Times New Roman" w:cs="Times New Roman" w:eastAsia="Times New Roman" w:hAnsi="Times New Roman"/>
          <w:sz w:val="22"/>
          <w:szCs w:val="22"/>
          <w:color w:val="auto"/>
        </w:rPr>
      </w:pPr>
    </w:p>
    <w:p>
      <w:pPr>
        <w:ind w:right="340" w:firstLine="1304"/>
        <w:spacing w:after="0" w:line="236" w:lineRule="auto"/>
        <w:tabs>
          <w:tab w:leader="none" w:pos="194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non-exclusive right to use and employ Licensed Trademarks of West solely in the sale of Licensed Products in the Territory;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80"/>
          </w:cols>
          <w:pgMar w:left="320" w:top="1440" w:right="39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780" w:firstLine="1304"/>
        <w:spacing w:after="0" w:line="236" w:lineRule="auto"/>
        <w:tabs>
          <w:tab w:leader="none" w:pos="1939"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sublicense any and all of the rights granted in paragraphs (a), (b) and (c) above to any Subsidiary of Daikyo but to no other Person.</w:t>
      </w:r>
    </w:p>
    <w:p>
      <w:pPr>
        <w:spacing w:after="0" w:line="150" w:lineRule="exact"/>
        <w:rPr>
          <w:rFonts w:ascii="Times New Roman" w:cs="Times New Roman" w:eastAsia="Times New Roman" w:hAnsi="Times New Roman"/>
          <w:sz w:val="22"/>
          <w:szCs w:val="22"/>
          <w:color w:val="auto"/>
        </w:rPr>
      </w:pPr>
    </w:p>
    <w:p>
      <w:pPr>
        <w:ind w:right="100" w:firstLine="1304"/>
        <w:spacing w:after="0" w:line="217" w:lineRule="auto"/>
        <w:tabs>
          <w:tab w:leader="none" w:pos="194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Daikyo is able to demonstrate a plan for manufacturing Licensed Products and commits to mutually agreed thresholds, West can grant exclusive right and license to use and employ (i) Licensed Patents of West in the manufacture, use and sale of Licensed Products in Japan only, (ii) Know-How of West disclosed to Daikyo under this Agreement solely in the manufacture, use and sale of Licensed Products in Japan only and (iii) Licensed Trademarks of West solely in the sale of Licensed Products in Japan.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3.02</w:t>
      </w:r>
      <w:r>
        <w:rPr>
          <w:sz w:val="20"/>
          <w:szCs w:val="20"/>
          <w:color w:val="auto"/>
        </w:rPr>
        <w:tab/>
      </w:r>
      <w:r>
        <w:rPr>
          <w:rFonts w:ascii="Times New Roman" w:cs="Times New Roman" w:eastAsia="Times New Roman" w:hAnsi="Times New Roman"/>
          <w:sz w:val="21"/>
          <w:szCs w:val="21"/>
          <w:u w:val="single" w:color="auto"/>
          <w:color w:val="auto"/>
        </w:rPr>
        <w:t>West License</w:t>
      </w:r>
      <w:r>
        <w:rPr>
          <w:rFonts w:ascii="Times New Roman" w:cs="Times New Roman" w:eastAsia="Times New Roman" w:hAnsi="Times New Roman"/>
          <w:sz w:val="21"/>
          <w:szCs w:val="21"/>
          <w:color w:val="auto"/>
        </w:rPr>
        <w:t>. Subject to the terms and conditions of this Agreement, Daikyo grants to West, and West accepts:</w:t>
      </w:r>
    </w:p>
    <w:p>
      <w:pPr>
        <w:spacing w:after="0" w:line="179" w:lineRule="exact"/>
        <w:rPr>
          <w:sz w:val="20"/>
          <w:szCs w:val="20"/>
          <w:color w:val="auto"/>
        </w:rPr>
      </w:pPr>
    </w:p>
    <w:p>
      <w:pPr>
        <w:ind w:right="200" w:firstLine="1304"/>
        <w:spacing w:after="0" w:line="236"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exclusive right and license to use and employ Licensed Patents of Daikyo solely in the manufacture, use and sale of Licensed Products in the Territory;</w:t>
      </w:r>
    </w:p>
    <w:p>
      <w:pPr>
        <w:spacing w:after="0" w:line="150" w:lineRule="exact"/>
        <w:rPr>
          <w:rFonts w:ascii="Times New Roman" w:cs="Times New Roman" w:eastAsia="Times New Roman" w:hAnsi="Times New Roman"/>
          <w:sz w:val="22"/>
          <w:szCs w:val="22"/>
          <w:color w:val="auto"/>
        </w:rPr>
      </w:pPr>
    </w:p>
    <w:p>
      <w:pPr>
        <w:ind w:right="460" w:firstLine="1304"/>
        <w:spacing w:after="0" w:line="236"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exclusive right and license to use and employ Know-How of Daikyo disclosed to West under this Agreement solely in the manufacture, use and sale of Licensed Products in the Territory;</w:t>
      </w:r>
    </w:p>
    <w:p>
      <w:pPr>
        <w:spacing w:after="0" w:line="150" w:lineRule="exact"/>
        <w:rPr>
          <w:rFonts w:ascii="Times New Roman" w:cs="Times New Roman" w:eastAsia="Times New Roman" w:hAnsi="Times New Roman"/>
          <w:sz w:val="22"/>
          <w:szCs w:val="22"/>
          <w:color w:val="auto"/>
        </w:rPr>
      </w:pPr>
    </w:p>
    <w:p>
      <w:pPr>
        <w:ind w:right="540" w:firstLine="1304"/>
        <w:spacing w:after="0" w:line="236" w:lineRule="auto"/>
        <w:tabs>
          <w:tab w:leader="none" w:pos="194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exclusive right to use and employ Licensed Trademarks of Daikyo solely in the sale of Licensed Products in the Territory; and</w:t>
      </w:r>
    </w:p>
    <w:p>
      <w:pPr>
        <w:spacing w:after="0" w:line="150" w:lineRule="exact"/>
        <w:rPr>
          <w:rFonts w:ascii="Times New Roman" w:cs="Times New Roman" w:eastAsia="Times New Roman" w:hAnsi="Times New Roman"/>
          <w:sz w:val="22"/>
          <w:szCs w:val="22"/>
          <w:color w:val="auto"/>
        </w:rPr>
      </w:pPr>
    </w:p>
    <w:p>
      <w:pPr>
        <w:ind w:right="780" w:firstLine="1304"/>
        <w:spacing w:after="0" w:line="236" w:lineRule="auto"/>
        <w:tabs>
          <w:tab w:leader="none" w:pos="193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 to sublicense any and all of the rights granted under paragraphs (a), (b), (c) above to any Subsidiary of West but to no other Person.</w:t>
      </w:r>
    </w:p>
    <w:p>
      <w:pPr>
        <w:spacing w:after="0" w:line="177"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For the sake of clarity, nothing in this Section 3.02 shall limit the ability of Daikyo, either directly or through one of its controlled affiliated companies, to market or sell its Products in Japan, provided however, that such Products shall not be sold to use in contract manufacturing organizations outside of Japan. Daikyo agrees that the exclusivity rights granted to West in this Section 3.02 shall be exclusive outside of Japan, subject only to the following: (i) Daikyo shall be entitled to continue to maintain its direct sales business with following named customers: [***] ([***]), [***] ([***]) and its subsidiaries [***] ([***]), [***] ([***]) and [***] ([***]), and [***] ([***]) and its subsidiaries [***] ([***]) and [***] ([***]); and (ii) after discussion and agreement, West and Daikyo determine it is necessary for Daikyo to sell directly to ensure there is no interruption to a customer’s supply chain.</w:t>
      </w:r>
    </w:p>
    <w:p>
      <w:pPr>
        <w:spacing w:after="0" w:line="155"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21"/>
          <w:szCs w:val="21"/>
          <w:color w:val="auto"/>
        </w:rPr>
        <w:t xml:space="preserve">3.03 </w:t>
      </w:r>
      <w:r>
        <w:rPr>
          <w:rFonts w:ascii="Times New Roman" w:cs="Times New Roman" w:eastAsia="Times New Roman" w:hAnsi="Times New Roman"/>
          <w:sz w:val="21"/>
          <w:szCs w:val="21"/>
          <w:u w:val="single" w:color="auto"/>
          <w:color w:val="auto"/>
        </w:rPr>
        <w:t>Restrictions on Manufacturing Sites</w:t>
      </w:r>
      <w:r>
        <w:rPr>
          <w:rFonts w:ascii="Times New Roman" w:cs="Times New Roman" w:eastAsia="Times New Roman" w:hAnsi="Times New Roman"/>
          <w:sz w:val="21"/>
          <w:szCs w:val="21"/>
          <w:color w:val="auto"/>
        </w:rPr>
        <w:t>. The Parties acknowledge that the Licensor has an interest in assuring that (i) Licensed Products meet Licensor’s quality standards, and which are at least equivalent to those generally prevailing in the industry and (ii) Licensee shall keep all the Know-How and technical information provided by Licensor pursuant to this Agreement secret. Licensee shall obtain prior written consent of Licensor with respect to Licensee’s manufacturing site(s) for Licensed Products and processes. Licensor shall not unreasonably withhold or delay such consent to Licensee’s manufacturing site(s) and processes. Notwithstanding the foregoing provisions, if Licensee’s manufacturing site(s) shall be located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40" w:right="37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40"/>
        <w:spacing w:after="0" w:line="236" w:lineRule="auto"/>
        <w:rPr>
          <w:sz w:val="20"/>
          <w:szCs w:val="20"/>
          <w:color w:val="auto"/>
        </w:rPr>
      </w:pPr>
      <w:r>
        <w:rPr>
          <w:rFonts w:ascii="Times New Roman" w:cs="Times New Roman" w:eastAsia="Times New Roman" w:hAnsi="Times New Roman"/>
          <w:sz w:val="22"/>
          <w:szCs w:val="22"/>
          <w:color w:val="auto"/>
        </w:rPr>
        <w:t>any country (such as China) which may not comply with legal process and respect intellectual property rights, Licensor shall withhold such consent.</w:t>
      </w:r>
    </w:p>
    <w:p>
      <w:pPr>
        <w:spacing w:after="0" w:line="150"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 xml:space="preserve">3.04 </w:t>
      </w:r>
      <w:r>
        <w:rPr>
          <w:rFonts w:ascii="Times New Roman" w:cs="Times New Roman" w:eastAsia="Times New Roman" w:hAnsi="Times New Roman"/>
          <w:sz w:val="22"/>
          <w:szCs w:val="22"/>
          <w:u w:val="single" w:color="auto"/>
          <w:color w:val="auto"/>
        </w:rPr>
        <w:t>Negotiation of Sublicensing Rights</w:t>
      </w:r>
      <w:r>
        <w:rPr>
          <w:rFonts w:ascii="Times New Roman" w:cs="Times New Roman" w:eastAsia="Times New Roman" w:hAnsi="Times New Roman"/>
          <w:sz w:val="22"/>
          <w:szCs w:val="22"/>
          <w:color w:val="auto"/>
        </w:rPr>
        <w:t>. To the extent that Know-How subject to this Agreement is owned by third Persons, each Party shall use commercially reasonable efforts to negotiate contracts or agreements with such third Persons which permit sublicensing and technology transfer to the other Party and its permitted sublicensees in accordance with the terms of this Agreement.</w:t>
      </w:r>
    </w:p>
    <w:p>
      <w:pPr>
        <w:spacing w:after="0" w:line="152" w:lineRule="exact"/>
        <w:rPr>
          <w:sz w:val="20"/>
          <w:szCs w:val="20"/>
          <w:color w:val="auto"/>
        </w:rPr>
      </w:pPr>
    </w:p>
    <w:p>
      <w:pPr>
        <w:ind w:right="220" w:firstLine="648"/>
        <w:spacing w:after="0" w:line="215" w:lineRule="auto"/>
        <w:rPr>
          <w:sz w:val="20"/>
          <w:szCs w:val="20"/>
          <w:color w:val="auto"/>
        </w:rPr>
      </w:pPr>
      <w:r>
        <w:rPr>
          <w:rFonts w:ascii="Times New Roman" w:cs="Times New Roman" w:eastAsia="Times New Roman" w:hAnsi="Times New Roman"/>
          <w:sz w:val="22"/>
          <w:szCs w:val="22"/>
          <w:color w:val="auto"/>
        </w:rPr>
        <w:t xml:space="preserve">3.05 </w:t>
      </w:r>
      <w:r>
        <w:rPr>
          <w:rFonts w:ascii="Times New Roman" w:cs="Times New Roman" w:eastAsia="Times New Roman" w:hAnsi="Times New Roman"/>
          <w:sz w:val="22"/>
          <w:szCs w:val="22"/>
          <w:u w:val="single" w:color="auto"/>
          <w:color w:val="auto"/>
        </w:rPr>
        <w:t>Continuing Rights upon Expiration</w:t>
      </w:r>
      <w:r>
        <w:rPr>
          <w:rFonts w:ascii="Times New Roman" w:cs="Times New Roman" w:eastAsia="Times New Roman" w:hAnsi="Times New Roman"/>
          <w:sz w:val="22"/>
          <w:szCs w:val="22"/>
          <w:color w:val="auto"/>
        </w:rPr>
        <w:t>. Upon expiration of the full term of the rights granted under any Licensed Patents, the Licensee will have a perpetual, royalty-free, nonexclusive, fully paid-up license of the expired Licensed Patent to manufacture, use and sell Products which were Licensed Products within the Territory under the Licensed Trademarks (as such terms are in effect immediately prior to such expiration); provided, however, that the Licensee will comply with confidentiality restrictions in place with respect to any confidential information as may remain confidential, and provided, further, that the Licensee shall continue to pay royalties for a license to any Know-How under Section 4.04 hereof.</w:t>
      </w:r>
    </w:p>
    <w:p>
      <w:pPr>
        <w:spacing w:after="0" w:line="152" w:lineRule="exact"/>
        <w:rPr>
          <w:sz w:val="20"/>
          <w:szCs w:val="20"/>
          <w:color w:val="auto"/>
        </w:rPr>
      </w:pPr>
    </w:p>
    <w:p>
      <w:pPr>
        <w:ind w:right="200" w:firstLine="648"/>
        <w:spacing w:after="0" w:line="211" w:lineRule="auto"/>
        <w:rPr>
          <w:sz w:val="20"/>
          <w:szCs w:val="20"/>
          <w:color w:val="auto"/>
        </w:rPr>
      </w:pPr>
      <w:r>
        <w:rPr>
          <w:rFonts w:ascii="Times New Roman" w:cs="Times New Roman" w:eastAsia="Times New Roman" w:hAnsi="Times New Roman"/>
          <w:sz w:val="22"/>
          <w:szCs w:val="22"/>
          <w:color w:val="auto"/>
        </w:rPr>
        <w:t xml:space="preserve">3.06 </w:t>
      </w:r>
      <w:r>
        <w:rPr>
          <w:rFonts w:ascii="Times New Roman" w:cs="Times New Roman" w:eastAsia="Times New Roman" w:hAnsi="Times New Roman"/>
          <w:sz w:val="22"/>
          <w:szCs w:val="22"/>
          <w:u w:val="single" w:color="auto"/>
          <w:color w:val="auto"/>
        </w:rPr>
        <w:t>Acknowledgement of License</w:t>
      </w:r>
      <w:r>
        <w:rPr>
          <w:rFonts w:ascii="Times New Roman" w:cs="Times New Roman" w:eastAsia="Times New Roman" w:hAnsi="Times New Roman"/>
          <w:sz w:val="22"/>
          <w:szCs w:val="22"/>
          <w:color w:val="auto"/>
        </w:rPr>
        <w:t>. The Licensee’s Internet website and each written brochure, catalogue or other promotional material that displays or refers to a Licensed Product shall contain the following notation “[name of Licensed Product or Technology] licensed from [Licensor name]”, provided that Licensee may continue to use brochures and other promotional material that does not contain the notation to the extent it was already in use or on hand at the effective date of the Agreement. The Licensee’s Internet website, and each written brochure, catalogue or other promotional material that contains a Licensed Trademark or other registered trademark of the Licensor shall also identify the mark with the symbol “®” and appropriately indicate that the mark is a registered trademark of [Licensor name]. Licensor shall provide to Licensee a list of its registered marks and the countries or jurisdictions where such marks are registered with respect to any new trademarks that become so registered.</w:t>
      </w:r>
    </w:p>
    <w:p>
      <w:pPr>
        <w:spacing w:after="0" w:line="14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4680"/>
        <w:spacing w:after="0"/>
        <w:rPr>
          <w:sz w:val="20"/>
          <w:szCs w:val="20"/>
          <w:color w:val="auto"/>
        </w:rPr>
      </w:pPr>
      <w:r>
        <w:rPr>
          <w:rFonts w:ascii="Times New Roman" w:cs="Times New Roman" w:eastAsia="Times New Roman" w:hAnsi="Times New Roman"/>
          <w:sz w:val="22"/>
          <w:szCs w:val="22"/>
          <w:b w:val="1"/>
          <w:bCs w:val="1"/>
          <w:color w:val="auto"/>
        </w:rPr>
        <w:t>ROYALTIES; FEES</w:t>
      </w:r>
    </w:p>
    <w:p>
      <w:pPr>
        <w:spacing w:after="0" w:line="155" w:lineRule="exact"/>
        <w:rPr>
          <w:sz w:val="20"/>
          <w:szCs w:val="20"/>
          <w:color w:val="auto"/>
        </w:rPr>
      </w:pPr>
    </w:p>
    <w:p>
      <w:pPr>
        <w:ind w:right="680" w:firstLine="648"/>
        <w:spacing w:after="0" w:line="236"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General Rule</w:t>
      </w:r>
      <w:r>
        <w:rPr>
          <w:rFonts w:ascii="Times New Roman" w:cs="Times New Roman" w:eastAsia="Times New Roman" w:hAnsi="Times New Roman"/>
          <w:sz w:val="22"/>
          <w:szCs w:val="22"/>
          <w:color w:val="auto"/>
        </w:rPr>
        <w:t>. Except as set forth in this Article 4, the exchange of Know-How pursuant to Article 2 of this Agreement and the mutual licenses granted according to Article 3 of this Agreement shall be [***].</w:t>
      </w:r>
    </w:p>
    <w:p>
      <w:pPr>
        <w:spacing w:after="0" w:line="150"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4.02 </w:t>
      </w:r>
      <w:r>
        <w:rPr>
          <w:rFonts w:ascii="Times New Roman" w:cs="Times New Roman" w:eastAsia="Times New Roman" w:hAnsi="Times New Roman"/>
          <w:sz w:val="22"/>
          <w:szCs w:val="22"/>
          <w:u w:val="single" w:color="auto"/>
          <w:color w:val="auto"/>
        </w:rPr>
        <w:t>Designation and Disclosure of Special Material, Formula or Process</w:t>
      </w:r>
      <w:r>
        <w:rPr>
          <w:rFonts w:ascii="Times New Roman" w:cs="Times New Roman" w:eastAsia="Times New Roman" w:hAnsi="Times New Roman"/>
          <w:sz w:val="22"/>
          <w:szCs w:val="22"/>
          <w:color w:val="auto"/>
        </w:rPr>
        <w:t>. Before furnishing Know-How or granting the license of a Licensed Patent, either Party may declare that such Know-How or the Licensed Patent contains a “Special Material, Formula, or Process,” and such Party shall promptly provide the other Party with such information concerning the Special Material, Formula, or Process as is necessary to enable the other Party to determine if such Special Material, Formula, or Process would be useful to it. Each transfer of Know-How relating to a Special Material, Formula or Process shall be made pursuant to a separate transfer agreement, substantially in the form of Exhibit A hereto, which shall be executed at the time of transfer by the Parties involved. The Parties entered into separate transfer agreements pursuant to the 2017 Agreement and the 2007 Agreement and a similar agreement between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40" w:right="35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120"/>
        <w:spacing w:after="0" w:line="236" w:lineRule="auto"/>
        <w:rPr>
          <w:sz w:val="20"/>
          <w:szCs w:val="20"/>
          <w:color w:val="auto"/>
        </w:rPr>
      </w:pPr>
      <w:r>
        <w:rPr>
          <w:rFonts w:ascii="Times New Roman" w:cs="Times New Roman" w:eastAsia="Times New Roman" w:hAnsi="Times New Roman"/>
          <w:sz w:val="22"/>
          <w:szCs w:val="22"/>
          <w:color w:val="auto"/>
        </w:rPr>
        <w:t>entered into in 1997. Such agreements shall continue in effect after execution of this Agreement in accordance with the terms of this Agreement.</w:t>
      </w:r>
    </w:p>
    <w:p>
      <w:pPr>
        <w:spacing w:after="0" w:line="150"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 xml:space="preserve">4.03 </w:t>
      </w:r>
      <w:r>
        <w:rPr>
          <w:rFonts w:ascii="Times New Roman" w:cs="Times New Roman" w:eastAsia="Times New Roman" w:hAnsi="Times New Roman"/>
          <w:sz w:val="22"/>
          <w:szCs w:val="22"/>
          <w:u w:val="single" w:color="auto"/>
          <w:color w:val="auto"/>
        </w:rPr>
        <w:t>Quality Assurances</w:t>
      </w:r>
      <w:r>
        <w:rPr>
          <w:rFonts w:ascii="Times New Roman" w:cs="Times New Roman" w:eastAsia="Times New Roman" w:hAnsi="Times New Roman"/>
          <w:sz w:val="22"/>
          <w:szCs w:val="22"/>
          <w:color w:val="auto"/>
        </w:rPr>
        <w:t>. The Licensor may provide a Certificate of Equivalency satisfactory in form and substance to the Licensee or to its sublicensee with respect to Licensed Products manufactured using a Special Material, Formula, or Process after the Licensee has demonstrated that Licensed Products using the Special Material, Formula, or Process meet the finished product specifications provided by the Licensor.</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4.04</w:t>
      </w:r>
      <w:r>
        <w:rPr>
          <w:sz w:val="20"/>
          <w:szCs w:val="20"/>
          <w:color w:val="auto"/>
        </w:rPr>
        <w:tab/>
      </w:r>
      <w:r>
        <w:rPr>
          <w:rFonts w:ascii="Times New Roman" w:cs="Times New Roman" w:eastAsia="Times New Roman" w:hAnsi="Times New Roman"/>
          <w:sz w:val="21"/>
          <w:szCs w:val="21"/>
          <w:u w:val="single" w:color="auto"/>
          <w:color w:val="auto"/>
        </w:rPr>
        <w:t>Royalties Payable In Respect of a Special Material, Formula or Process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60" w:firstLine="1304"/>
        <w:spacing w:after="0" w:line="212"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Licensee elects to utilize the Special Material, Formula, or Process in the manufacture and sale of Licensed Products, it shall pay royalties to the Licensor equal to [***]% of Sales. For the avoidance of doubt, if West elects to utilize [***], the [***], or any Daikyo-developed [***] in the manufacture and sale of West’s Licensed Products, then West shall pay royalties to Daikyo equal to [***]% of Sales, respectively. If Daikyo elects to utilize any West-developed [***] in the manufacture and sale of Daikyo’s Licensed Products, then Daikyo shall pay royalties to West equal to [***]% of Sales. If the Special Material, Formula, or Process involves both Know-How and is wholly or partially covered by one or more Licensed Patents, separate [***]% fixed royalties in accordance with the royalty rate calculation above may be assigned to each of the Know-How and Licensed Patent(s), as specified in the separate transfer agreement.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Month “1” of the royalty payment schedule begins with the first month in which the First Commercial Sale of a Product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occurs.</w:t>
      </w:r>
    </w:p>
    <w:p>
      <w:pPr>
        <w:spacing w:after="0" w:line="169" w:lineRule="exact"/>
        <w:rPr>
          <w:sz w:val="20"/>
          <w:szCs w:val="20"/>
          <w:color w:val="auto"/>
        </w:rPr>
      </w:pPr>
    </w:p>
    <w:p>
      <w:pPr>
        <w:ind w:right="20" w:firstLine="1304"/>
        <w:spacing w:after="0" w:line="220" w:lineRule="auto"/>
        <w:tabs>
          <w:tab w:leader="none" w:pos="1939"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provisions, no royalties, license fees or other amounts are or shall be due or payable by West to Daikyo in connection with its use of [***] for the [***] or [***], except in the event of a Significant Technological Improvement, as defined below in Section 4.05. With regard to any other devices using [***], manufactured by West or one of its third party subcontractors after July 2, 2018, West shall pay royalties to Daikyo equal to [***]% of Sales.</w:t>
      </w:r>
    </w:p>
    <w:p>
      <w:pPr>
        <w:spacing w:after="0" w:line="152" w:lineRule="exact"/>
        <w:rPr>
          <w:rFonts w:ascii="Times New Roman" w:cs="Times New Roman" w:eastAsia="Times New Roman" w:hAnsi="Times New Roman"/>
          <w:sz w:val="22"/>
          <w:szCs w:val="22"/>
          <w:color w:val="auto"/>
        </w:rPr>
      </w:pPr>
    </w:p>
    <w:p>
      <w:pPr>
        <w:ind w:firstLine="1304"/>
        <w:spacing w:after="0" w:line="220" w:lineRule="auto"/>
        <w:tabs>
          <w:tab w:leader="none" w:pos="194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license fees due pursuant to Section 4.04 shall be paid within 30 days following execution of the transfer agreement, and all other royalties shall be paid quarterly within 25 days after the end of each calendar quarter. All amounts due are payable in the currency of the Licensor’s country. Payments shall be accompanied by a statement identifying the Special Material, Formula, or Process and showing, in reasonable detail, the calculation of the payment.</w:t>
      </w:r>
    </w:p>
    <w:p>
      <w:pPr>
        <w:spacing w:after="0" w:line="152"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2"/>
          <w:szCs w:val="22"/>
          <w:color w:val="auto"/>
        </w:rPr>
        <w:t xml:space="preserve">4.05 </w:t>
      </w:r>
      <w:r>
        <w:rPr>
          <w:rFonts w:ascii="Times New Roman" w:cs="Times New Roman" w:eastAsia="Times New Roman" w:hAnsi="Times New Roman"/>
          <w:sz w:val="22"/>
          <w:szCs w:val="22"/>
          <w:u w:val="single" w:color="auto"/>
          <w:color w:val="auto"/>
        </w:rPr>
        <w:t>Payment of Royalties for Significant Technological Improvements</w:t>
      </w:r>
      <w:r>
        <w:rPr>
          <w:rFonts w:ascii="Times New Roman" w:cs="Times New Roman" w:eastAsia="Times New Roman" w:hAnsi="Times New Roman"/>
          <w:sz w:val="22"/>
          <w:szCs w:val="22"/>
          <w:color w:val="auto"/>
        </w:rPr>
        <w:t>. In the event that there is a significant technological improvement or enhancement to the Daikyo [***] or West’s [***] that is created or developed solely by Daikyo and transferred to West (a “</w:t>
      </w:r>
      <w:r>
        <w:rPr>
          <w:rFonts w:ascii="Times New Roman" w:cs="Times New Roman" w:eastAsia="Times New Roman" w:hAnsi="Times New Roman"/>
          <w:sz w:val="22"/>
          <w:szCs w:val="22"/>
          <w:u w:val="single" w:color="auto"/>
          <w:color w:val="auto"/>
        </w:rPr>
        <w:t>Significant Technological Improvement</w:t>
      </w:r>
      <w:r>
        <w:rPr>
          <w:rFonts w:ascii="Times New Roman" w:cs="Times New Roman" w:eastAsia="Times New Roman" w:hAnsi="Times New Roman"/>
          <w:sz w:val="22"/>
          <w:szCs w:val="22"/>
          <w:color w:val="auto"/>
        </w:rPr>
        <w:t>”), as mutually agreed in writing by the parties, then a royalty equal to [***]% of West’s Sales shall be due to Daikyo based on the Special Material, Formula or Process used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20" w:top="1440" w:right="37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4.06</w:t>
      </w:r>
      <w:r>
        <w:rPr>
          <w:sz w:val="20"/>
          <w:szCs w:val="20"/>
          <w:color w:val="auto"/>
        </w:rPr>
        <w:tab/>
      </w:r>
      <w:r>
        <w:rPr>
          <w:rFonts w:ascii="Times New Roman" w:cs="Times New Roman" w:eastAsia="Times New Roman" w:hAnsi="Times New Roman"/>
          <w:sz w:val="21"/>
          <w:szCs w:val="21"/>
          <w:u w:val="single" w:color="auto"/>
          <w:color w:val="auto"/>
        </w:rPr>
        <w:t>Limitations on Payment of Royalties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700" w:firstLine="1304"/>
        <w:spacing w:after="0" w:line="225"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existing monetary obligations of the Licensee to the Licensor will cease with respect to (i) any Licensed Product that is no longer covered by at least one valid claim in a Licensed Patent and (ii) any Know-How which becomes publicly available in the industry.</w:t>
      </w:r>
    </w:p>
    <w:p>
      <w:pPr>
        <w:spacing w:after="0" w:line="152" w:lineRule="exact"/>
        <w:rPr>
          <w:rFonts w:ascii="Times New Roman" w:cs="Times New Roman" w:eastAsia="Times New Roman" w:hAnsi="Times New Roman"/>
          <w:sz w:val="22"/>
          <w:szCs w:val="22"/>
          <w:color w:val="auto"/>
        </w:rPr>
      </w:pPr>
    </w:p>
    <w:p>
      <w:pPr>
        <w:ind w:right="140" w:firstLine="1304"/>
        <w:spacing w:after="0" w:line="217"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 any suit involving the validity or infringement of claims of any Licensed Patents, such claims have been held to be invalid, or not infringed, by a final judgment or decree from which no appeal can be taken, then in that event the Licensee shall thereafter be free of any royalty obligation hereunder to the same extent, as and to the non-infringing subject matter, as the Party in whose favor said judgment or decree shall have been entered, while said final judgment or decree shall be in effect.</w:t>
      </w:r>
    </w:p>
    <w:p>
      <w:pPr>
        <w:spacing w:after="0" w:line="15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4.07 </w:t>
      </w:r>
      <w:r>
        <w:rPr>
          <w:rFonts w:ascii="Times New Roman" w:cs="Times New Roman" w:eastAsia="Times New Roman" w:hAnsi="Times New Roman"/>
          <w:sz w:val="22"/>
          <w:szCs w:val="22"/>
          <w:u w:val="single" w:color="auto"/>
          <w:color w:val="auto"/>
        </w:rPr>
        <w:t>Additional Fees and Commissions</w:t>
      </w:r>
      <w:r>
        <w:rPr>
          <w:rFonts w:ascii="Times New Roman" w:cs="Times New Roman" w:eastAsia="Times New Roman" w:hAnsi="Times New Roman"/>
          <w:sz w:val="22"/>
          <w:szCs w:val="22"/>
          <w:color w:val="auto"/>
        </w:rPr>
        <w:t>. Unless otherwise agreed on a purchase-by-purchase basis, if the Licensee wishes to acquire special production or laboratory machinery or equipment, the development of which was directed and financed by the Licensor, whether such equipment or machinery is manufactured by the Licensor or by a third Person, and if such machinery or equipment is not readily available to users other than the Parties, the Licensee shall appoint the Licensor its agent to acquire such equipment or machinery and shall pay the Licensor a commission equal to [***]% of the invoiced cost of such equipment or machinery, excluding charges for handling, shipping, insurance and taxes.</w:t>
      </w:r>
    </w:p>
    <w:p>
      <w:pPr>
        <w:spacing w:after="0" w:line="139" w:lineRule="exact"/>
        <w:rPr>
          <w:sz w:val="20"/>
          <w:szCs w:val="20"/>
          <w:color w:val="auto"/>
        </w:rPr>
      </w:pPr>
    </w:p>
    <w:p>
      <w:pPr>
        <w:jc w:val="right"/>
        <w:ind w:right="5100"/>
        <w:spacing w:after="0"/>
        <w:rPr>
          <w:sz w:val="20"/>
          <w:szCs w:val="20"/>
          <w:color w:val="auto"/>
        </w:rPr>
      </w:pPr>
      <w:r>
        <w:rPr>
          <w:rFonts w:ascii="Times New Roman" w:cs="Times New Roman" w:eastAsia="Times New Roman" w:hAnsi="Times New Roman"/>
          <w:sz w:val="22"/>
          <w:szCs w:val="22"/>
          <w:b w:val="1"/>
          <w:bCs w:val="1"/>
          <w:color w:val="auto"/>
        </w:rPr>
        <w:t>ARTICLE 5</w:t>
      </w:r>
    </w:p>
    <w:p>
      <w:pPr>
        <w:jc w:val="right"/>
        <w:ind w:right="5120"/>
        <w:spacing w:after="0"/>
        <w:rPr>
          <w:sz w:val="20"/>
          <w:szCs w:val="20"/>
          <w:color w:val="auto"/>
        </w:rPr>
      </w:pPr>
      <w:r>
        <w:rPr>
          <w:rFonts w:ascii="Times New Roman" w:cs="Times New Roman" w:eastAsia="Times New Roman" w:hAnsi="Times New Roman"/>
          <w:sz w:val="22"/>
          <w:szCs w:val="22"/>
          <w:b w:val="1"/>
          <w:bCs w:val="1"/>
          <w:color w:val="auto"/>
        </w:rPr>
        <w:t>PATENTS</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5.01</w:t>
      </w:r>
      <w:r>
        <w:rPr>
          <w:sz w:val="20"/>
          <w:szCs w:val="20"/>
          <w:color w:val="auto"/>
        </w:rPr>
        <w:tab/>
      </w:r>
      <w:r>
        <w:rPr>
          <w:rFonts w:ascii="Times New Roman" w:cs="Times New Roman" w:eastAsia="Times New Roman" w:hAnsi="Times New Roman"/>
          <w:sz w:val="21"/>
          <w:szCs w:val="21"/>
          <w:u w:val="single" w:color="auto"/>
          <w:color w:val="auto"/>
        </w:rPr>
        <w:t>Right to File Patent Applications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ind w:right="380" w:firstLine="1304"/>
        <w:spacing w:after="0" w:line="225"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has the right, but is not obligated, in respect of its own inventions to file patent applications (including utility models) covering the manufacture, use or sale of Products in its own name and at its own expense in any country.</w:t>
      </w:r>
    </w:p>
    <w:p>
      <w:pPr>
        <w:spacing w:after="0" w:line="152" w:lineRule="exact"/>
        <w:rPr>
          <w:rFonts w:ascii="Times New Roman" w:cs="Times New Roman" w:eastAsia="Times New Roman" w:hAnsi="Times New Roman"/>
          <w:sz w:val="22"/>
          <w:szCs w:val="22"/>
          <w:color w:val="auto"/>
        </w:rPr>
      </w:pPr>
    </w:p>
    <w:p>
      <w:pPr>
        <w:ind w:right="60" w:firstLine="1304"/>
        <w:spacing w:after="0" w:line="217"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Licensor shall not have filed an application for a Patent and, upon inquiry, such Licensor indicates that it does not intend to file any such application, then such Licensee, at its own expense, may file applications therefor in such country. In such event, the Licensor shall cooperate with the Licensee in the making and filing of any such application, and the Licensee will reimburse the Licensor for any expense incurred by the Licensor in proving such assistance, promptly upon receipt of an invoice therefor.</w:t>
      </w:r>
    </w:p>
    <w:p>
      <w:pPr>
        <w:spacing w:after="0" w:line="152" w:lineRule="exact"/>
        <w:rPr>
          <w:rFonts w:ascii="Times New Roman" w:cs="Times New Roman" w:eastAsia="Times New Roman" w:hAnsi="Times New Roman"/>
          <w:sz w:val="22"/>
          <w:szCs w:val="22"/>
          <w:color w:val="auto"/>
        </w:rPr>
      </w:pPr>
    </w:p>
    <w:p>
      <w:pPr>
        <w:ind w:right="140" w:firstLine="1304"/>
        <w:spacing w:after="0" w:line="236"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Licensee shall file an application for a patent pursuant to paragraph (b) above, such Licensee may not assign or abandon any patent rights arising therefrom without the consent of the Licensor.</w:t>
      </w:r>
    </w:p>
    <w:p>
      <w:pPr>
        <w:spacing w:after="0" w:line="150" w:lineRule="exact"/>
        <w:rPr>
          <w:sz w:val="20"/>
          <w:szCs w:val="20"/>
          <w:color w:val="auto"/>
        </w:rPr>
      </w:pPr>
    </w:p>
    <w:p>
      <w:pPr>
        <w:jc w:val="both"/>
        <w:ind w:right="180" w:firstLine="648"/>
        <w:spacing w:after="0" w:line="225"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Duty to Assist</w:t>
      </w:r>
      <w:r>
        <w:rPr>
          <w:rFonts w:ascii="Times New Roman" w:cs="Times New Roman" w:eastAsia="Times New Roman" w:hAnsi="Times New Roman"/>
          <w:sz w:val="22"/>
          <w:szCs w:val="22"/>
          <w:color w:val="auto"/>
        </w:rPr>
        <w:t>. The Parties shall assist each other in the filing of patent applications under the preceding Section and in the maintenance and defense of corresponding patents, including furnishing each other with all required declarations and records. The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620"/>
        <w:spacing w:after="0" w:line="236" w:lineRule="auto"/>
        <w:rPr>
          <w:sz w:val="20"/>
          <w:szCs w:val="20"/>
          <w:color w:val="auto"/>
        </w:rPr>
      </w:pPr>
      <w:r>
        <w:rPr>
          <w:rFonts w:ascii="Times New Roman" w:cs="Times New Roman" w:eastAsia="Times New Roman" w:hAnsi="Times New Roman"/>
          <w:sz w:val="22"/>
          <w:szCs w:val="22"/>
          <w:color w:val="auto"/>
        </w:rPr>
        <w:t>shall be borne by the assisted Party. The Parties shall also assist each other in the registration of licenses granted under this Agreement, as required by law.</w:t>
      </w:r>
    </w:p>
    <w:p>
      <w:pPr>
        <w:spacing w:after="0" w:line="150"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u w:val="single" w:color="auto"/>
          <w:color w:val="auto"/>
        </w:rPr>
        <w:t>Prosecution, Maintenance and Defense</w:t>
      </w:r>
      <w:r>
        <w:rPr>
          <w:rFonts w:ascii="Times New Roman" w:cs="Times New Roman" w:eastAsia="Times New Roman" w:hAnsi="Times New Roman"/>
          <w:sz w:val="22"/>
          <w:szCs w:val="22"/>
          <w:color w:val="auto"/>
        </w:rPr>
        <w:t>. Neither Party is obligated to prosecute patent applications, or to maintain and defend such patent applications or any patents resulting therefrom of the other Party hereto, unless such other Party shall reasonably request specific action therefor and shall undertake to bear all expenses related thereto. In case one Party intends not to maintain or defend any patent resulting from its own invention, such Party shall inform the other Party in order to enable such other Party to undertake such maintenance or defense at its own cost and expense.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4760"/>
        <w:spacing w:after="0"/>
        <w:rPr>
          <w:sz w:val="20"/>
          <w:szCs w:val="20"/>
          <w:color w:val="auto"/>
        </w:rPr>
      </w:pPr>
      <w:r>
        <w:rPr>
          <w:rFonts w:ascii="Times New Roman" w:cs="Times New Roman" w:eastAsia="Times New Roman" w:hAnsi="Times New Roman"/>
          <w:sz w:val="22"/>
          <w:szCs w:val="22"/>
          <w:b w:val="1"/>
          <w:bCs w:val="1"/>
          <w:color w:val="auto"/>
        </w:rPr>
        <w:t>INFRINGEMENT</w:t>
      </w:r>
    </w:p>
    <w:p>
      <w:pPr>
        <w:spacing w:after="0" w:line="155" w:lineRule="exact"/>
        <w:rPr>
          <w:sz w:val="20"/>
          <w:szCs w:val="20"/>
          <w:color w:val="auto"/>
        </w:rPr>
      </w:pPr>
    </w:p>
    <w:p>
      <w:pPr>
        <w:ind w:right="6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If either Party becomes aware of actual or threatened infringement by a third Person of the Licensed Patents, Licensed Trademarks, or misappropriation by third Persons of Know-How licensed under this Agreement, it will promptly notify the other Party in writing.</w:t>
      </w:r>
    </w:p>
    <w:p>
      <w:pPr>
        <w:spacing w:after="0" w:line="153"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6.02 </w:t>
      </w:r>
      <w:r>
        <w:rPr>
          <w:rFonts w:ascii="Times New Roman" w:cs="Times New Roman" w:eastAsia="Times New Roman" w:hAnsi="Times New Roman"/>
          <w:sz w:val="22"/>
          <w:szCs w:val="22"/>
          <w:u w:val="single" w:color="auto"/>
          <w:color w:val="auto"/>
        </w:rPr>
        <w:t>Right to Bring Suit</w:t>
      </w:r>
      <w:r>
        <w:rPr>
          <w:rFonts w:ascii="Times New Roman" w:cs="Times New Roman" w:eastAsia="Times New Roman" w:hAnsi="Times New Roman"/>
          <w:sz w:val="22"/>
          <w:szCs w:val="22"/>
          <w:color w:val="auto"/>
        </w:rPr>
        <w:t>. The Licensee will be entitled by itself and at its own expense to bring suit in its name or in the Licensor’s name against any infringement of any Licensed Patent, Licensed Trademark and/or misappropriation of Know-How if, in the Licensee’s judgment, such infringement and/or misappropriation is likely to interfere with the rights granted or reserved to it under this Agreement. The Licensor agrees to join the Licensee as a plaintiff in any such suit, as may be required by law, and will cooperate in the prosecution of any such suit, at the request of the Licensee, provided that the Licensee will reimburse the Licensor for its reasonable expense, including reasonable attorneys’ fees, for such cooperation. The Licensor may elect to participate in any such suit at its own expenses by counsel of its own choosing. The Licensee will retain all amounts recovered, whether by judgment, award, settlement or otherwise, in any suit commenced and maintained to its conclusion by the Licensee, except that after deduction of the reasonable expenses and reasonable attorneys’ fees of Licensee and the Licensor, the Licensee will share any remaining recovery with the Licensor on the basis of the Licensee retaining [***]% of the remaining recovery and the Licensor receiving [***]% of such remaining recovery.</w:t>
      </w:r>
    </w:p>
    <w:p>
      <w:pPr>
        <w:spacing w:after="0" w:line="157" w:lineRule="exact"/>
        <w:rPr>
          <w:sz w:val="20"/>
          <w:szCs w:val="20"/>
          <w:color w:val="auto"/>
        </w:rPr>
      </w:pPr>
    </w:p>
    <w:p>
      <w:pPr>
        <w:ind w:right="260" w:firstLine="648"/>
        <w:spacing w:after="0" w:line="225" w:lineRule="auto"/>
        <w:rPr>
          <w:sz w:val="20"/>
          <w:szCs w:val="20"/>
          <w:color w:val="auto"/>
        </w:rPr>
      </w:pPr>
      <w:r>
        <w:rPr>
          <w:rFonts w:ascii="Times New Roman" w:cs="Times New Roman" w:eastAsia="Times New Roman" w:hAnsi="Times New Roman"/>
          <w:sz w:val="21"/>
          <w:szCs w:val="21"/>
          <w:color w:val="auto"/>
        </w:rPr>
        <w:t xml:space="preserve">6.03 </w:t>
      </w:r>
      <w:r>
        <w:rPr>
          <w:rFonts w:ascii="Times New Roman" w:cs="Times New Roman" w:eastAsia="Times New Roman" w:hAnsi="Times New Roman"/>
          <w:sz w:val="21"/>
          <w:szCs w:val="21"/>
          <w:u w:val="single" w:color="auto"/>
          <w:color w:val="auto"/>
        </w:rPr>
        <w:t>Option to Bring Suit</w:t>
      </w:r>
      <w:r>
        <w:rPr>
          <w:rFonts w:ascii="Times New Roman" w:cs="Times New Roman" w:eastAsia="Times New Roman" w:hAnsi="Times New Roman"/>
          <w:sz w:val="21"/>
          <w:szCs w:val="21"/>
          <w:color w:val="auto"/>
        </w:rPr>
        <w:t>. If the Licensee fails to bring suit with respect to infringement or misappropriation of any Licensed Patent and/or Licensed Trademark and/or Know-How within 60 days after notice thereof, the Licensor will then have the right to bring suit in its own name and at its own expense. The Licensee agrees to join such suit and/or cooperate in the prosecution of any such suit, at the request of the Licensor, as a party plaintiff, provided that the Licensor will reimburse the Licensee for its reasonable expenses, including reasonable attorneys’ fees, for such cooperation. In the event the Licensor exercises such right, the Licensor will retain all amounts recovered, whether by judgment, award, settlement or otherwise.</w:t>
      </w:r>
    </w:p>
    <w:p>
      <w:pPr>
        <w:spacing w:after="0" w:line="1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7</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WARRANTIES AND LIMITATIONS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Authority to Enter Agreement</w:t>
      </w:r>
      <w:r>
        <w:rPr>
          <w:rFonts w:ascii="Times New Roman" w:cs="Times New Roman" w:eastAsia="Times New Roman" w:hAnsi="Times New Roman"/>
          <w:sz w:val="22"/>
          <w:szCs w:val="22"/>
          <w:color w:val="auto"/>
        </w:rPr>
        <w:t>. Each of Daikyo and West represents and warrants to the other that it has the right to enter into this Agreement, and that there are no outstanding assignments, grants, licenses, encumbrances, obligations or agreements, either written, oral or implied, inconsistent with this Agreement.</w:t>
      </w:r>
    </w:p>
    <w:p>
      <w:pPr>
        <w:spacing w:after="0" w:line="153" w:lineRule="exact"/>
        <w:rPr>
          <w:sz w:val="20"/>
          <w:szCs w:val="20"/>
          <w:color w:val="auto"/>
        </w:rPr>
      </w:pPr>
    </w:p>
    <w:p>
      <w:pPr>
        <w:jc w:val="both"/>
        <w:ind w:right="300" w:firstLine="648"/>
        <w:spacing w:after="0" w:line="225" w:lineRule="auto"/>
        <w:rPr>
          <w:sz w:val="20"/>
          <w:szCs w:val="20"/>
          <w:color w:val="auto"/>
        </w:rPr>
      </w:pPr>
      <w:r>
        <w:rPr>
          <w:rFonts w:ascii="Times New Roman" w:cs="Times New Roman" w:eastAsia="Times New Roman" w:hAnsi="Times New Roman"/>
          <w:sz w:val="22"/>
          <w:szCs w:val="22"/>
          <w:color w:val="auto"/>
        </w:rPr>
        <w:t xml:space="preserve">7.02 </w:t>
      </w:r>
      <w:r>
        <w:rPr>
          <w:rFonts w:ascii="Times New Roman" w:cs="Times New Roman" w:eastAsia="Times New Roman" w:hAnsi="Times New Roman"/>
          <w:sz w:val="22"/>
          <w:szCs w:val="22"/>
          <w:u w:val="single" w:color="auto"/>
          <w:color w:val="auto"/>
        </w:rPr>
        <w:t>No Assertion</w:t>
      </w:r>
      <w:r>
        <w:rPr>
          <w:rFonts w:ascii="Times New Roman" w:cs="Times New Roman" w:eastAsia="Times New Roman" w:hAnsi="Times New Roman"/>
          <w:sz w:val="22"/>
          <w:szCs w:val="22"/>
          <w:color w:val="auto"/>
        </w:rPr>
        <w:t>. Each Party represents and warrants to the other that it will not assert against the other any Patent, trademark and/or other intellectual property right now owned or hereafter acquired, that would interfere with the other Party's permitted activities within the scope of the licenses herein granted.</w:t>
      </w:r>
    </w:p>
    <w:p>
      <w:pPr>
        <w:spacing w:after="0" w:line="153" w:lineRule="exact"/>
        <w:rPr>
          <w:sz w:val="20"/>
          <w:szCs w:val="20"/>
          <w:color w:val="auto"/>
        </w:rPr>
      </w:pPr>
    </w:p>
    <w:p>
      <w:pPr>
        <w:ind w:right="4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u w:val="single" w:color="auto"/>
          <w:color w:val="auto"/>
        </w:rPr>
        <w:t>Disclaimer</w:t>
      </w:r>
      <w:r>
        <w:rPr>
          <w:rFonts w:ascii="Times New Roman" w:cs="Times New Roman" w:eastAsia="Times New Roman" w:hAnsi="Times New Roman"/>
          <w:sz w:val="22"/>
          <w:szCs w:val="22"/>
          <w:color w:val="auto"/>
        </w:rPr>
        <w:t>. No Party warrants the validity of any present or future industrial property rights or the freedom of such industrial property rights or of any Know-How furnished under this Agreement from industrial property rights of third Persons. No Party warrants the freedom of any Know-How furnished under this Agreement from faults, or the technical feasibility or economic exploitability of such Know-How.</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8</w:t>
      </w:r>
    </w:p>
    <w:p>
      <w:pPr>
        <w:ind w:left="4600"/>
        <w:spacing w:after="0"/>
        <w:rPr>
          <w:sz w:val="20"/>
          <w:szCs w:val="20"/>
          <w:color w:val="auto"/>
        </w:rPr>
      </w:pPr>
      <w:r>
        <w:rPr>
          <w:rFonts w:ascii="Times New Roman" w:cs="Times New Roman" w:eastAsia="Times New Roman" w:hAnsi="Times New Roman"/>
          <w:sz w:val="22"/>
          <w:szCs w:val="22"/>
          <w:b w:val="1"/>
          <w:bCs w:val="1"/>
          <w:color w:val="auto"/>
        </w:rPr>
        <w:t>INDEMNIFICATION</w:t>
      </w:r>
    </w:p>
    <w:p>
      <w:pPr>
        <w:spacing w:after="0" w:line="155" w:lineRule="exact"/>
        <w:rPr>
          <w:sz w:val="20"/>
          <w:szCs w:val="20"/>
          <w:color w:val="auto"/>
        </w:rPr>
      </w:pPr>
    </w:p>
    <w:p>
      <w:pPr>
        <w:ind w:right="140" w:firstLine="648"/>
        <w:spacing w:after="0" w:line="215" w:lineRule="auto"/>
        <w:rPr>
          <w:sz w:val="20"/>
          <w:szCs w:val="20"/>
          <w:color w:val="auto"/>
        </w:rPr>
      </w:pPr>
      <w:r>
        <w:rPr>
          <w:rFonts w:ascii="Times New Roman" w:cs="Times New Roman" w:eastAsia="Times New Roman" w:hAnsi="Times New Roman"/>
          <w:sz w:val="22"/>
          <w:szCs w:val="22"/>
          <w:color w:val="auto"/>
        </w:rPr>
        <w:t xml:space="preserve">8.01 </w:t>
      </w:r>
      <w:r>
        <w:rPr>
          <w:rFonts w:ascii="Times New Roman" w:cs="Times New Roman" w:eastAsia="Times New Roman" w:hAnsi="Times New Roman"/>
          <w:sz w:val="22"/>
          <w:szCs w:val="22"/>
          <w:u w:val="single" w:color="auto"/>
          <w:color w:val="auto"/>
        </w:rPr>
        <w:t>No Assumption of Liability: Indemnification</w:t>
      </w:r>
      <w:r>
        <w:rPr>
          <w:rFonts w:ascii="Times New Roman" w:cs="Times New Roman" w:eastAsia="Times New Roman" w:hAnsi="Times New Roman"/>
          <w:sz w:val="22"/>
          <w:szCs w:val="22"/>
          <w:color w:val="auto"/>
        </w:rPr>
        <w:t>. The Licensor assumes no liability to the Licensee or third Persons with reference to the performance characteristics of the Licensed Products manufactured, distributed and sold by the Licensee hereunder or with respect to any other claim made or asserted by any third Person with respect to the manufacture, use and sale by the Licensee hereunder, and the Licensee agrees to indemnify and hold harmless the Licensor against losses incurred through claims of third Persons against the Licensor as a result of such manufacture, distribution and sale by the Licensee of Licensed Products.</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9</w:t>
      </w:r>
    </w:p>
    <w:p>
      <w:pPr>
        <w:ind w:left="3660"/>
        <w:spacing w:after="0"/>
        <w:rPr>
          <w:sz w:val="20"/>
          <w:szCs w:val="20"/>
          <w:color w:val="auto"/>
        </w:rPr>
      </w:pPr>
      <w:r>
        <w:rPr>
          <w:rFonts w:ascii="Times New Roman" w:cs="Times New Roman" w:eastAsia="Times New Roman" w:hAnsi="Times New Roman"/>
          <w:sz w:val="22"/>
          <w:szCs w:val="22"/>
          <w:b w:val="1"/>
          <w:bCs w:val="1"/>
          <w:color w:val="auto"/>
        </w:rPr>
        <w:t>TERM AND TERMINATION; DEFAULT</w:t>
      </w:r>
    </w:p>
    <w:p>
      <w:pPr>
        <w:spacing w:after="0" w:line="155"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9.01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The term of this Agreement will commence on the date first written above and, unless terminated earlier in accordance with other provisions of the Agreement, shall extend for a period of ten years from such date.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9.02</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This Agreement may be terminated as follows:</w:t>
      </w:r>
    </w:p>
    <w:p>
      <w:pPr>
        <w:spacing w:after="0" w:line="179" w:lineRule="exact"/>
        <w:rPr>
          <w:sz w:val="20"/>
          <w:szCs w:val="20"/>
          <w:color w:val="auto"/>
        </w:rPr>
      </w:pPr>
    </w:p>
    <w:p>
      <w:pPr>
        <w:ind w:right="220" w:firstLine="1304"/>
        <w:spacing w:after="0" w:line="236"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West or Daikyo upon 90 days’ written notice at any time after both West and one of its wholly owned subsidiaries ceases to be a shareholder of Daikyo.</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both Parties at any time.</w:t>
      </w:r>
    </w:p>
    <w:p>
      <w:pPr>
        <w:spacing w:after="0" w:line="179" w:lineRule="exact"/>
        <w:rPr>
          <w:rFonts w:ascii="Times New Roman" w:cs="Times New Roman" w:eastAsia="Times New Roman" w:hAnsi="Times New Roman"/>
          <w:sz w:val="22"/>
          <w:szCs w:val="22"/>
          <w:color w:val="auto"/>
        </w:rPr>
      </w:pPr>
    </w:p>
    <w:p>
      <w:pPr>
        <w:ind w:right="60" w:firstLine="1304"/>
        <w:spacing w:after="0" w:line="225" w:lineRule="auto"/>
        <w:tabs>
          <w:tab w:leader="none" w:pos="194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in the event of a Change in Control of the other Party. The terminating Party will make this decision within one year after learning of such Change in Control and provide written notice three months prior to the termination.</w:t>
      </w:r>
    </w:p>
    <w:p>
      <w:pPr>
        <w:spacing w:after="0" w:line="152" w:lineRule="exact"/>
        <w:rPr>
          <w:rFonts w:ascii="Times New Roman" w:cs="Times New Roman" w:eastAsia="Times New Roman" w:hAnsi="Times New Roman"/>
          <w:sz w:val="22"/>
          <w:szCs w:val="22"/>
          <w:color w:val="auto"/>
        </w:rPr>
      </w:pPr>
    </w:p>
    <w:p>
      <w:pPr>
        <w:ind w:right="80" w:firstLine="1304"/>
        <w:spacing w:after="0" w:line="236" w:lineRule="auto"/>
        <w:tabs>
          <w:tab w:leader="none" w:pos="193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if the other Party becomes the subject of a filing or a petition in bankruptcy, or in a judicial proceeding with the object of an arrangement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36" w:lineRule="auto"/>
        <w:rPr>
          <w:sz w:val="20"/>
          <w:szCs w:val="20"/>
          <w:color w:val="auto"/>
        </w:rPr>
      </w:pPr>
      <w:r>
        <w:rPr>
          <w:rFonts w:ascii="Times New Roman" w:cs="Times New Roman" w:eastAsia="Times New Roman" w:hAnsi="Times New Roman"/>
          <w:sz w:val="22"/>
          <w:szCs w:val="22"/>
          <w:color w:val="auto"/>
        </w:rPr>
        <w:t>creditors, or if the rights of this Agreement are seized for the benefit of creditors, or if the other Party becomes the subject of a petition for liquidation.</w:t>
      </w:r>
    </w:p>
    <w:p>
      <w:pPr>
        <w:spacing w:after="0" w:line="150" w:lineRule="exact"/>
        <w:rPr>
          <w:sz w:val="20"/>
          <w:szCs w:val="20"/>
          <w:color w:val="auto"/>
        </w:rPr>
      </w:pPr>
    </w:p>
    <w:p>
      <w:pPr>
        <w:ind w:firstLine="1304"/>
        <w:spacing w:after="0" w:line="236" w:lineRule="auto"/>
        <w:tabs>
          <w:tab w:leader="none" w:pos="194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if the other Party breaches a material provision of this Agreement through adverse action or a failure to act and such breach continues unremedied for 20 days despite written notification.</w:t>
      </w:r>
    </w:p>
    <w:p>
      <w:pPr>
        <w:spacing w:after="0" w:line="150" w:lineRule="exact"/>
        <w:rPr>
          <w:sz w:val="20"/>
          <w:szCs w:val="20"/>
          <w:color w:val="auto"/>
        </w:rPr>
      </w:pPr>
    </w:p>
    <w:p>
      <w:pPr>
        <w:ind w:right="40" w:firstLine="648"/>
        <w:spacing w:after="0" w:line="220" w:lineRule="auto"/>
        <w:rPr>
          <w:sz w:val="20"/>
          <w:szCs w:val="20"/>
          <w:color w:val="auto"/>
        </w:rPr>
      </w:pPr>
      <w:r>
        <w:rPr>
          <w:rFonts w:ascii="Times New Roman" w:cs="Times New Roman" w:eastAsia="Times New Roman" w:hAnsi="Times New Roman"/>
          <w:sz w:val="22"/>
          <w:szCs w:val="22"/>
          <w:color w:val="auto"/>
        </w:rPr>
        <w:t xml:space="preserve">9.03 </w:t>
      </w:r>
      <w:r>
        <w:rPr>
          <w:rFonts w:ascii="Times New Roman" w:cs="Times New Roman" w:eastAsia="Times New Roman" w:hAnsi="Times New Roman"/>
          <w:sz w:val="22"/>
          <w:szCs w:val="22"/>
          <w:u w:val="single" w:color="auto"/>
          <w:color w:val="auto"/>
        </w:rPr>
        <w:t>Continuing Obligations After Termination</w:t>
      </w:r>
      <w:r>
        <w:rPr>
          <w:rFonts w:ascii="Times New Roman" w:cs="Times New Roman" w:eastAsia="Times New Roman" w:hAnsi="Times New Roman"/>
          <w:sz w:val="22"/>
          <w:szCs w:val="22"/>
          <w:color w:val="auto"/>
        </w:rPr>
        <w:t>. For a period of 30 days following termination of this Agreement under Section 9.02, the Parties will negotiate terms (including royalty payments) under which they may continue to utilize Know-How, Licensed Trademarks and to make, use or sell Licensed Products under the Licensed Patents. If no agreement is reached within that time period:</w:t>
      </w:r>
    </w:p>
    <w:p>
      <w:pPr>
        <w:spacing w:after="0" w:line="152" w:lineRule="exact"/>
        <w:rPr>
          <w:sz w:val="20"/>
          <w:szCs w:val="20"/>
          <w:color w:val="auto"/>
        </w:rPr>
      </w:pPr>
    </w:p>
    <w:p>
      <w:pPr>
        <w:ind w:right="160" w:firstLine="1304"/>
        <w:spacing w:after="0" w:line="225"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immediately cease and desist from any and all making, using and selling of Licensed Products, provided that each Party may complete and sell or use all Licensed Products produced or commenced before notice of termination was given;</w:t>
      </w:r>
    </w:p>
    <w:p>
      <w:pPr>
        <w:spacing w:after="0" w:line="152" w:lineRule="exact"/>
        <w:rPr>
          <w:rFonts w:ascii="Times New Roman" w:cs="Times New Roman" w:eastAsia="Times New Roman" w:hAnsi="Times New Roman"/>
          <w:sz w:val="22"/>
          <w:szCs w:val="22"/>
          <w:color w:val="auto"/>
        </w:rPr>
      </w:pPr>
    </w:p>
    <w:p>
      <w:pPr>
        <w:ind w:right="320" w:firstLine="1304"/>
        <w:spacing w:after="0" w:line="225"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immediately cease and desist from any and all use of Confidential Information received under this Agreement from the other Party and will not at any time disclose to others or assist others in using Confidential Information supplied by the other Party;</w:t>
      </w:r>
    </w:p>
    <w:p>
      <w:pPr>
        <w:spacing w:after="0" w:line="152" w:lineRule="exact"/>
        <w:rPr>
          <w:rFonts w:ascii="Times New Roman" w:cs="Times New Roman" w:eastAsia="Times New Roman" w:hAnsi="Times New Roman"/>
          <w:sz w:val="22"/>
          <w:szCs w:val="22"/>
          <w:color w:val="auto"/>
        </w:rPr>
      </w:pPr>
    </w:p>
    <w:p>
      <w:pPr>
        <w:ind w:right="260" w:firstLine="1304"/>
        <w:spacing w:after="0" w:line="236"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will, at its expense, promptly return all tangible Confidential Information received under this Agreement, including all written or printed materials and all copies thereof;</w:t>
      </w:r>
    </w:p>
    <w:p>
      <w:pPr>
        <w:spacing w:after="0" w:line="150" w:lineRule="exact"/>
        <w:rPr>
          <w:rFonts w:ascii="Times New Roman" w:cs="Times New Roman" w:eastAsia="Times New Roman" w:hAnsi="Times New Roman"/>
          <w:sz w:val="22"/>
          <w:szCs w:val="22"/>
          <w:color w:val="auto"/>
        </w:rPr>
      </w:pPr>
    </w:p>
    <w:p>
      <w:pPr>
        <w:ind w:right="560" w:firstLine="1304"/>
        <w:spacing w:after="0" w:line="225" w:lineRule="auto"/>
        <w:tabs>
          <w:tab w:leader="none" w:pos="19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and all sublicensees of each Party will immediately cease using all Licensed Trademarks, except to the extent that use thereof may be reasonable and necessary in connection with the sale of products permitted by paragraph (a) above; and</w:t>
      </w:r>
    </w:p>
    <w:p>
      <w:pPr>
        <w:spacing w:after="0" w:line="152" w:lineRule="exact"/>
        <w:rPr>
          <w:rFonts w:ascii="Times New Roman" w:cs="Times New Roman" w:eastAsia="Times New Roman" w:hAnsi="Times New Roman"/>
          <w:sz w:val="22"/>
          <w:szCs w:val="22"/>
          <w:color w:val="auto"/>
        </w:rPr>
      </w:pPr>
    </w:p>
    <w:p>
      <w:pPr>
        <w:ind w:right="120" w:firstLine="1304"/>
        <w:spacing w:after="0" w:line="236" w:lineRule="auto"/>
        <w:tabs>
          <w:tab w:leader="none" w:pos="19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Party will use, disclose to others, or assist others in using Know-How received from such licensor hereunder and will continue to abide by confidentiality obligations.</w:t>
      </w:r>
    </w:p>
    <w:p>
      <w:pPr>
        <w:spacing w:after="0" w:line="177" w:lineRule="exact"/>
        <w:rPr>
          <w:sz w:val="20"/>
          <w:szCs w:val="20"/>
          <w:color w:val="auto"/>
        </w:rPr>
      </w:pPr>
    </w:p>
    <w:p>
      <w:pPr>
        <w:ind w:right="820" w:firstLine="648"/>
        <w:spacing w:after="0" w:line="271" w:lineRule="auto"/>
        <w:rPr>
          <w:sz w:val="20"/>
          <w:szCs w:val="20"/>
          <w:color w:val="auto"/>
        </w:rPr>
      </w:pPr>
      <w:r>
        <w:rPr>
          <w:rFonts w:ascii="Times New Roman" w:cs="Times New Roman" w:eastAsia="Times New Roman" w:hAnsi="Times New Roman"/>
          <w:sz w:val="22"/>
          <w:szCs w:val="22"/>
          <w:color w:val="auto"/>
        </w:rPr>
        <w:t>Each Party agrees to cause each of its sublicensees and any other Person to whom it has disclosed Know-How in accordance with this Agreement to comply with the foregoing provisions.</w:t>
      </w:r>
    </w:p>
    <w:p>
      <w:pPr>
        <w:spacing w:after="0" w:line="131"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9.04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Notwithstanding anything to the contrary in this Agreement, the continuing rights and obligations of the Parties and any cause of action or claim of either Party, accrued or to accrue, because of any breach or default by the other Party, will survive any termination of this Agreement to the degree necessary to permit their complete fulfillment or discharge, and as to any particular piece of Know-How, will continue until such information becomes public knowledge through no fault of the disclosing party.</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10</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10.01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Unenforceability of any provision or provisions of this Agreement will not render unenforceable, or impair, the remainder of this Agreement. If any provision or provisions of this Agreement are found to be invalid, illegal or unenforceable, either in whole or in part, this Agreement will be deemed amended to delete or modify as necessary the offending provision or provisions and to alter the bounds thereof in order to render it valid and enforceable.</w:t>
      </w:r>
    </w:p>
    <w:p>
      <w:pPr>
        <w:spacing w:after="0" w:line="152"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 xml:space="preserve">10.02 </w:t>
      </w:r>
      <w:r>
        <w:rPr>
          <w:rFonts w:ascii="Times New Roman" w:cs="Times New Roman" w:eastAsia="Times New Roman" w:hAnsi="Times New Roman"/>
          <w:sz w:val="22"/>
          <w:szCs w:val="22"/>
          <w:u w:val="single" w:color="auto"/>
          <w:color w:val="auto"/>
        </w:rPr>
        <w:t>Transferability of Rights and Obligations</w:t>
      </w:r>
      <w:r>
        <w:rPr>
          <w:rFonts w:ascii="Times New Roman" w:cs="Times New Roman" w:eastAsia="Times New Roman" w:hAnsi="Times New Roman"/>
          <w:sz w:val="22"/>
          <w:szCs w:val="22"/>
          <w:color w:val="auto"/>
        </w:rPr>
        <w:t>. Neither Party may transfer or assign (whether voluntarily, involuntarily or by operation of law) any of its rights or obligations under this Agreement to any Person without the prior written consent of the other Party. Any attempt to transfer or assign any rights or obligations under this Agreement in violation of this Section will be void. Subject to the foregoing, this Agreement will bind and inure to the benefit of permitted successors and assigns of the Parties.</w:t>
      </w:r>
    </w:p>
    <w:p>
      <w:pPr>
        <w:spacing w:after="0" w:line="152" w:lineRule="exact"/>
        <w:rPr>
          <w:sz w:val="20"/>
          <w:szCs w:val="20"/>
          <w:color w:val="auto"/>
        </w:rPr>
      </w:pPr>
    </w:p>
    <w:p>
      <w:pPr>
        <w:ind w:right="320" w:firstLine="648"/>
        <w:spacing w:after="0" w:line="220" w:lineRule="auto"/>
        <w:rPr>
          <w:sz w:val="20"/>
          <w:szCs w:val="20"/>
          <w:color w:val="auto"/>
        </w:rPr>
      </w:pPr>
      <w:r>
        <w:rPr>
          <w:rFonts w:ascii="Times New Roman" w:cs="Times New Roman" w:eastAsia="Times New Roman" w:hAnsi="Times New Roman"/>
          <w:sz w:val="22"/>
          <w:szCs w:val="22"/>
          <w:color w:val="auto"/>
        </w:rPr>
        <w:t xml:space="preserve">10.03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permitted or required to be given hereunder will be written in English and will be deemed duly given: (a) when delivered by hand, (b) ten (10) business days after it is mailed, certified or return receipt requested, with postage prepaid, (c) when sent by telecopy (with receipt confirmed) or (d) when receipt is signed for when sent by Federal Express, DHL or other express delivery service. Notices will be addressed as follows: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West,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 Pharmaceutical Services,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530 Herman O. West Drive</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Exton, Pennsylvania 19341</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President and CEO</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Telecopier: [***]</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required copy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 Pharmaceutical Services,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530 Herman O. West Drive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Exton, Pennsylvania 19341</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Telecopier: [***]</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Daikyo Seiko Ltd.,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Daikyo Seiko, Ltd.</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1305-1, Kurohakama-Choq Sano-shi</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Tochigi 327-0813, Japan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Morihiro Sudo, President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Telecopier: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60"/>
          </w:cols>
          <w:pgMar w:left="320" w:top="1440" w:right="41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22"/>
          <w:szCs w:val="22"/>
          <w:color w:val="auto"/>
        </w:rPr>
        <w:t>or at such other address as either Party may direct the other in writing. Each Party will promptly inform the other of any change of address or personnel to receive such notices.</w:t>
      </w:r>
    </w:p>
    <w:p>
      <w:pPr>
        <w:spacing w:after="0" w:line="131"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10.04 </w:t>
      </w:r>
      <w:r>
        <w:rPr>
          <w:rFonts w:ascii="Times New Roman" w:cs="Times New Roman" w:eastAsia="Times New Roman" w:hAnsi="Times New Roman"/>
          <w:sz w:val="22"/>
          <w:szCs w:val="22"/>
          <w:u w:val="single" w:color="auto"/>
          <w:color w:val="auto"/>
        </w:rPr>
        <w:t>Modifications and Amendments</w:t>
      </w:r>
      <w:r>
        <w:rPr>
          <w:rFonts w:ascii="Times New Roman" w:cs="Times New Roman" w:eastAsia="Times New Roman" w:hAnsi="Times New Roman"/>
          <w:sz w:val="22"/>
          <w:szCs w:val="22"/>
          <w:color w:val="auto"/>
        </w:rPr>
        <w:t>. No modification, addition or amendment of this Agreement shall be binding on any Party unless set forth in a document duly executed by or on behalf of such Party. No waiver of any provision of this Agreement will constitute waiver of or excuse for any other breach or default. All waivers hereunder must be in writing signed by the Party against which enforcement of such waiver is sought.</w:t>
      </w:r>
    </w:p>
    <w:p>
      <w:pPr>
        <w:spacing w:after="0" w:line="15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21"/>
          <w:szCs w:val="21"/>
          <w:color w:val="auto"/>
        </w:rPr>
        <w:t xml:space="preserve">10.05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preceding the text of the sections and subsections hereof are inserted solely for convenience of reference, and will not constitute a part of this Agreement, nor, will they affect its meaning, construction or effect.</w:t>
      </w:r>
    </w:p>
    <w:p>
      <w:pPr>
        <w:spacing w:after="0" w:line="135" w:lineRule="exact"/>
        <w:rPr>
          <w:sz w:val="20"/>
          <w:szCs w:val="20"/>
          <w:color w:val="auto"/>
        </w:rPr>
      </w:pPr>
    </w:p>
    <w:p>
      <w:pPr>
        <w:ind w:right="200" w:firstLine="648"/>
        <w:spacing w:after="0" w:line="215" w:lineRule="auto"/>
        <w:rPr>
          <w:sz w:val="20"/>
          <w:szCs w:val="20"/>
          <w:color w:val="auto"/>
        </w:rPr>
      </w:pPr>
      <w:r>
        <w:rPr>
          <w:rFonts w:ascii="Times New Roman" w:cs="Times New Roman" w:eastAsia="Times New Roman" w:hAnsi="Times New Roman"/>
          <w:sz w:val="22"/>
          <w:szCs w:val="22"/>
          <w:color w:val="auto"/>
        </w:rPr>
        <w:t xml:space="preserve">10.06 </w:t>
      </w:r>
      <w:r>
        <w:rPr>
          <w:rFonts w:ascii="Times New Roman" w:cs="Times New Roman" w:eastAsia="Times New Roman" w:hAnsi="Times New Roman"/>
          <w:sz w:val="22"/>
          <w:szCs w:val="22"/>
          <w:u w:val="single" w:color="auto"/>
          <w:color w:val="auto"/>
        </w:rPr>
        <w:t>Counterparts; Electronic Signatures</w:t>
      </w:r>
      <w:r>
        <w:rPr>
          <w:rFonts w:ascii="Times New Roman" w:cs="Times New Roman" w:eastAsia="Times New Roman" w:hAnsi="Times New Roman"/>
          <w:sz w:val="22"/>
          <w:szCs w:val="22"/>
          <w:color w:val="auto"/>
        </w:rPr>
        <w:t xml:space="preserve">. This Agreement may be executed in one or more </w:t>
      </w:r>
      <w:r>
        <w:rPr>
          <w:rFonts w:ascii="Times New Roman" w:cs="Times New Roman" w:eastAsia="Times New Roman" w:hAnsi="Times New Roman"/>
          <w:sz w:val="22"/>
          <w:szCs w:val="22"/>
          <w:color w:val="3D3D3D"/>
        </w:rPr>
        <w:t>counterparts, including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D3D3D"/>
        </w:rPr>
        <w:t xml:space="preserve">separate signature pages, each of which </w:t>
      </w:r>
      <w:r>
        <w:rPr>
          <w:rFonts w:ascii="Times New Roman" w:cs="Times New Roman" w:eastAsia="Times New Roman" w:hAnsi="Times New Roman"/>
          <w:sz w:val="22"/>
          <w:szCs w:val="22"/>
          <w:color w:val="000000"/>
        </w:rPr>
        <w:t>will be deemed an original, but all of which together will constitute one and the same</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000000"/>
        </w:rPr>
        <w:t>agreement. Signatures delivered by electronic transmission, including by PDF, facsimile, DocuSign, Adobe Sign, or other electronic signature platform or method, will be deemed to have the same legal effect as original signatures. The parties agree that this Agreement may be executed and delivered by electronic signature and that any such electronic signature will be valid, binding and enforceable to the same extent as a manually executed original signature.</w:t>
      </w:r>
    </w:p>
    <w:p>
      <w:pPr>
        <w:spacing w:after="0" w:line="152" w:lineRule="exact"/>
        <w:rPr>
          <w:sz w:val="20"/>
          <w:szCs w:val="20"/>
          <w:color w:val="auto"/>
        </w:rPr>
      </w:pPr>
    </w:p>
    <w:p>
      <w:pPr>
        <w:jc w:val="both"/>
        <w:ind w:right="260" w:firstLine="648"/>
        <w:spacing w:after="0" w:line="220" w:lineRule="auto"/>
        <w:rPr>
          <w:sz w:val="20"/>
          <w:szCs w:val="20"/>
          <w:color w:val="auto"/>
        </w:rPr>
      </w:pPr>
      <w:r>
        <w:rPr>
          <w:rFonts w:ascii="Times New Roman" w:cs="Times New Roman" w:eastAsia="Times New Roman" w:hAnsi="Times New Roman"/>
          <w:sz w:val="22"/>
          <w:szCs w:val="22"/>
          <w:color w:val="auto"/>
        </w:rPr>
        <w:t xml:space="preserve">10.07 </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Japanese law shall be applicable to this Agreement. There are English language and Japanese language versions of this Agreement. The English language version is controlling. The first-instance jurisdiction over all controversies arising out of this Agreement shall lie with the Tokyo District Court or the United States District Court for the Eastern District of Pennsylvania.</w:t>
      </w:r>
    </w:p>
    <w:p>
      <w:pPr>
        <w:spacing w:after="0" w:line="152"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22"/>
          <w:szCs w:val="22"/>
          <w:color w:val="auto"/>
        </w:rPr>
        <w:t xml:space="preserve">10.08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Exhibit and Schedules hereto and each transfer agreement covering a Special Material, Formula or Process, each of which is incorporated herein, constitute the entire agreement of the parties with respect to the subject matter contained herein and supersedes any prior agreements or understandings, written or oral, between the parties with respect to the subject matter hereof, provided, however, that any transfer agreement covering a Special Material, Formula or Process executed prior to the date hereof shall remain in full force and effect in accordance with the terms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62" w:name="page63"/>
    <w:bookmarkEnd w:id="62"/>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day and year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DAIKYO SEIKO, LTD.</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i w:val="1"/>
          <w:iCs w:val="1"/>
          <w:color w:val="auto"/>
        </w:rPr>
        <w:t>s/ Morihiro Sudo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-11430</wp:posOffset>
            </wp:positionV>
            <wp:extent cx="15532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553210" cy="8890"/>
                    </a:xfrm>
                    <a:prstGeom prst="rect">
                      <a:avLst/>
                    </a:prstGeom>
                    <a:noFill/>
                  </pic:spPr>
                </pic:pic>
              </a:graphicData>
            </a:graphic>
          </wp:anchor>
        </w:drawing>
      </w:r>
    </w:p>
    <w:p>
      <w:pPr>
        <w:spacing w:after="0" w:line="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Morihiro Sudo, President</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WEST PHARMACEUTICAL SERVICES, INC.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w:t>
      </w:r>
      <w:r>
        <w:rPr>
          <w:rFonts w:ascii="Times New Roman" w:cs="Times New Roman" w:eastAsia="Times New Roman" w:hAnsi="Times New Roman"/>
          <w:sz w:val="22"/>
          <w:szCs w:val="22"/>
          <w:i w:val="1"/>
          <w:iCs w:val="1"/>
          <w:color w:val="auto"/>
        </w:rPr>
        <w:t>s/ Eric M.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-11430</wp:posOffset>
            </wp:positionV>
            <wp:extent cx="15036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Eric M. Green</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[Signature page to Amended and Restated Technology Exchange and Crosslicense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335896172v1</w:t>
      </w:r>
    </w:p>
    <w:p>
      <w:pPr>
        <w:sectPr>
          <w:pgSz w:w="11900" w:h="16838" w:orient="portrait"/>
          <w:cols w:equalWidth="0" w:num="1">
            <w:col w:w="11120"/>
          </w:cols>
          <w:pgMar w:left="320" w:top="1422" w:right="45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168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505"/>
        </w:trPr>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380" w:type="dxa"/>
            <w:vAlign w:val="bottom"/>
            <w:gridSpan w:val="10"/>
          </w:tcPr>
          <w:p>
            <w:pPr>
              <w:jc w:val="center"/>
              <w:ind w:left="772"/>
              <w:spacing w:after="0"/>
              <w:rPr>
                <w:sz w:val="20"/>
                <w:szCs w:val="20"/>
                <w:color w:val="auto"/>
              </w:rPr>
            </w:pPr>
            <w:r>
              <w:rPr>
                <w:rFonts w:ascii="Times New Roman" w:cs="Times New Roman" w:eastAsia="Times New Roman" w:hAnsi="Times New Roman"/>
                <w:sz w:val="22"/>
                <w:szCs w:val="22"/>
                <w:b w:val="1"/>
                <w:bCs w:val="1"/>
                <w:color w:val="auto"/>
                <w:w w:val="98"/>
              </w:rPr>
              <w:t>TECHNOLOGY TRANSFER AGREEMENT</w:t>
            </w: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20"/>
        </w:trPr>
        <w:tc>
          <w:tcPr>
            <w:tcW w:w="5200" w:type="dxa"/>
            <w:vAlign w:val="bottom"/>
            <w:gridSpan w:val="6"/>
          </w:tcPr>
          <w:p>
            <w:pPr>
              <w:ind w:left="660"/>
              <w:spacing w:after="0"/>
              <w:rPr>
                <w:sz w:val="20"/>
                <w:szCs w:val="20"/>
                <w:color w:val="auto"/>
              </w:rPr>
            </w:pPr>
            <w:r>
              <w:rPr>
                <w:rFonts w:ascii="Times New Roman" w:cs="Times New Roman" w:eastAsia="Times New Roman" w:hAnsi="Times New Roman"/>
                <w:sz w:val="22"/>
                <w:szCs w:val="22"/>
                <w:color w:val="auto"/>
                <w:w w:val="98"/>
              </w:rPr>
              <w:t>This Agreement, made and entered into this_ day of</w:t>
            </w:r>
          </w:p>
        </w:tc>
        <w:tc>
          <w:tcPr>
            <w:tcW w:w="2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4"/>
                <w:szCs w:val="24"/>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w w:val="99"/>
              </w:rPr>
              <w:t>by and between</w:t>
            </w:r>
          </w:p>
        </w:tc>
        <w:tc>
          <w:tcPr>
            <w:tcW w:w="300" w:type="dxa"/>
            <w:vAlign w:val="bottom"/>
          </w:tcPr>
          <w:p>
            <w:pPr>
              <w:spacing w:after="0"/>
              <w:rPr>
                <w:sz w:val="24"/>
                <w:szCs w:val="24"/>
                <w:color w:val="auto"/>
              </w:rPr>
            </w:pPr>
          </w:p>
        </w:tc>
        <w:tc>
          <w:tcPr>
            <w:tcW w:w="266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7"/>
              </w:rPr>
              <w:t>, a corporation organized and</w:t>
            </w:r>
          </w:p>
        </w:tc>
      </w:tr>
      <w:tr>
        <w:trPr>
          <w:trHeight w:val="20"/>
        </w:trPr>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4560" w:type="dxa"/>
            <w:vAlign w:val="bottom"/>
            <w:gridSpan w:val="3"/>
          </w:tcPr>
          <w:p>
            <w:pPr>
              <w:spacing w:after="0" w:line="250" w:lineRule="exact"/>
              <w:rPr>
                <w:sz w:val="20"/>
                <w:szCs w:val="20"/>
                <w:color w:val="auto"/>
              </w:rPr>
            </w:pPr>
            <w:r>
              <w:rPr>
                <w:rFonts w:ascii="Times New Roman" w:cs="Times New Roman" w:eastAsia="Times New Roman" w:hAnsi="Times New Roman"/>
                <w:sz w:val="22"/>
                <w:szCs w:val="22"/>
                <w:color w:val="auto"/>
              </w:rPr>
              <w:t>existing under the laws of   (the “Licensee”), and</w:t>
            </w:r>
          </w:p>
        </w:tc>
        <w:tc>
          <w:tcPr>
            <w:tcW w:w="220" w:type="dxa"/>
            <w:vAlign w:val="bottom"/>
          </w:tcPr>
          <w:p>
            <w:pPr>
              <w:spacing w:after="0"/>
              <w:rPr>
                <w:sz w:val="21"/>
                <w:szCs w:val="21"/>
                <w:color w:val="auto"/>
              </w:rPr>
            </w:pPr>
          </w:p>
        </w:tc>
        <w:tc>
          <w:tcPr>
            <w:tcW w:w="5760" w:type="dxa"/>
            <w:vAlign w:val="bottom"/>
            <w:gridSpan w:val="12"/>
          </w:tcPr>
          <w:p>
            <w:pPr>
              <w:ind w:left="220"/>
              <w:spacing w:after="0" w:line="250" w:lineRule="exact"/>
              <w:rPr>
                <w:sz w:val="20"/>
                <w:szCs w:val="20"/>
                <w:color w:val="auto"/>
              </w:rPr>
            </w:pPr>
            <w:r>
              <w:rPr>
                <w:rFonts w:ascii="Times New Roman" w:cs="Times New Roman" w:eastAsia="Times New Roman" w:hAnsi="Times New Roman"/>
                <w:sz w:val="22"/>
                <w:szCs w:val="22"/>
                <w:color w:val="auto"/>
              </w:rPr>
              <w:t>, a corporation organized and existing under the laws of   (the</w:t>
            </w:r>
          </w:p>
        </w:tc>
      </w:tr>
      <w:tr>
        <w:trPr>
          <w:trHeight w:val="289"/>
        </w:trPr>
        <w:tc>
          <w:tcPr>
            <w:tcW w:w="2300" w:type="dxa"/>
            <w:vAlign w:val="bottom"/>
          </w:tcPr>
          <w:p>
            <w:pPr>
              <w:spacing w:after="0"/>
              <w:rPr>
                <w:sz w:val="20"/>
                <w:szCs w:val="20"/>
                <w:color w:val="auto"/>
              </w:rPr>
            </w:pPr>
            <w:r>
              <w:rPr>
                <w:rFonts w:ascii="Times New Roman" w:cs="Times New Roman" w:eastAsia="Times New Roman" w:hAnsi="Times New Roman"/>
                <w:sz w:val="22"/>
                <w:szCs w:val="22"/>
                <w:color w:val="auto"/>
              </w:rPr>
              <w:t>“Licensor”).</w:t>
            </w:r>
          </w:p>
        </w:tc>
        <w:tc>
          <w:tcPr>
            <w:tcW w:w="200" w:type="dxa"/>
            <w:vAlign w:val="bottom"/>
            <w:tcBorders>
              <w:top w:val="single" w:sz="8" w:color="auto"/>
            </w:tcBorders>
          </w:tcPr>
          <w:p>
            <w:pPr>
              <w:spacing w:after="0"/>
              <w:rPr>
                <w:sz w:val="24"/>
                <w:szCs w:val="24"/>
                <w:color w:val="auto"/>
              </w:rPr>
            </w:pPr>
          </w:p>
        </w:tc>
        <w:tc>
          <w:tcPr>
            <w:tcW w:w="20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r>
    </w:tbl>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WITNESSETH:</w:t>
      </w:r>
    </w:p>
    <w:p>
      <w:pPr>
        <w:spacing w:after="0" w:line="220" w:lineRule="exact"/>
        <w:rPr>
          <w:sz w:val="20"/>
          <w:szCs w:val="20"/>
          <w:color w:val="auto"/>
        </w:rPr>
      </w:pPr>
    </w:p>
    <w:p>
      <w:pPr>
        <w:ind w:right="220" w:firstLine="648"/>
        <w:spacing w:after="0" w:line="281" w:lineRule="auto"/>
        <w:rPr>
          <w:sz w:val="20"/>
          <w:szCs w:val="20"/>
          <w:color w:val="auto"/>
        </w:rPr>
      </w:pPr>
      <w:r>
        <w:rPr>
          <w:rFonts w:ascii="Times New Roman" w:cs="Times New Roman" w:eastAsia="Times New Roman" w:hAnsi="Times New Roman"/>
          <w:sz w:val="21"/>
          <w:szCs w:val="21"/>
          <w:color w:val="auto"/>
        </w:rPr>
        <w:t>WHEREAS, Licensor and Licensee are parties to an Amended and Restated Technology Exchange and CrossLicense Agreement dated July 14 2026 between Daikyo Seiko, Ltd. and West Pharmaceutical Services, Inc. (the “License Agreement”) (terms not defined herein having the same meanings assigned to such terms in the License Agreement); and</w:t>
      </w:r>
    </w:p>
    <w:p>
      <w:pPr>
        <w:spacing w:after="0" w:line="151"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WHEREAS, the License Agreement provides, among other things, for the licensing of certain Know-How and/or Licensed Patents to manufacture, use and sell Licensed Products embodying a designated Special Material, Formula or Process at a royalty rate described therein; and</w:t>
      </w:r>
    </w:p>
    <w:p>
      <w:pPr>
        <w:spacing w:after="0" w:line="17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WHEREAS, the parties desire to designate such a Special Material, Formula or Process and fix the royalty rate applicable thereto.</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parties hereto agree as follows:</w:t>
      </w:r>
    </w:p>
    <w:p>
      <w:pPr>
        <w:spacing w:after="0" w:line="220" w:lineRule="exact"/>
        <w:rPr>
          <w:sz w:val="20"/>
          <w:szCs w:val="20"/>
          <w:color w:val="auto"/>
        </w:rPr>
      </w:pPr>
    </w:p>
    <w:p>
      <w:pPr>
        <w:ind w:left="1620" w:hanging="355"/>
        <w:spacing w:after="0"/>
        <w:tabs>
          <w:tab w:leader="none" w:pos="1620" w:val="left"/>
        </w:tabs>
        <w:numPr>
          <w:ilvl w:val="0"/>
          <w:numId w:val="24"/>
        </w:numPr>
        <w:rPr>
          <w:rFonts w:ascii="Times New Roman" w:cs="Times New Roman" w:eastAsia="Times New Roman" w:hAnsi="Times New Roman"/>
          <w:sz w:val="21"/>
          <w:szCs w:val="21"/>
          <w:color w:val="212121"/>
        </w:rPr>
      </w:pPr>
      <w:r>
        <w:rPr>
          <w:rFonts w:ascii="Times New Roman" w:cs="Times New Roman" w:eastAsia="Times New Roman" w:hAnsi="Times New Roman"/>
          <w:sz w:val="22"/>
          <w:szCs w:val="22"/>
          <w:color w:val="auto"/>
        </w:rPr>
        <w:t>The following is hereby designated as a Special [Process] [Formula] [Material]:</w:t>
      </w:r>
    </w:p>
    <w:p>
      <w:pPr>
        <w:spacing w:after="0" w:line="219" w:lineRule="exact"/>
        <w:rPr>
          <w:rFonts w:ascii="Times New Roman" w:cs="Times New Roman" w:eastAsia="Times New Roman" w:hAnsi="Times New Roman"/>
          <w:sz w:val="21"/>
          <w:szCs w:val="21"/>
          <w:color w:val="212121"/>
        </w:rPr>
      </w:pPr>
    </w:p>
    <w:p>
      <w:pPr>
        <w:ind w:left="1900" w:right="180" w:hanging="635"/>
        <w:spacing w:after="0" w:line="281" w:lineRule="auto"/>
        <w:tabs>
          <w:tab w:leader="none" w:pos="1621" w:val="left"/>
        </w:tabs>
        <w:numPr>
          <w:ilvl w:val="0"/>
          <w:numId w:val="24"/>
        </w:numPr>
        <w:rPr>
          <w:rFonts w:ascii="Times New Roman" w:cs="Times New Roman" w:eastAsia="Times New Roman" w:hAnsi="Times New Roman"/>
          <w:sz w:val="20"/>
          <w:szCs w:val="20"/>
          <w:color w:val="212121"/>
        </w:rPr>
      </w:pPr>
      <w:r>
        <w:rPr>
          <w:rFonts w:ascii="Times New Roman" w:cs="Times New Roman" w:eastAsia="Times New Roman" w:hAnsi="Times New Roman"/>
          <w:sz w:val="21"/>
          <w:szCs w:val="21"/>
          <w:color w:val="auto"/>
        </w:rPr>
        <w:t>The royalty to be paid under the License Agreement for such Special [Process] [Formula] [Material] shall be equal to [***]% of Sales in accordance with Section 4.04(a) of the License Agreement [and an initial license fee of ____ shall be paid within 30 days following execution of the Agreement by the Licensee].</w:t>
      </w:r>
    </w:p>
    <w:p>
      <w:pPr>
        <w:spacing w:after="0" w:line="150" w:lineRule="exact"/>
        <w:rPr>
          <w:rFonts w:ascii="Times New Roman" w:cs="Times New Roman" w:eastAsia="Times New Roman" w:hAnsi="Times New Roman"/>
          <w:sz w:val="20"/>
          <w:szCs w:val="20"/>
          <w:color w:val="212121"/>
        </w:rPr>
      </w:pPr>
    </w:p>
    <w:p>
      <w:pPr>
        <w:ind w:left="1620" w:hanging="355"/>
        <w:spacing w:after="0"/>
        <w:tabs>
          <w:tab w:leader="none" w:pos="1620" w:val="left"/>
        </w:tabs>
        <w:numPr>
          <w:ilvl w:val="0"/>
          <w:numId w:val="24"/>
        </w:numPr>
        <w:rPr>
          <w:rFonts w:ascii="Times New Roman" w:cs="Times New Roman" w:eastAsia="Times New Roman" w:hAnsi="Times New Roman"/>
          <w:sz w:val="21"/>
          <w:szCs w:val="21"/>
          <w:color w:val="212121"/>
        </w:rPr>
      </w:pPr>
      <w:r>
        <w:rPr>
          <w:rFonts w:ascii="Times New Roman" w:cs="Times New Roman" w:eastAsia="Times New Roman" w:hAnsi="Times New Roman"/>
          <w:sz w:val="22"/>
          <w:szCs w:val="22"/>
          <w:color w:val="auto"/>
        </w:rPr>
        <w:t>The Special [Process] [Formula] [Material] is covered by the following Licensed Patents(s):</w:t>
      </w:r>
    </w:p>
    <w:p>
      <w:pPr>
        <w:spacing w:after="0" w:line="233" w:lineRule="exact"/>
        <w:rPr>
          <w:sz w:val="20"/>
          <w:szCs w:val="20"/>
          <w:color w:val="auto"/>
        </w:rPr>
      </w:pPr>
    </w:p>
    <w:p>
      <w:pPr>
        <w:ind w:left="1260"/>
        <w:spacing w:after="0"/>
        <w:tabs>
          <w:tab w:leader="none" w:pos="1700" w:val="left"/>
        </w:tabs>
        <w:rPr>
          <w:sz w:val="20"/>
          <w:szCs w:val="20"/>
          <w:color w:val="auto"/>
        </w:rPr>
      </w:pPr>
      <w:r>
        <w:rPr>
          <w:rFonts w:ascii="Times New Roman" w:cs="Times New Roman" w:eastAsia="Times New Roman" w:hAnsi="Times New Roman"/>
          <w:sz w:val="22"/>
          <w:szCs w:val="22"/>
          <w:color w:val="auto"/>
        </w:rPr>
        <w:t>[4.</w:t>
      </w:r>
      <w:r>
        <w:rPr>
          <w:sz w:val="20"/>
          <w:szCs w:val="20"/>
          <w:color w:val="auto"/>
        </w:rPr>
        <w:tab/>
      </w:r>
      <w:r>
        <w:rPr>
          <w:rFonts w:ascii="Times New Roman" w:cs="Times New Roman" w:eastAsia="Times New Roman" w:hAnsi="Times New Roman"/>
          <w:sz w:val="21"/>
          <w:szCs w:val="21"/>
          <w:color w:val="auto"/>
        </w:rPr>
        <w:t>Royalties shall be assigned separately to Know-How and the Licensed Patents in the following proportion:</w:t>
      </w:r>
    </w:p>
    <w:p>
      <w:pPr>
        <w:spacing w:after="0" w:line="247" w:lineRule="exact"/>
        <w:rPr>
          <w:sz w:val="20"/>
          <w:szCs w:val="20"/>
          <w:color w:val="auto"/>
        </w:rPr>
      </w:pPr>
    </w:p>
    <w:p>
      <w:pPr>
        <w:ind w:left="2140" w:hanging="239"/>
        <w:spacing w:after="0"/>
        <w:tabs>
          <w:tab w:leader="none" w:pos="214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Royalties assigned to Licensed Patent(s): [***]%</w:t>
      </w:r>
    </w:p>
    <w:p>
      <w:pPr>
        <w:spacing w:after="0" w:line="219" w:lineRule="exact"/>
        <w:rPr>
          <w:rFonts w:ascii="Times New Roman" w:cs="Times New Roman" w:eastAsia="Times New Roman" w:hAnsi="Times New Roman"/>
          <w:sz w:val="22"/>
          <w:szCs w:val="22"/>
          <w:color w:val="auto"/>
        </w:rPr>
      </w:pPr>
    </w:p>
    <w:p>
      <w:pPr>
        <w:ind w:left="2120" w:hanging="228"/>
        <w:spacing w:after="0"/>
        <w:tabs>
          <w:tab w:leader="none" w:pos="212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Royalties assigned to Know-How: [***]%]</w:t>
      </w:r>
    </w:p>
    <w:p>
      <w:pPr>
        <w:spacing w:after="0" w:line="233" w:lineRule="exact"/>
        <w:rPr>
          <w:rFonts w:ascii="Times New Roman" w:cs="Times New Roman" w:eastAsia="Times New Roman" w:hAnsi="Times New Roman"/>
          <w:sz w:val="22"/>
          <w:szCs w:val="22"/>
          <w:color w:val="auto"/>
        </w:rPr>
      </w:pPr>
    </w:p>
    <w:p>
      <w:pPr>
        <w:ind w:left="620" w:right="620" w:firstLine="634"/>
        <w:spacing w:after="0" w:line="271" w:lineRule="auto"/>
        <w:tabs>
          <w:tab w:leader="none" w:pos="162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Licensor shall furnish the Special [Process] [Formula] [Material] to the Licensee for the purpose of manufacturing, using and selling Products in accordance with</w:t>
      </w:r>
    </w:p>
    <w:p>
      <w:pPr>
        <w:sectPr>
          <w:pgSz w:w="11900" w:h="16838" w:orient="portrait"/>
          <w:cols w:equalWidth="0" w:num="1">
            <w:col w:w="11200"/>
          </w:cols>
          <w:pgMar w:left="320" w:top="1399" w:right="379" w:bottom="1440" w:gutter="0" w:footer="0" w:header="0"/>
        </w:sectPr>
      </w:pPr>
    </w:p>
    <w:bookmarkStart w:id="64" w:name="page65"/>
    <w:bookmarkEnd w:id="64"/>
    <w:p>
      <w:pPr>
        <w:ind w:left="620"/>
        <w:spacing w:after="0"/>
        <w:rPr>
          <w:sz w:val="20"/>
          <w:szCs w:val="20"/>
          <w:color w:val="auto"/>
        </w:rPr>
      </w:pPr>
      <w:r>
        <w:rPr>
          <w:rFonts w:ascii="Times New Roman" w:cs="Times New Roman" w:eastAsia="Times New Roman" w:hAnsi="Times New Roman"/>
          <w:sz w:val="22"/>
          <w:szCs w:val="22"/>
          <w:color w:val="auto"/>
        </w:rPr>
        <w:t>the terms of the License Agreement immediately following execution of this Agreement by the Licensee.</w:t>
      </w:r>
    </w:p>
    <w:p>
      <w:pPr>
        <w:spacing w:after="0" w:line="24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day and year first written above.</w:t>
      </w:r>
    </w:p>
    <w:p>
      <w:pPr>
        <w:spacing w:after="0" w:line="15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[LICENSEE]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[LICENSOR]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LICENSED TRADEMARKS</w:t>
      </w:r>
    </w:p>
    <w:p>
      <w:pPr>
        <w:sectPr>
          <w:pgSz w:w="11900" w:h="16838" w:orient="portrait"/>
          <w:cols w:equalWidth="0" w:num="1">
            <w:col w:w="11120"/>
          </w:cols>
          <w:pgMar w:left="320" w:top="1422" w:right="4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B</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PRE-EXISTING TECHNOLOGY TRANSFER AGREEMENTS</w:t>
      </w:r>
    </w:p>
    <w:p>
      <w:pPr>
        <w:sectPr>
          <w:pgSz w:w="11900" w:h="16838" w:orient="portrait"/>
          <w:cols w:equalWidth="0" w:num="1">
            <w:col w:w="9019"/>
          </w:cols>
          <w:pgMar w:left="1440" w:top="1418" w:right="1440" w:bottom="1440" w:gutter="0" w:footer="0" w:header="0"/>
        </w:sectPr>
      </w:pPr>
    </w:p>
    <w:bookmarkStart w:id="66" w:name="page67"/>
    <w:bookmarkEnd w:id="66"/>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ADDENDUM 1</w:t>
      </w:r>
    </w:p>
    <w:p>
      <w:pPr>
        <w:spacing w:after="0" w:line="220"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THIS ADDENDUM </w:t>
      </w:r>
      <w:r>
        <w:rPr>
          <w:rFonts w:ascii="Times New Roman" w:cs="Times New Roman" w:eastAsia="Times New Roman" w:hAnsi="Times New Roman"/>
          <w:sz w:val="22"/>
          <w:szCs w:val="22"/>
          <w:color w:val="auto"/>
        </w:rPr>
        <w:t>provides for the transfer of Know-How and the grant of licenses relating to that Know-How,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140" w:lineRule="exact"/>
        <w:rPr>
          <w:sz w:val="20"/>
          <w:szCs w:val="20"/>
          <w:color w:val="auto"/>
        </w:rPr>
      </w:pPr>
    </w:p>
    <w:p>
      <w:pPr>
        <w:ind w:left="1940" w:hanging="636"/>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 and manufacture of [***] suitable for use in the [***] (the “[***]”);</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design, filling, packaging and manufacturing of [***] and related products as provided or directed by</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 (“[***]”); and</w:t>
      </w:r>
    </w:p>
    <w:p>
      <w:pPr>
        <w:spacing w:after="0" w:line="155" w:lineRule="exact"/>
        <w:rPr>
          <w:rFonts w:ascii="Times New Roman" w:cs="Times New Roman" w:eastAsia="Times New Roman" w:hAnsi="Times New Roman"/>
          <w:sz w:val="22"/>
          <w:szCs w:val="22"/>
          <w:color w:val="auto"/>
        </w:rPr>
      </w:pPr>
    </w:p>
    <w:p>
      <w:pPr>
        <w:ind w:right="220" w:firstLine="1304"/>
        <w:spacing w:after="0" w:line="236"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medical devices incorporating Daikyo’s [***] products (“[***]”), and West has agreed to provide certain assistance and support to Daikyo relating thereto.</w:t>
      </w:r>
    </w:p>
    <w:p>
      <w:pPr>
        <w:spacing w:after="0" w:line="177" w:lineRule="exact"/>
        <w:rPr>
          <w:sz w:val="20"/>
          <w:szCs w:val="20"/>
          <w:color w:val="auto"/>
        </w:rPr>
      </w:pPr>
    </w:p>
    <w:p>
      <w:pPr>
        <w:ind w:right="260" w:firstLine="648"/>
        <w:spacing w:after="0" w:line="257" w:lineRule="auto"/>
        <w:rPr>
          <w:sz w:val="20"/>
          <w:szCs w:val="20"/>
          <w:color w:val="auto"/>
        </w:rPr>
      </w:pPr>
      <w:r>
        <w:rPr>
          <w:rFonts w:ascii="Times New Roman" w:cs="Times New Roman" w:eastAsia="Times New Roman" w:hAnsi="Times New Roman"/>
          <w:sz w:val="22"/>
          <w:szCs w:val="22"/>
          <w:color w:val="auto"/>
        </w:rPr>
        <w:t>The Parties each acknowledge that the activities described below have been provided in the past and some or all of said activities will continue to be provided in the future. Likewise, the rights and obligations described below accrued from the commencement of this Addendum 1 in 2013 and will continue in accordance with the terms of this Agreement.</w:t>
      </w:r>
    </w:p>
    <w:p>
      <w:pPr>
        <w:spacing w:after="0" w:line="173" w:lineRule="exact"/>
        <w:rPr>
          <w:sz w:val="20"/>
          <w:szCs w:val="20"/>
          <w:color w:val="auto"/>
        </w:rPr>
      </w:pPr>
    </w:p>
    <w:p>
      <w:pPr>
        <w:ind w:right="140" w:firstLine="656"/>
        <w:spacing w:after="0" w:line="271" w:lineRule="auto"/>
        <w:tabs>
          <w:tab w:leader="none" w:pos="102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 accordance with Sections 2.01, 2.03 and 3.01 of the Agreement, Know-How to be transferred from, license to be granted by, and assistance to be provided by, Daikyo to West includes (without limitation):</w:t>
      </w:r>
    </w:p>
    <w:p>
      <w:pPr>
        <w:spacing w:after="0" w:line="171" w:lineRule="exact"/>
        <w:rPr>
          <w:rFonts w:ascii="Times New Roman" w:cs="Times New Roman" w:eastAsia="Times New Roman" w:hAnsi="Times New Roman"/>
          <w:sz w:val="22"/>
          <w:szCs w:val="22"/>
          <w:color w:val="auto"/>
        </w:rPr>
      </w:pPr>
    </w:p>
    <w:p>
      <w:pPr>
        <w:ind w:left="1500" w:hanging="196"/>
        <w:spacing w:after="0"/>
        <w:tabs>
          <w:tab w:leader="none" w:pos="1500" w:val="left"/>
        </w:tabs>
        <w:numPr>
          <w:ilvl w:val="2"/>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Daikyo [***] and [***] design and operating parameters.</w:t>
      </w:r>
    </w:p>
    <w:p>
      <w:pPr>
        <w:spacing w:after="0" w:line="219" w:lineRule="exact"/>
        <w:rPr>
          <w:rFonts w:ascii="Times New Roman" w:cs="Times New Roman" w:eastAsia="Times New Roman" w:hAnsi="Times New Roman"/>
          <w:sz w:val="22"/>
          <w:szCs w:val="22"/>
          <w:color w:val="auto"/>
        </w:rPr>
      </w:pPr>
    </w:p>
    <w:p>
      <w:pPr>
        <w:ind w:right="700" w:firstLine="1304"/>
        <w:spacing w:after="0" w:line="271" w:lineRule="auto"/>
        <w:tabs>
          <w:tab w:leader="none" w:pos="1674" w:val="left"/>
        </w:tabs>
        <w:numPr>
          <w:ilvl w:val="2"/>
          <w:numId w:val="27"/>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Information regarding the Daikyo [***] and [***] test methods, testing results, processing parameters, manufacturing and processing information and related data including design and process optimization.</w:t>
      </w:r>
    </w:p>
    <w:p>
      <w:pPr>
        <w:spacing w:after="0" w:line="157" w:lineRule="exact"/>
        <w:rPr>
          <w:rFonts w:ascii="Times New Roman" w:cs="Times New Roman" w:eastAsia="Times New Roman" w:hAnsi="Times New Roman"/>
          <w:sz w:val="22"/>
          <w:szCs w:val="22"/>
          <w:color w:val="262626"/>
        </w:rPr>
      </w:pPr>
    </w:p>
    <w:p>
      <w:pPr>
        <w:ind w:left="1660" w:hanging="356"/>
        <w:spacing w:after="0"/>
        <w:tabs>
          <w:tab w:leader="none" w:pos="1660" w:val="left"/>
        </w:tabs>
        <w:numPr>
          <w:ilvl w:val="2"/>
          <w:numId w:val="27"/>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Engineering and in-process drawings of the [***] and [***].</w:t>
      </w:r>
    </w:p>
    <w:p>
      <w:pPr>
        <w:spacing w:after="0" w:line="219" w:lineRule="exact"/>
        <w:rPr>
          <w:rFonts w:ascii="Times New Roman" w:cs="Times New Roman" w:eastAsia="Times New Roman" w:hAnsi="Times New Roman"/>
          <w:sz w:val="22"/>
          <w:szCs w:val="22"/>
          <w:color w:val="262626"/>
        </w:rPr>
      </w:pPr>
    </w:p>
    <w:p>
      <w:pPr>
        <w:ind w:left="1680" w:hanging="376"/>
        <w:spacing w:after="0"/>
        <w:tabs>
          <w:tab w:leader="none" w:pos="1680" w:val="left"/>
        </w:tabs>
        <w:numPr>
          <w:ilvl w:val="2"/>
          <w:numId w:val="27"/>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 assembly technology including design, test methods, testing results, and assembly manufacturing</w:t>
      </w:r>
    </w:p>
    <w:p>
      <w:pPr>
        <w:spacing w:after="0" w:line="27" w:lineRule="exact"/>
        <w:rPr>
          <w:rFonts w:ascii="Times New Roman" w:cs="Times New Roman" w:eastAsia="Times New Roman" w:hAnsi="Times New Roman"/>
          <w:sz w:val="22"/>
          <w:szCs w:val="22"/>
          <w:color w:val="262626"/>
        </w:rPr>
      </w:pPr>
    </w:p>
    <w:p>
      <w:pPr>
        <w:spacing w:after="0"/>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information.</w:t>
      </w:r>
    </w:p>
    <w:p>
      <w:pPr>
        <w:spacing w:after="0" w:line="209" w:lineRule="exact"/>
        <w:rPr>
          <w:rFonts w:ascii="Times New Roman" w:cs="Times New Roman" w:eastAsia="Times New Roman" w:hAnsi="Times New Roman"/>
          <w:sz w:val="22"/>
          <w:szCs w:val="22"/>
          <w:color w:val="262626"/>
        </w:rPr>
      </w:pPr>
    </w:p>
    <w:p>
      <w:pPr>
        <w:ind w:left="1660" w:hanging="356"/>
        <w:spacing w:after="0"/>
        <w:tabs>
          <w:tab w:leader="none" w:pos="1660" w:val="left"/>
        </w:tabs>
        <w:numPr>
          <w:ilvl w:val="2"/>
          <w:numId w:val="27"/>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Summaries of defect analysis and optimization of camera vision inspection of the [***].</w:t>
      </w:r>
    </w:p>
    <w:p>
      <w:pPr>
        <w:spacing w:after="0" w:line="219" w:lineRule="exact"/>
        <w:rPr>
          <w:rFonts w:ascii="Times New Roman" w:cs="Times New Roman" w:eastAsia="Times New Roman" w:hAnsi="Times New Roman"/>
          <w:sz w:val="22"/>
          <w:szCs w:val="22"/>
          <w:color w:val="262626"/>
        </w:rPr>
      </w:pPr>
    </w:p>
    <w:p>
      <w:pPr>
        <w:ind w:right="800" w:firstLine="1304"/>
        <w:spacing w:after="0" w:line="271" w:lineRule="auto"/>
        <w:tabs>
          <w:tab w:leader="none" w:pos="1638" w:val="left"/>
        </w:tabs>
        <w:numPr>
          <w:ilvl w:val="2"/>
          <w:numId w:val="27"/>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Daikyo will provide West guidance and support for the manufacturing of the [***] and [***] molding including assembly at Daikyo Sano Facility.</w:t>
      </w:r>
    </w:p>
    <w:p>
      <w:pPr>
        <w:spacing w:after="0" w:line="157" w:lineRule="exact"/>
        <w:rPr>
          <w:rFonts w:ascii="Times New Roman" w:cs="Times New Roman" w:eastAsia="Times New Roman" w:hAnsi="Times New Roman"/>
          <w:sz w:val="22"/>
          <w:szCs w:val="22"/>
          <w:color w:val="262626"/>
        </w:rPr>
      </w:pPr>
    </w:p>
    <w:p>
      <w:pPr>
        <w:ind w:left="1680" w:hanging="376"/>
        <w:spacing w:after="0"/>
        <w:tabs>
          <w:tab w:leader="none" w:pos="1680" w:val="left"/>
        </w:tabs>
        <w:numPr>
          <w:ilvl w:val="2"/>
          <w:numId w:val="27"/>
        </w:numPr>
        <w:rPr>
          <w:rFonts w:ascii="Times New Roman" w:cs="Times New Roman" w:eastAsia="Times New Roman" w:hAnsi="Times New Roman"/>
          <w:sz w:val="21"/>
          <w:szCs w:val="21"/>
          <w:color w:val="262626"/>
        </w:rPr>
      </w:pPr>
      <w:r>
        <w:rPr>
          <w:rFonts w:ascii="Times New Roman" w:cs="Times New Roman" w:eastAsia="Times New Roman" w:hAnsi="Times New Roman"/>
          <w:sz w:val="21"/>
          <w:szCs w:val="21"/>
          <w:color w:val="auto"/>
        </w:rPr>
        <w:t>Daikyo will supply the [***] to West for testing, validation, and/or commercial sales. Daikyo will supply the</w:t>
      </w:r>
    </w:p>
    <w:p>
      <w:pPr>
        <w:spacing w:after="0" w:line="39" w:lineRule="exact"/>
        <w:rPr>
          <w:rFonts w:ascii="Times New Roman" w:cs="Times New Roman" w:eastAsia="Times New Roman" w:hAnsi="Times New Roman"/>
          <w:sz w:val="21"/>
          <w:szCs w:val="21"/>
          <w:color w:val="262626"/>
        </w:rPr>
      </w:pPr>
    </w:p>
    <w:p>
      <w:pPr>
        <w:ind w:firstLine="8"/>
        <w:spacing w:after="0" w:line="252" w:lineRule="auto"/>
        <w:tabs>
          <w:tab w:leader="none" w:pos="52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West for testing, validation, and/or commercial sales until West has the validated capacity to produce the [***] internally. Terms and conditions for supply of these components shall be consistent with currently existing practices and procedures associated with the supply of other [***] from Daikyo to West.</w:t>
      </w:r>
    </w:p>
    <w:p>
      <w:pPr>
        <w:sectPr>
          <w:pgSz w:w="11900" w:h="16838" w:orient="portrait"/>
          <w:cols w:equalWidth="0" w:num="1">
            <w:col w:w="11240"/>
          </w:cols>
          <w:pgMar w:left="320" w:top="1440" w:right="339" w:bottom="1440" w:gutter="0" w:footer="0" w:header="0"/>
        </w:sectPr>
      </w:pPr>
    </w:p>
    <w:bookmarkStart w:id="67" w:name="page68"/>
    <w:bookmarkEnd w:id="67"/>
    <w:p>
      <w:pPr>
        <w:ind w:left="1680" w:hanging="376"/>
        <w:spacing w:after="0"/>
        <w:tabs>
          <w:tab w:leader="none" w:pos="1680" w:val="left"/>
        </w:tabs>
        <w:numPr>
          <w:ilvl w:val="1"/>
          <w:numId w:val="28"/>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West personnel will make visits to Sano to review current [***] manufacturing processes and technology.</w:t>
      </w:r>
    </w:p>
    <w:p>
      <w:pPr>
        <w:spacing w:after="0" w:line="219" w:lineRule="exact"/>
        <w:rPr>
          <w:rFonts w:ascii="Times New Roman" w:cs="Times New Roman" w:eastAsia="Times New Roman" w:hAnsi="Times New Roman"/>
          <w:sz w:val="22"/>
          <w:szCs w:val="22"/>
          <w:color w:val="262626"/>
        </w:rPr>
      </w:pPr>
    </w:p>
    <w:p>
      <w:pPr>
        <w:ind w:firstLine="1304"/>
        <w:spacing w:after="0" w:line="271" w:lineRule="auto"/>
        <w:tabs>
          <w:tab w:leader="none" w:pos="1626" w:val="left"/>
        </w:tabs>
        <w:numPr>
          <w:ilvl w:val="1"/>
          <w:numId w:val="28"/>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Daikyo personnel will make visits to West’s Scottsdale, AZ facility for technology transfer and optimization of future West [***] manufacturing, assembly, and testing.</w:t>
      </w:r>
    </w:p>
    <w:p>
      <w:pPr>
        <w:spacing w:after="0" w:line="171" w:lineRule="exact"/>
        <w:rPr>
          <w:rFonts w:ascii="Times New Roman" w:cs="Times New Roman" w:eastAsia="Times New Roman" w:hAnsi="Times New Roman"/>
          <w:sz w:val="22"/>
          <w:szCs w:val="22"/>
          <w:color w:val="262626"/>
        </w:rPr>
      </w:pPr>
    </w:p>
    <w:p>
      <w:pPr>
        <w:ind w:right="120" w:firstLine="656"/>
        <w:spacing w:after="0" w:line="271" w:lineRule="auto"/>
        <w:tabs>
          <w:tab w:leader="none" w:pos="102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 accordance with Sections 2.01, 2.03 and 3.02 of the Agreement, Know-How to be transferred from, license to be granted by, and assistance to be provided by, West to Daikyo includes (without limitation):</w:t>
      </w:r>
    </w:p>
    <w:p>
      <w:pPr>
        <w:spacing w:after="0" w:line="157" w:lineRule="exact"/>
        <w:rPr>
          <w:rFonts w:ascii="Times New Roman" w:cs="Times New Roman" w:eastAsia="Times New Roman" w:hAnsi="Times New Roman"/>
          <w:sz w:val="22"/>
          <w:szCs w:val="22"/>
          <w:color w:val="auto"/>
        </w:rPr>
      </w:pPr>
    </w:p>
    <w:p>
      <w:pPr>
        <w:ind w:left="1500" w:hanging="196"/>
        <w:spacing w:after="0"/>
        <w:tabs>
          <w:tab w:leader="none" w:pos="150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Information regarding the [***] design, drawings, and specifications.</w:t>
      </w:r>
    </w:p>
    <w:p>
      <w:pPr>
        <w:spacing w:after="0" w:line="219"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1"/>
          <w:numId w:val="29"/>
        </w:numPr>
        <w:rPr>
          <w:rFonts w:ascii="Times New Roman" w:cs="Times New Roman" w:eastAsia="Times New Roman" w:hAnsi="Times New Roman"/>
          <w:sz w:val="21"/>
          <w:szCs w:val="21"/>
          <w:color w:val="262626"/>
        </w:rPr>
      </w:pPr>
      <w:r>
        <w:rPr>
          <w:rFonts w:ascii="Times New Roman" w:cs="Times New Roman" w:eastAsia="Times New Roman" w:hAnsi="Times New Roman"/>
          <w:sz w:val="22"/>
          <w:szCs w:val="22"/>
          <w:color w:val="auto"/>
        </w:rPr>
        <w:t>Parameters involving the [***] filling, sealing, sterilization, secondary packaging, and handling.</w:t>
      </w:r>
    </w:p>
    <w:p>
      <w:pPr>
        <w:spacing w:after="0" w:line="233" w:lineRule="exact"/>
        <w:rPr>
          <w:rFonts w:ascii="Times New Roman" w:cs="Times New Roman" w:eastAsia="Times New Roman" w:hAnsi="Times New Roman"/>
          <w:sz w:val="21"/>
          <w:szCs w:val="21"/>
          <w:color w:val="262626"/>
        </w:rPr>
      </w:pPr>
    </w:p>
    <w:p>
      <w:pPr>
        <w:ind w:left="1660" w:hanging="356"/>
        <w:spacing w:after="0"/>
        <w:tabs>
          <w:tab w:leader="none" w:pos="1660" w:val="left"/>
        </w:tabs>
        <w:numPr>
          <w:ilvl w:val="1"/>
          <w:numId w:val="29"/>
        </w:numPr>
        <w:rPr>
          <w:rFonts w:ascii="Times New Roman" w:cs="Times New Roman" w:eastAsia="Times New Roman" w:hAnsi="Times New Roman"/>
          <w:sz w:val="21"/>
          <w:szCs w:val="21"/>
          <w:color w:val="262626"/>
        </w:rPr>
      </w:pPr>
      <w:r>
        <w:rPr>
          <w:rFonts w:ascii="Times New Roman" w:cs="Times New Roman" w:eastAsia="Times New Roman" w:hAnsi="Times New Roman"/>
          <w:sz w:val="22"/>
          <w:szCs w:val="22"/>
          <w:color w:val="auto"/>
        </w:rPr>
        <w:t>Use-by-date testing and associated functionality, cleanliness, and compendia testing.</w:t>
      </w:r>
    </w:p>
    <w:p>
      <w:pPr>
        <w:spacing w:after="0" w:line="219" w:lineRule="exact"/>
        <w:rPr>
          <w:rFonts w:ascii="Times New Roman" w:cs="Times New Roman" w:eastAsia="Times New Roman" w:hAnsi="Times New Roman"/>
          <w:sz w:val="21"/>
          <w:szCs w:val="21"/>
          <w:color w:val="262626"/>
        </w:rPr>
      </w:pPr>
    </w:p>
    <w:p>
      <w:pPr>
        <w:ind w:left="1660" w:hanging="356"/>
        <w:spacing w:after="0"/>
        <w:tabs>
          <w:tab w:leader="none" w:pos="1660" w:val="left"/>
        </w:tabs>
        <w:numPr>
          <w:ilvl w:val="1"/>
          <w:numId w:val="29"/>
        </w:numPr>
        <w:rPr>
          <w:rFonts w:ascii="Times New Roman" w:cs="Times New Roman" w:eastAsia="Times New Roman" w:hAnsi="Times New Roman"/>
          <w:sz w:val="21"/>
          <w:szCs w:val="21"/>
          <w:color w:val="262626"/>
        </w:rPr>
      </w:pPr>
      <w:r>
        <w:rPr>
          <w:rFonts w:ascii="Times New Roman" w:cs="Times New Roman" w:eastAsia="Times New Roman" w:hAnsi="Times New Roman"/>
          <w:sz w:val="22"/>
          <w:szCs w:val="22"/>
          <w:color w:val="auto"/>
        </w:rPr>
        <w:t>Information regarding test methods relevant to the [***].</w:t>
      </w:r>
    </w:p>
    <w:p>
      <w:pPr>
        <w:spacing w:after="0" w:line="219" w:lineRule="exact"/>
        <w:rPr>
          <w:rFonts w:ascii="Times New Roman" w:cs="Times New Roman" w:eastAsia="Times New Roman" w:hAnsi="Times New Roman"/>
          <w:sz w:val="21"/>
          <w:szCs w:val="21"/>
          <w:color w:val="262626"/>
        </w:rPr>
      </w:pPr>
    </w:p>
    <w:p>
      <w:pPr>
        <w:ind w:left="1660" w:hanging="356"/>
        <w:spacing w:after="0"/>
        <w:tabs>
          <w:tab w:leader="none" w:pos="1660" w:val="left"/>
        </w:tabs>
        <w:numPr>
          <w:ilvl w:val="1"/>
          <w:numId w:val="29"/>
        </w:numPr>
        <w:rPr>
          <w:rFonts w:ascii="Times New Roman" w:cs="Times New Roman" w:eastAsia="Times New Roman" w:hAnsi="Times New Roman"/>
          <w:sz w:val="21"/>
          <w:szCs w:val="21"/>
          <w:color w:val="262626"/>
        </w:rPr>
      </w:pPr>
      <w:r>
        <w:rPr>
          <w:rFonts w:ascii="Times New Roman" w:cs="Times New Roman" w:eastAsia="Times New Roman" w:hAnsi="Times New Roman"/>
          <w:sz w:val="22"/>
          <w:szCs w:val="22"/>
          <w:color w:val="auto"/>
        </w:rPr>
        <w:t>Summaries of engineering test reports and validation documentation test reports.</w:t>
      </w:r>
    </w:p>
    <w:p>
      <w:pPr>
        <w:spacing w:after="0" w:line="233" w:lineRule="exact"/>
        <w:rPr>
          <w:rFonts w:ascii="Times New Roman" w:cs="Times New Roman" w:eastAsia="Times New Roman" w:hAnsi="Times New Roman"/>
          <w:sz w:val="21"/>
          <w:szCs w:val="21"/>
          <w:color w:val="262626"/>
        </w:rPr>
      </w:pPr>
    </w:p>
    <w:p>
      <w:pPr>
        <w:ind w:left="1640" w:hanging="336"/>
        <w:spacing w:after="0"/>
        <w:tabs>
          <w:tab w:leader="none" w:pos="16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 personnel will make a minimum of one visit to Sano to review [***] manufacturing processes and</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technology.</w:t>
      </w:r>
    </w:p>
    <w:p>
      <w:pPr>
        <w:spacing w:after="0" w:line="195" w:lineRule="exact"/>
        <w:rPr>
          <w:rFonts w:ascii="Times New Roman" w:cs="Times New Roman" w:eastAsia="Times New Roman" w:hAnsi="Times New Roman"/>
          <w:sz w:val="22"/>
          <w:szCs w:val="22"/>
          <w:color w:val="auto"/>
        </w:rPr>
      </w:pPr>
    </w:p>
    <w:p>
      <w:pPr>
        <w:ind w:right="180" w:firstLine="1304"/>
        <w:spacing w:after="0" w:line="271" w:lineRule="auto"/>
        <w:tabs>
          <w:tab w:leader="none" w:pos="167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Daikyo personnel may make visits to West’s Jersey Shore and/or Exton facilities for technology transfer and optimization of [***] assembly, processing, and testing.</w:t>
      </w:r>
    </w:p>
    <w:p>
      <w:pPr>
        <w:spacing w:after="0" w:line="157" w:lineRule="exact"/>
        <w:rPr>
          <w:rFonts w:ascii="Times New Roman" w:cs="Times New Roman" w:eastAsia="Times New Roman" w:hAnsi="Times New Roman"/>
          <w:sz w:val="22"/>
          <w:szCs w:val="22"/>
          <w:color w:val="auto"/>
        </w:rPr>
      </w:pPr>
    </w:p>
    <w:p>
      <w:pPr>
        <w:ind w:right="80" w:firstLine="656"/>
        <w:spacing w:after="0" w:line="263" w:lineRule="auto"/>
        <w:tabs>
          <w:tab w:leader="none" w:pos="102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In accordance with Section 2.03 of the Agreement, assistance to be provided by West to Daikyo includes the following regulatory support for Global commercialization as it relates to development efforts regarding current and future [***] that meet the definition of “device” in section 201(h) of the Federal Food, Drug, and Cosmetic Act (FD&amp;C Act):</w:t>
      </w:r>
    </w:p>
    <w:p>
      <w:pPr>
        <w:spacing w:after="0" w:line="167" w:lineRule="exact"/>
        <w:rPr>
          <w:rFonts w:ascii="Times New Roman" w:cs="Times New Roman" w:eastAsia="Times New Roman" w:hAnsi="Times New Roman"/>
          <w:sz w:val="22"/>
          <w:szCs w:val="22"/>
          <w:color w:val="auto"/>
        </w:rPr>
      </w:pPr>
    </w:p>
    <w:p>
      <w:pPr>
        <w:ind w:left="1660" w:hanging="356"/>
        <w:spacing w:after="0"/>
        <w:tabs>
          <w:tab w:leader="none" w:pos="166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in classification of the device and product code determination.</w:t>
      </w:r>
    </w:p>
    <w:p>
      <w:pPr>
        <w:spacing w:after="0" w:line="219" w:lineRule="exact"/>
        <w:rPr>
          <w:rFonts w:ascii="Times New Roman" w:cs="Times New Roman" w:eastAsia="Times New Roman" w:hAnsi="Times New Roman"/>
          <w:sz w:val="22"/>
          <w:szCs w:val="22"/>
          <w:color w:val="auto"/>
        </w:rPr>
      </w:pPr>
    </w:p>
    <w:p>
      <w:pPr>
        <w:ind w:right="700" w:firstLine="1304"/>
        <w:spacing w:after="0" w:line="271" w:lineRule="auto"/>
        <w:tabs>
          <w:tab w:leader="none" w:pos="1674" w:val="left"/>
        </w:tabs>
        <w:numPr>
          <w:ilvl w:val="1"/>
          <w:numId w:val="29"/>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Assistance in researching predicate devices for substantial equivalence determination in the premarket notification (510(k)).</w:t>
      </w:r>
    </w:p>
    <w:p>
      <w:pPr>
        <w:spacing w:after="0" w:line="171" w:lineRule="exact"/>
        <w:rPr>
          <w:rFonts w:ascii="Times New Roman" w:cs="Times New Roman" w:eastAsia="Times New Roman" w:hAnsi="Times New Roman"/>
          <w:sz w:val="22"/>
          <w:szCs w:val="22"/>
          <w:color w:val="262626"/>
        </w:rPr>
      </w:pPr>
    </w:p>
    <w:p>
      <w:pPr>
        <w:ind w:left="1660" w:hanging="356"/>
        <w:spacing w:after="0"/>
        <w:tabs>
          <w:tab w:leader="none" w:pos="1660" w:val="left"/>
        </w:tabs>
        <w:numPr>
          <w:ilvl w:val="1"/>
          <w:numId w:val="29"/>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Supplying a premarket notification template (510(k) template) which meets the requirements of 21CFR 807.</w:t>
      </w:r>
    </w:p>
    <w:p>
      <w:pPr>
        <w:spacing w:after="0" w:line="219" w:lineRule="exact"/>
        <w:rPr>
          <w:rFonts w:ascii="Times New Roman" w:cs="Times New Roman" w:eastAsia="Times New Roman" w:hAnsi="Times New Roman"/>
          <w:sz w:val="22"/>
          <w:szCs w:val="22"/>
          <w:color w:val="262626"/>
        </w:rPr>
      </w:pPr>
    </w:p>
    <w:p>
      <w:pPr>
        <w:ind w:left="1680" w:hanging="376"/>
        <w:spacing w:after="0"/>
        <w:tabs>
          <w:tab w:leader="none" w:pos="1680" w:val="left"/>
        </w:tabs>
        <w:numPr>
          <w:ilvl w:val="1"/>
          <w:numId w:val="29"/>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Review of the premarket notification submission.</w:t>
      </w:r>
    </w:p>
    <w:p>
      <w:pPr>
        <w:spacing w:after="0" w:line="219" w:lineRule="exact"/>
        <w:rPr>
          <w:rFonts w:ascii="Times New Roman" w:cs="Times New Roman" w:eastAsia="Times New Roman" w:hAnsi="Times New Roman"/>
          <w:sz w:val="22"/>
          <w:szCs w:val="22"/>
          <w:color w:val="262626"/>
        </w:rPr>
      </w:pPr>
    </w:p>
    <w:p>
      <w:pPr>
        <w:ind w:left="1660" w:hanging="356"/>
        <w:spacing w:after="0"/>
        <w:tabs>
          <w:tab w:leader="none" w:pos="1660" w:val="left"/>
        </w:tabs>
        <w:numPr>
          <w:ilvl w:val="1"/>
          <w:numId w:val="29"/>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Preparing the new required copy of the premarket notification 510(k) submission per Section 745A(a) of the</w:t>
      </w:r>
    </w:p>
    <w:p>
      <w:pPr>
        <w:spacing w:after="0" w:line="27" w:lineRule="exact"/>
        <w:rPr>
          <w:rFonts w:ascii="Times New Roman" w:cs="Times New Roman" w:eastAsia="Times New Roman" w:hAnsi="Times New Roman"/>
          <w:sz w:val="22"/>
          <w:szCs w:val="22"/>
          <w:color w:val="262626"/>
        </w:rPr>
      </w:pPr>
    </w:p>
    <w:p>
      <w:pPr>
        <w:spacing w:after="0"/>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FD&amp;C Act.</w:t>
      </w:r>
    </w:p>
    <w:p>
      <w:pPr>
        <w:sectPr>
          <w:pgSz w:w="11900" w:h="16838" w:orient="portrait"/>
          <w:cols w:equalWidth="0" w:num="1">
            <w:col w:w="11220"/>
          </w:cols>
          <w:pgMar w:left="320" w:top="1422" w:right="359" w:bottom="1440" w:gutter="0" w:footer="0" w:header="0"/>
        </w:sectPr>
      </w:pPr>
    </w:p>
    <w:bookmarkStart w:id="68" w:name="page69"/>
    <w:bookmarkEnd w:id="68"/>
    <w:p>
      <w:pPr>
        <w:ind w:left="-20" w:right="840" w:firstLine="1304"/>
        <w:spacing w:after="0" w:line="271" w:lineRule="auto"/>
        <w:tabs>
          <w:tab w:leader="none" w:pos="160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in preparation of the response to inquiries from the FDA in relation to the aforementioned premarket notification application.</w:t>
      </w:r>
    </w:p>
    <w:p>
      <w:pPr>
        <w:spacing w:after="0" w:line="157" w:lineRule="exact"/>
        <w:rPr>
          <w:rFonts w:ascii="Times New Roman" w:cs="Times New Roman" w:eastAsia="Times New Roman" w:hAnsi="Times New Roman"/>
          <w:sz w:val="22"/>
          <w:szCs w:val="22"/>
          <w:color w:val="auto"/>
        </w:rPr>
      </w:pPr>
    </w:p>
    <w:p>
      <w:pPr>
        <w:ind w:left="-20" w:right="60" w:firstLine="1304"/>
        <w:spacing w:after="0" w:line="284" w:lineRule="auto"/>
        <w:tabs>
          <w:tab w:leader="none" w:pos="149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Assistance in set and preparation of the automated establishment registration process and medical device listing in accordance with 21 CFR 807.</w:t>
      </w:r>
    </w:p>
    <w:p>
      <w:pPr>
        <w:spacing w:after="0" w:line="143" w:lineRule="exact"/>
        <w:rPr>
          <w:rFonts w:ascii="Times New Roman" w:cs="Times New Roman" w:eastAsia="Times New Roman" w:hAnsi="Times New Roman"/>
          <w:sz w:val="22"/>
          <w:szCs w:val="22"/>
          <w:color w:val="auto"/>
        </w:rPr>
      </w:pPr>
    </w:p>
    <w:p>
      <w:pPr>
        <w:ind w:left="1660" w:hanging="376"/>
        <w:spacing w:after="0"/>
        <w:tabs>
          <w:tab w:leader="none" w:pos="166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Initial training - current Good Manufacturing Practices (cGMP) for medical devices.</w:t>
      </w:r>
    </w:p>
    <w:p>
      <w:pPr>
        <w:spacing w:after="0" w:line="219" w:lineRule="exact"/>
        <w:rPr>
          <w:rFonts w:ascii="Times New Roman" w:cs="Times New Roman" w:eastAsia="Times New Roman" w:hAnsi="Times New Roman"/>
          <w:sz w:val="22"/>
          <w:szCs w:val="22"/>
          <w:color w:val="auto"/>
        </w:rPr>
      </w:pPr>
    </w:p>
    <w:p>
      <w:pPr>
        <w:ind w:left="640" w:right="20" w:firstLine="1292"/>
        <w:spacing w:after="0" w:line="271" w:lineRule="auto"/>
        <w:tabs>
          <w:tab w:leader="none" w:pos="2252" w:val="left"/>
        </w:tabs>
        <w:numPr>
          <w:ilvl w:val="3"/>
          <w:numId w:val="30"/>
        </w:numPr>
        <w:rPr>
          <w:rFonts w:ascii="Times New Roman" w:cs="Times New Roman" w:eastAsia="Times New Roman" w:hAnsi="Times New Roman"/>
          <w:sz w:val="21"/>
          <w:szCs w:val="21"/>
          <w:color w:val="262626"/>
        </w:rPr>
      </w:pPr>
      <w:r>
        <w:rPr>
          <w:rFonts w:ascii="Times New Roman" w:cs="Times New Roman" w:eastAsia="Times New Roman" w:hAnsi="Times New Roman"/>
          <w:sz w:val="22"/>
          <w:szCs w:val="22"/>
          <w:color w:val="auto"/>
        </w:rPr>
        <w:t>Training on required elements and required objective evidence of Daikyo’s quality management system per applicable compliance regulations, e.g. 21CFR820.</w:t>
      </w:r>
    </w:p>
    <w:p>
      <w:pPr>
        <w:spacing w:after="0" w:line="171" w:lineRule="exact"/>
        <w:rPr>
          <w:rFonts w:ascii="Times New Roman" w:cs="Times New Roman" w:eastAsia="Times New Roman" w:hAnsi="Times New Roman"/>
          <w:sz w:val="21"/>
          <w:szCs w:val="21"/>
          <w:color w:val="262626"/>
        </w:rPr>
      </w:pPr>
    </w:p>
    <w:p>
      <w:pPr>
        <w:ind w:left="2220" w:hanging="369"/>
        <w:spacing w:after="0"/>
        <w:tabs>
          <w:tab w:leader="none" w:pos="2220" w:val="left"/>
        </w:tabs>
        <w:numPr>
          <w:ilvl w:val="2"/>
          <w:numId w:val="30"/>
        </w:numPr>
        <w:rPr>
          <w:rFonts w:ascii="Times New Roman" w:cs="Times New Roman" w:eastAsia="Times New Roman" w:hAnsi="Times New Roman"/>
          <w:sz w:val="21"/>
          <w:szCs w:val="21"/>
          <w:color w:val="262626"/>
        </w:rPr>
      </w:pPr>
      <w:r>
        <w:rPr>
          <w:rFonts w:ascii="Times New Roman" w:cs="Times New Roman" w:eastAsia="Times New Roman" w:hAnsi="Times New Roman"/>
          <w:sz w:val="22"/>
          <w:szCs w:val="22"/>
          <w:color w:val="auto"/>
        </w:rPr>
        <w:t>Training on the content of a 510(k) submission.</w:t>
      </w:r>
    </w:p>
    <w:p>
      <w:pPr>
        <w:spacing w:after="0" w:line="219" w:lineRule="exact"/>
        <w:rPr>
          <w:rFonts w:ascii="Times New Roman" w:cs="Times New Roman" w:eastAsia="Times New Roman" w:hAnsi="Times New Roman"/>
          <w:sz w:val="21"/>
          <w:szCs w:val="21"/>
          <w:color w:val="262626"/>
        </w:rPr>
      </w:pPr>
    </w:p>
    <w:p>
      <w:pPr>
        <w:ind w:left="1620" w:hanging="336"/>
        <w:spacing w:after="0"/>
        <w:tabs>
          <w:tab w:leader="none" w:pos="1620" w:val="left"/>
        </w:tabs>
        <w:numPr>
          <w:ilvl w:val="1"/>
          <w:numId w:val="30"/>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Facilitate assisting completing the customer requirements for the product design input.</w:t>
      </w:r>
    </w:p>
    <w:p>
      <w:pPr>
        <w:spacing w:after="0" w:line="219" w:lineRule="exact"/>
        <w:rPr>
          <w:rFonts w:ascii="Times New Roman" w:cs="Times New Roman" w:eastAsia="Times New Roman" w:hAnsi="Times New Roman"/>
          <w:sz w:val="22"/>
          <w:szCs w:val="22"/>
          <w:color w:val="262626"/>
        </w:rPr>
      </w:pPr>
    </w:p>
    <w:p>
      <w:pPr>
        <w:ind w:left="-20" w:right="200" w:firstLine="1304"/>
        <w:spacing w:after="0" w:line="257" w:lineRule="auto"/>
        <w:tabs>
          <w:tab w:leader="none" w:pos="1822"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a compliant format and facilitate completion of Design and Development Plan, Risk Management Plan, and Device Inputs document per 21CFR 820.30: Facilitate the design reviews and creation of the design history file associated with the device.</w:t>
      </w:r>
    </w:p>
    <w:p>
      <w:pPr>
        <w:spacing w:after="0" w:line="186" w:lineRule="exact"/>
        <w:rPr>
          <w:rFonts w:ascii="Times New Roman" w:cs="Times New Roman" w:eastAsia="Times New Roman" w:hAnsi="Times New Roman"/>
          <w:sz w:val="22"/>
          <w:szCs w:val="22"/>
          <w:color w:val="auto"/>
        </w:rPr>
      </w:pPr>
    </w:p>
    <w:p>
      <w:pPr>
        <w:ind w:left="1620" w:hanging="336"/>
        <w:spacing w:after="0"/>
        <w:tabs>
          <w:tab w:leader="none" w:pos="1620" w:val="left"/>
        </w:tabs>
        <w:numPr>
          <w:ilvl w:val="1"/>
          <w:numId w:val="30"/>
        </w:numPr>
        <w:rPr>
          <w:rFonts w:ascii="Times New Roman" w:cs="Times New Roman" w:eastAsia="Times New Roman" w:hAnsi="Times New Roman"/>
          <w:sz w:val="19"/>
          <w:szCs w:val="19"/>
          <w:color w:val="262626"/>
        </w:rPr>
      </w:pPr>
      <w:r>
        <w:rPr>
          <w:rFonts w:ascii="Times New Roman" w:cs="Times New Roman" w:eastAsia="Times New Roman" w:hAnsi="Times New Roman"/>
          <w:sz w:val="22"/>
          <w:szCs w:val="22"/>
          <w:color w:val="auto"/>
        </w:rPr>
        <w:t>Assistance in preparing compliant procedures for:</w:t>
      </w:r>
    </w:p>
    <w:p>
      <w:pPr>
        <w:spacing w:after="0" w:line="219" w:lineRule="exact"/>
        <w:rPr>
          <w:rFonts w:ascii="Times New Roman" w:cs="Times New Roman" w:eastAsia="Times New Roman" w:hAnsi="Times New Roman"/>
          <w:sz w:val="19"/>
          <w:szCs w:val="19"/>
          <w:color w:val="262626"/>
        </w:rPr>
      </w:pPr>
    </w:p>
    <w:p>
      <w:pPr>
        <w:ind w:left="2260" w:hanging="328"/>
        <w:spacing w:after="0"/>
        <w:tabs>
          <w:tab w:leader="none" w:pos="2260" w:val="left"/>
        </w:tabs>
        <w:numPr>
          <w:ilvl w:val="3"/>
          <w:numId w:val="30"/>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Medical Device Reporting (MDR) (Adverse event reporting) – 21 CFR 803.</w:t>
      </w:r>
    </w:p>
    <w:p>
      <w:pPr>
        <w:spacing w:after="0" w:line="233" w:lineRule="exact"/>
        <w:rPr>
          <w:rFonts w:ascii="Times New Roman" w:cs="Times New Roman" w:eastAsia="Times New Roman" w:hAnsi="Times New Roman"/>
          <w:sz w:val="22"/>
          <w:szCs w:val="22"/>
          <w:color w:val="262626"/>
        </w:rPr>
      </w:pPr>
    </w:p>
    <w:p>
      <w:pPr>
        <w:ind w:left="2320" w:hanging="388"/>
        <w:spacing w:after="0"/>
        <w:tabs>
          <w:tab w:leader="none" w:pos="2320" w:val="left"/>
        </w:tabs>
        <w:numPr>
          <w:ilvl w:val="3"/>
          <w:numId w:val="30"/>
        </w:numPr>
        <w:rPr>
          <w:rFonts w:ascii="Times New Roman" w:cs="Times New Roman" w:eastAsia="Times New Roman" w:hAnsi="Times New Roman"/>
          <w:sz w:val="22"/>
          <w:szCs w:val="22"/>
          <w:color w:val="262626"/>
        </w:rPr>
      </w:pPr>
      <w:r>
        <w:rPr>
          <w:rFonts w:ascii="Times New Roman" w:cs="Times New Roman" w:eastAsia="Times New Roman" w:hAnsi="Times New Roman"/>
          <w:sz w:val="22"/>
          <w:szCs w:val="22"/>
          <w:color w:val="auto"/>
        </w:rPr>
        <w:t>Product Recalls, Including Removals and Corrections – 21 CFR 7.</w:t>
      </w:r>
    </w:p>
    <w:p>
      <w:pPr>
        <w:spacing w:after="0" w:line="219" w:lineRule="exact"/>
        <w:rPr>
          <w:rFonts w:ascii="Times New Roman" w:cs="Times New Roman" w:eastAsia="Times New Roman" w:hAnsi="Times New Roman"/>
          <w:sz w:val="22"/>
          <w:szCs w:val="22"/>
          <w:color w:val="262626"/>
        </w:rPr>
      </w:pPr>
    </w:p>
    <w:p>
      <w:pPr>
        <w:ind w:left="-20" w:firstLine="656"/>
        <w:spacing w:after="0" w:line="250" w:lineRule="auto"/>
        <w:tabs>
          <w:tab w:leader="none" w:pos="99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Activities under this Addendum are to be performed by the parties for no additional consideration beyond that already provided under the Agreement. For the sake of clarity, notwithstanding the foregoing, with regard to future sales of [***] by West, [***] shall be paid to Daikyo under the Agreement, including in connection with its use of [***] for the [***] technology, except in the event of a Significant Technological Improvement. West shall only be responsible for paying Daikyo the then-agreed [***] for such products or components provided by Daikyo in connection therewith. With regard to the transfer of information relating to [***], [***] shall be paid to West under the Agreement. Daikyo shall only be responsible for paying West (or such third party directed by West) the then-agreed [***] for such [***].</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End.</w:t>
      </w:r>
    </w:p>
    <w:p>
      <w:pPr>
        <w:sectPr>
          <w:pgSz w:w="11900" w:h="16838" w:orient="portrait"/>
          <w:cols w:equalWidth="0" w:num="1">
            <w:col w:w="11200"/>
          </w:cols>
          <w:pgMar w:left="340" w:top="1422" w:right="359" w:bottom="1440" w:gutter="0" w:footer="0" w:header="0"/>
        </w:sectPr>
      </w:pPr>
    </w:p>
    <w:bookmarkStart w:id="69" w:name="page70"/>
    <w:bookmarkEnd w:id="69"/>
    <w:p>
      <w:pPr>
        <w:ind w:left="10120"/>
        <w:spacing w:after="0"/>
        <w:rPr>
          <w:sz w:val="20"/>
          <w:szCs w:val="20"/>
          <w:color w:val="auto"/>
        </w:rPr>
      </w:pPr>
      <w:r>
        <w:rPr>
          <w:rFonts w:ascii="Times New Roman" w:cs="Times New Roman" w:eastAsia="Times New Roman" w:hAnsi="Times New Roman"/>
          <w:sz w:val="21"/>
          <w:szCs w:val="21"/>
          <w:b w:val="1"/>
          <w:bCs w:val="1"/>
          <w:color w:val="auto"/>
        </w:rPr>
        <w:t>Exhibit 10.2</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b w:val="1"/>
          <w:bCs w:val="1"/>
          <w:color w:val="auto"/>
        </w:rPr>
        <w:t>Certain identified information has been excluded from this exhibit pursuant to Item 601(b)(10)(iv) of Regulation S-K because the Registrant customarily and actually treats that information as private or confidential and the omitted information is not material. Information that was omitted has been noted in this document with a placeholder identified by the mark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DISTRIBUTORSHIP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(West as Distributor)</w:t>
      </w:r>
    </w:p>
    <w:p>
      <w:pPr>
        <w:spacing w:after="0" w:line="19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color w:val="auto"/>
        </w:rPr>
        <w:t>THIS DISTRIBUTORSHIP AGREEMENT (the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made and entered into this 14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July, 2026, between DAIKYO SEIKO, LTD., a corporation organized under the laws of Japan, having a place of business at 1305-1, Kurohakama-Cho, Sano-Shi, Tochigi, 327-0813, Japan (hereinafter referred to as “</w:t>
      </w:r>
      <w:r>
        <w:rPr>
          <w:rFonts w:ascii="Times New Roman" w:cs="Times New Roman" w:eastAsia="Times New Roman" w:hAnsi="Times New Roman"/>
          <w:sz w:val="21"/>
          <w:szCs w:val="21"/>
          <w:u w:val="single" w:color="auto"/>
          <w:color w:val="auto"/>
        </w:rPr>
        <w:t>Daikyo</w:t>
      </w:r>
      <w:r>
        <w:rPr>
          <w:rFonts w:ascii="Times New Roman" w:cs="Times New Roman" w:eastAsia="Times New Roman" w:hAnsi="Times New Roman"/>
          <w:sz w:val="21"/>
          <w:szCs w:val="21"/>
          <w:color w:val="auto"/>
        </w:rPr>
        <w:t>”), and WEST PHARMACEUTICAL SERVICES, INC., a corporation organized under the laws of the Commonwealth of Pennsylvania, U.S.A., having a place of business at 530 Herman O. West Drive, Exton, Pennsylvania 19341 (hereinafter referred to as “</w:t>
      </w:r>
      <w:r>
        <w:rPr>
          <w:rFonts w:ascii="Times New Roman" w:cs="Times New Roman" w:eastAsia="Times New Roman" w:hAnsi="Times New Roman"/>
          <w:sz w:val="21"/>
          <w:szCs w:val="21"/>
          <w:u w:val="single" w:color="auto"/>
          <w:color w:val="auto"/>
        </w:rPr>
        <w:t>Distributor</w:t>
      </w:r>
      <w:r>
        <w:rPr>
          <w:rFonts w:ascii="Times New Roman" w:cs="Times New Roman" w:eastAsia="Times New Roman" w:hAnsi="Times New Roman"/>
          <w:sz w:val="21"/>
          <w:szCs w:val="21"/>
          <w:color w:val="auto"/>
        </w:rPr>
        <w: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Distributor has requested the right to distribute the Products (defined below) within the Territory (defined below). Daikyo and Distributor have determined that it is to their mutual benefit to have Distributor agree to sell the Products in the Territory under the terms set forth in this Agreement. </w:t>
      </w:r>
      <w:r>
        <w:rPr>
          <w:rFonts w:ascii="Times New Roman" w:cs="Times New Roman" w:eastAsia="Times New Roman" w:hAnsi="Times New Roman"/>
          <w:sz w:val="22"/>
          <w:szCs w:val="22"/>
          <w:color w:val="2B2B2D"/>
        </w:rPr>
        <w:t>This Agreement supersedes (i) that certain Distributorship Agreement between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B2B2D"/>
        </w:rPr>
        <w:t>parties dated as of January 18, 2017 (wherein West Pharmaceutical Services, Inc. is the Distributor (as defined therein)), (ii) that certain Amendment Agreement between the parties dated as of October 15, 2019 and (iii) the sections titled “Services under Distributorship Agreement” and “Daikyo Address for Notices” under that certain Letter Agreement between the parties dated as of July 2, 2018.</w:t>
      </w:r>
    </w:p>
    <w:p>
      <w:pPr>
        <w:spacing w:after="0" w:line="17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Terms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Intending to be legally bound, the parties agree as follows:</w:t>
      </w:r>
    </w:p>
    <w:p>
      <w:pPr>
        <w:spacing w:after="0" w:line="18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4400"/>
        <w:spacing w:after="0"/>
        <w:rPr>
          <w:sz w:val="20"/>
          <w:szCs w:val="20"/>
          <w:color w:val="auto"/>
        </w:rPr>
      </w:pPr>
      <w:r>
        <w:rPr>
          <w:rFonts w:ascii="Times New Roman" w:cs="Times New Roman" w:eastAsia="Times New Roman" w:hAnsi="Times New Roman"/>
          <w:sz w:val="22"/>
          <w:szCs w:val="22"/>
          <w:b w:val="1"/>
          <w:bCs w:val="1"/>
          <w:color w:val="auto"/>
        </w:rPr>
        <w:t>CERTAIN DEFINITIONS</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Terms defined in this Article 1 and elsewhere in this Agreement will throughout this Agreement have the meanings here or there provided. Defined terms may be used in the singular or in the plural, as sense shall require.</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when, in connection with or as the direct or indirect result of any acquisition or sale of any asset or capital stock of Daikyo or Distributor, as the case may be, whether or not approved by that company's board of directors or its shareholders, any entity or person either alone or acting in concert with others acquires shares of the company’s stock and such acquisition results in that entity or person either alone or acting in concert with others directly or indirectly owning beneficially 51% or more of the company’s outstanding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22" w:right="33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means the closures, vials, cartridges, syringes</w:t>
      </w:r>
      <w:r>
        <w:rPr>
          <w:rFonts w:ascii="Times New Roman" w:cs="Times New Roman" w:eastAsia="Times New Roman" w:hAnsi="Times New Roman"/>
          <w:sz w:val="22"/>
          <w:szCs w:val="22"/>
          <w:color w:val="525454"/>
        </w:rPr>
        <w:t>,</w:t>
      </w:r>
      <w:r>
        <w:rPr>
          <w:rFonts w:ascii="Times New Roman" w:cs="Times New Roman" w:eastAsia="Times New Roman" w:hAnsi="Times New Roman"/>
          <w:sz w:val="22"/>
          <w:szCs w:val="22"/>
          <w:color w:val="auto"/>
        </w:rPr>
        <w:t xml:space="preserve"> medical device components, and similar products used in connection with the packaging, delivery, administration or dispensing of pharmaceutical products, along with materials for making the same, manufactured or sold by Daikyo or its subsidiaries.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82828"/>
        </w:rPr>
        <w:t>“</w:t>
      </w:r>
      <w:r>
        <w:rPr>
          <w:rFonts w:ascii="Times New Roman" w:cs="Times New Roman" w:eastAsia="Times New Roman" w:hAnsi="Times New Roman"/>
          <w:sz w:val="22"/>
          <w:szCs w:val="22"/>
          <w:u w:val="single" w:color="auto"/>
          <w:color w:val="282828"/>
        </w:rPr>
        <w:t>Territory</w:t>
      </w:r>
      <w:r>
        <w:rPr>
          <w:rFonts w:ascii="Times New Roman" w:cs="Times New Roman" w:eastAsia="Times New Roman" w:hAnsi="Times New Roman"/>
          <w:sz w:val="22"/>
          <w:szCs w:val="22"/>
          <w:color w:val="282828"/>
        </w:rPr>
        <w:t xml:space="preserve">” means all countries in the world, exclusive of </w:t>
      </w:r>
      <w:r>
        <w:rPr>
          <w:rFonts w:ascii="Times New Roman" w:cs="Times New Roman" w:eastAsia="Times New Roman" w:hAnsi="Times New Roman"/>
          <w:sz w:val="22"/>
          <w:szCs w:val="22"/>
          <w:color w:val="000000"/>
        </w:rPr>
        <w:t>Japan.</w:t>
      </w:r>
    </w:p>
    <w:p>
      <w:pPr>
        <w:spacing w:after="0" w:line="1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2</w:t>
      </w:r>
    </w:p>
    <w:p>
      <w:pPr>
        <w:jc w:val="center"/>
        <w:spacing w:after="0"/>
        <w:rPr>
          <w:sz w:val="20"/>
          <w:szCs w:val="20"/>
          <w:color w:val="auto"/>
        </w:rPr>
      </w:pPr>
      <w:r>
        <w:rPr>
          <w:rFonts w:ascii="Times New Roman" w:cs="Times New Roman" w:eastAsia="Times New Roman" w:hAnsi="Times New Roman"/>
          <w:sz w:val="22"/>
          <w:szCs w:val="22"/>
          <w:b w:val="1"/>
          <w:bCs w:val="1"/>
          <w:color w:val="auto"/>
        </w:rPr>
        <w:t xml:space="preserve">APPOINTMENT </w:t>
      </w:r>
      <w:r>
        <w:rPr>
          <w:rFonts w:ascii="Times New Roman" w:cs="Times New Roman" w:eastAsia="Times New Roman" w:hAnsi="Times New Roman"/>
          <w:sz w:val="22"/>
          <w:szCs w:val="22"/>
          <w:b w:val="1"/>
          <w:bCs w:val="1"/>
          <w:color w:val="282828"/>
        </w:rPr>
        <w:t>AND DUTIES OF</w:t>
      </w:r>
      <w:r>
        <w:rPr>
          <w:rFonts w:ascii="Times New Roman" w:cs="Times New Roman" w:eastAsia="Times New Roman" w:hAnsi="Times New Roman"/>
          <w:sz w:val="22"/>
          <w:szCs w:val="22"/>
          <w:b w:val="1"/>
          <w:bCs w:val="1"/>
          <w:color w:val="auto"/>
        </w:rPr>
        <w:t xml:space="preserve"> DISTRIBUTOR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color w:val="auto"/>
        </w:rPr>
        <w:t xml:space="preserve">Appointment </w:t>
      </w:r>
      <w:r>
        <w:rPr>
          <w:rFonts w:ascii="Times New Roman" w:cs="Times New Roman" w:eastAsia="Times New Roman" w:hAnsi="Times New Roman"/>
          <w:sz w:val="21"/>
          <w:szCs w:val="21"/>
          <w:color w:val="3D3D3D"/>
        </w:rPr>
        <w:t>and</w:t>
      </w:r>
      <w:r>
        <w:rPr>
          <w:rFonts w:ascii="Times New Roman" w:cs="Times New Roman" w:eastAsia="Times New Roman" w:hAnsi="Times New Roman"/>
          <w:sz w:val="21"/>
          <w:szCs w:val="21"/>
          <w:color w:val="auto"/>
        </w:rPr>
        <w:t xml:space="preserve"> Duties.</w:t>
      </w:r>
    </w:p>
    <w:p>
      <w:pPr>
        <w:spacing w:after="0" w:line="179" w:lineRule="exact"/>
        <w:rPr>
          <w:sz w:val="20"/>
          <w:szCs w:val="20"/>
          <w:color w:val="auto"/>
        </w:rPr>
      </w:pPr>
    </w:p>
    <w:p>
      <w:pPr>
        <w:jc w:val="both"/>
        <w:ind w:firstLine="1304"/>
        <w:spacing w:after="0" w:line="217" w:lineRule="auto"/>
        <w:tabs>
          <w:tab w:leader="none" w:pos="1941" w:val="left"/>
        </w:tabs>
        <w:numPr>
          <w:ilvl w:val="0"/>
          <w:numId w:val="32"/>
        </w:numPr>
        <w:rPr>
          <w:rFonts w:ascii="Times New Roman" w:cs="Times New Roman" w:eastAsia="Times New Roman" w:hAnsi="Times New Roman"/>
          <w:sz w:val="22"/>
          <w:szCs w:val="22"/>
          <w:color w:val="0F0F0F"/>
        </w:rPr>
      </w:pPr>
      <w:r>
        <w:rPr>
          <w:rFonts w:ascii="Times New Roman" w:cs="Times New Roman" w:eastAsia="Times New Roman" w:hAnsi="Times New Roman"/>
          <w:sz w:val="22"/>
          <w:szCs w:val="22"/>
          <w:color w:val="282828"/>
        </w:rPr>
        <w:t xml:space="preserve">Daikyo </w:t>
      </w:r>
      <w:r>
        <w:rPr>
          <w:rFonts w:ascii="Times New Roman" w:cs="Times New Roman" w:eastAsia="Times New Roman" w:hAnsi="Times New Roman"/>
          <w:sz w:val="22"/>
          <w:szCs w:val="22"/>
          <w:color w:val="000000"/>
        </w:rPr>
        <w:t>appoints Distributor as its exclusive distributor for the Products within the Territory, and</w:t>
      </w:r>
      <w:r>
        <w:rPr>
          <w:rFonts w:ascii="Times New Roman" w:cs="Times New Roman" w:eastAsia="Times New Roman" w:hAnsi="Times New Roman"/>
          <w:sz w:val="22"/>
          <w:szCs w:val="22"/>
          <w:color w:val="282828"/>
        </w:rPr>
        <w:t xml:space="preserve"> </w:t>
      </w:r>
      <w:r>
        <w:rPr>
          <w:rFonts w:ascii="Times New Roman" w:cs="Times New Roman" w:eastAsia="Times New Roman" w:hAnsi="Times New Roman"/>
          <w:sz w:val="22"/>
          <w:szCs w:val="22"/>
          <w:color w:val="000000"/>
        </w:rPr>
        <w:t>Distributor accepts such appointment. Daikyo reserves the right to market, distribute and sell Products directly to customers only in Japan, provided however, that such Products shall not be sold to use in contract manufacturing organizations outside of Japan. Daikyo agrees that the exclusivity rights granted to Distributor in this Section 2.01 shall be exclusive outside of Japan, subject only to the following:</w:t>
      </w:r>
    </w:p>
    <w:p>
      <w:pPr>
        <w:spacing w:after="0" w:line="152" w:lineRule="exact"/>
        <w:rPr>
          <w:rFonts w:ascii="Times New Roman" w:cs="Times New Roman" w:eastAsia="Times New Roman" w:hAnsi="Times New Roman"/>
          <w:sz w:val="22"/>
          <w:szCs w:val="22"/>
          <w:color w:val="0F0F0F"/>
        </w:rPr>
      </w:pPr>
    </w:p>
    <w:p>
      <w:pPr>
        <w:jc w:val="both"/>
        <w:ind w:right="20" w:firstLine="1952"/>
        <w:spacing w:after="0" w:line="225" w:lineRule="auto"/>
        <w:tabs>
          <w:tab w:leader="none" w:pos="2580" w:val="left"/>
        </w:tabs>
        <w:numPr>
          <w:ilvl w:val="1"/>
          <w:numId w:val="32"/>
        </w:numPr>
        <w:rPr>
          <w:rFonts w:ascii="Times New Roman" w:cs="Times New Roman" w:eastAsia="Times New Roman" w:hAnsi="Times New Roman"/>
          <w:sz w:val="22"/>
          <w:szCs w:val="22"/>
          <w:color w:val="0F0F0F"/>
        </w:rPr>
      </w:pPr>
      <w:r>
        <w:rPr>
          <w:rFonts w:ascii="Times New Roman" w:cs="Times New Roman" w:eastAsia="Times New Roman" w:hAnsi="Times New Roman"/>
          <w:sz w:val="22"/>
          <w:szCs w:val="22"/>
          <w:color w:val="auto"/>
        </w:rPr>
        <w:t>Daikyo shall be entitled to continue to maintain its direct sales business with the following named customers: [***] ([***]), [***] ([***]) and its subsidiaries [***] ([***]), [***] ([***]) and [***] ([***]) , and [***] ([***]) and its subsidiaries [***] ([***]) and [***] ([***]); and</w:t>
      </w:r>
    </w:p>
    <w:p>
      <w:pPr>
        <w:spacing w:after="0" w:line="152" w:lineRule="exact"/>
        <w:rPr>
          <w:rFonts w:ascii="Times New Roman" w:cs="Times New Roman" w:eastAsia="Times New Roman" w:hAnsi="Times New Roman"/>
          <w:sz w:val="22"/>
          <w:szCs w:val="22"/>
          <w:color w:val="0F0F0F"/>
        </w:rPr>
      </w:pPr>
    </w:p>
    <w:p>
      <w:pPr>
        <w:ind w:firstLine="1952"/>
        <w:spacing w:after="0" w:line="236" w:lineRule="auto"/>
        <w:tabs>
          <w:tab w:leader="none" w:pos="2586" w:val="left"/>
        </w:tabs>
        <w:numPr>
          <w:ilvl w:val="1"/>
          <w:numId w:val="32"/>
        </w:numPr>
        <w:rPr>
          <w:rFonts w:ascii="Times New Roman" w:cs="Times New Roman" w:eastAsia="Times New Roman" w:hAnsi="Times New Roman"/>
          <w:sz w:val="22"/>
          <w:szCs w:val="22"/>
          <w:color w:val="0F0F0F"/>
        </w:rPr>
      </w:pPr>
      <w:r>
        <w:rPr>
          <w:rFonts w:ascii="Times New Roman" w:cs="Times New Roman" w:eastAsia="Times New Roman" w:hAnsi="Times New Roman"/>
          <w:sz w:val="22"/>
          <w:szCs w:val="22"/>
          <w:color w:val="auto"/>
        </w:rPr>
        <w:t>after discussion and agreement, Distributor and Daikyo determine it is necessary for Daikyo to sell directly to ensure there is no interruption to a customer’s supply chain.</w:t>
      </w:r>
    </w:p>
    <w:p>
      <w:pPr>
        <w:spacing w:after="0" w:line="150" w:lineRule="exact"/>
        <w:rPr>
          <w:rFonts w:ascii="Times New Roman" w:cs="Times New Roman" w:eastAsia="Times New Roman" w:hAnsi="Times New Roman"/>
          <w:sz w:val="22"/>
          <w:szCs w:val="22"/>
          <w:color w:val="0F0F0F"/>
        </w:rPr>
      </w:pPr>
    </w:p>
    <w:p>
      <w:pPr>
        <w:ind w:left="1940" w:hanging="636"/>
        <w:spacing w:after="0"/>
        <w:tabs>
          <w:tab w:leader="none" w:pos="19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term of this Agreement Distributor will, at its own expense:</w:t>
      </w:r>
    </w:p>
    <w:p>
      <w:pPr>
        <w:spacing w:after="0" w:line="166"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promote and develop the sales of the Products within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Territory;</w:t>
      </w:r>
    </w:p>
    <w:p>
      <w:pPr>
        <w:spacing w:after="0" w:line="142"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inventories of the Products at levels agreed upon from time to time by Daikyo 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sales offices in all reasonable locations;</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at all times it employs a sufficient number of qualified sales, technical and other personnel to perform its obligations under this Agreement;</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 to Daikyo at least quarterly a written report which (i) indicates sales of the Products made by Distributor during the previous quarter (including customer’s name, Product number, description, quantity and price), and (ii) describes sales progress, marketing conditions, customer responses concerning the Products and activities of competitors within the Territory;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80" w:hanging="628"/>
        <w:spacing w:after="0"/>
        <w:tabs>
          <w:tab w:leader="none" w:pos="25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advise Daikyo of the details of any complaints received from customers and others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relating to the Products;</w:t>
      </w:r>
    </w:p>
    <w:p>
      <w:pPr>
        <w:spacing w:after="0" w:line="155" w:lineRule="exact"/>
        <w:rPr>
          <w:rFonts w:ascii="Times New Roman" w:cs="Times New Roman" w:eastAsia="Times New Roman" w:hAnsi="Times New Roman"/>
          <w:sz w:val="22"/>
          <w:szCs w:val="22"/>
          <w:color w:val="auto"/>
        </w:rPr>
      </w:pPr>
    </w:p>
    <w:p>
      <w:pPr>
        <w:ind w:right="20" w:firstLine="1952"/>
        <w:spacing w:after="0" w:line="236" w:lineRule="auto"/>
        <w:tabs>
          <w:tab w:leader="none" w:pos="258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advise Daikyo if Distributor has knowledge of the commencement or threat of any suit based on any claimed defect in any of the Products;</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good business practices and with all laws, regulations, rulings and requirements of all governmental authorities having jurisdiction over the subject matter of this Agreement;</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handle and store the Products in a proper, adequate and reasonable manner designed to maintain them in marketable condition; and</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applicable law with respect to the importation, manufacture, warehousing, transportation, marketing, sale or distribution of any of the Products in the relevant country in the Territory, and only at the request of Daikyo, Distributor shall obtain licenses, registration and all other required government or non-government authorities. Distributor shall obtain the same in the name of Daikyo where possible.</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3</w:t>
      </w:r>
    </w:p>
    <w:p>
      <w:pPr>
        <w:ind w:left="3640"/>
        <w:spacing w:after="0"/>
        <w:rPr>
          <w:sz w:val="20"/>
          <w:szCs w:val="20"/>
          <w:color w:val="auto"/>
        </w:rPr>
      </w:pPr>
      <w:r>
        <w:rPr>
          <w:rFonts w:ascii="Times New Roman" w:cs="Times New Roman" w:eastAsia="Times New Roman" w:hAnsi="Times New Roman"/>
          <w:sz w:val="22"/>
          <w:szCs w:val="22"/>
          <w:b w:val="1"/>
          <w:bCs w:val="1"/>
          <w:color w:val="auto"/>
        </w:rPr>
        <w:t>PROMOTION: PROPRIETARY RIGHTS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Promotional Materials</w:t>
      </w:r>
      <w:r>
        <w:rPr>
          <w:rFonts w:ascii="Times New Roman" w:cs="Times New Roman" w:eastAsia="Times New Roman" w:hAnsi="Times New Roman"/>
          <w:sz w:val="22"/>
          <w:szCs w:val="22"/>
          <w:color w:val="auto"/>
        </w:rPr>
        <w:t>. Upon request, Daikyo will provide to Distributor, at no charge, (a) reasonable quantities of sales and use literature, brochures and other promotional materials in the English language and samples of the Products, and (b) such additional sales assistance as Distributor may otherwise reasonably request. Distributor will be responsible, at its own expense, for translation of promotional materials into the languages employed in the Territory.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No Modifications: Markings</w:t>
      </w:r>
      <w:r>
        <w:rPr>
          <w:rFonts w:ascii="Times New Roman" w:cs="Times New Roman" w:eastAsia="Times New Roman" w:hAnsi="Times New Roman"/>
          <w:sz w:val="22"/>
          <w:szCs w:val="22"/>
          <w:color w:val="auto"/>
        </w:rPr>
        <w:t>. Distributor will not make any modifications to the Products or their packaging without Daikyo’s written consent. All Products sold by Distributor to its customers pursuant to this Agreement must bear all original markings, including the trademarks, logos, brand names</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auto"/>
        </w:rPr>
        <w:t xml:space="preserve"> trade names and other designations (the “</w:t>
      </w:r>
      <w:r>
        <w:rPr>
          <w:rFonts w:ascii="Times New Roman" w:cs="Times New Roman" w:eastAsia="Times New Roman" w:hAnsi="Times New Roman"/>
          <w:sz w:val="22"/>
          <w:szCs w:val="22"/>
          <w:u w:val="single" w:color="auto"/>
          <w:color w:val="auto"/>
        </w:rPr>
        <w:t>Marks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auto"/>
        </w:rPr>
        <w:t xml:space="preserve"> placed on them by Daikyo at the time of delivery to Distributor, unless written consent to use other markings is obtained from Daikyo.</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1"/>
          <w:szCs w:val="21"/>
          <w:color w:val="auto"/>
        </w:rPr>
        <w:t xml:space="preserve">3.03 </w:t>
      </w:r>
      <w:r>
        <w:rPr>
          <w:rFonts w:ascii="Times New Roman" w:cs="Times New Roman" w:eastAsia="Times New Roman" w:hAnsi="Times New Roman"/>
          <w:sz w:val="21"/>
          <w:szCs w:val="21"/>
          <w:u w:val="single" w:color="auto"/>
          <w:color w:val="auto"/>
        </w:rPr>
        <w:t>Ownership of Rights</w:t>
      </w:r>
      <w:r>
        <w:rPr>
          <w:rFonts w:ascii="Times New Roman" w:cs="Times New Roman" w:eastAsia="Times New Roman" w:hAnsi="Times New Roman"/>
          <w:sz w:val="21"/>
          <w:szCs w:val="21"/>
          <w:color w:val="auto"/>
        </w:rPr>
        <w:t xml:space="preserve">. Distributor declares and recognizes that all patents, know-how, trademarks, service marks, trade names, copyrights and other industrial and intellectual property rights relating to the Products (including without limitation all rights to the Marks) and the goodwill associated therewith belong exclusively to Daikyo. Distributor has </w:t>
      </w:r>
      <w:r>
        <w:rPr>
          <w:rFonts w:ascii="Times New Roman" w:cs="Times New Roman" w:eastAsia="Times New Roman" w:hAnsi="Times New Roman"/>
          <w:sz w:val="21"/>
          <w:szCs w:val="21"/>
          <w:color w:val="3D3D3D"/>
        </w:rPr>
        <w:t>no</w:t>
      </w:r>
      <w:r>
        <w:rPr>
          <w:rFonts w:ascii="Times New Roman" w:cs="Times New Roman" w:eastAsia="Times New Roman" w:hAnsi="Times New Roman"/>
          <w:sz w:val="21"/>
          <w:szCs w:val="21"/>
          <w:color w:val="auto"/>
        </w:rPr>
        <w:t xml:space="preserve"> right to use, exploit, transfer or sublicense any such industrial or intellectual property rights. Distributor will promptly advise Daikyo of any known or threatened infringement of Daikyo’s proprietary rights and support Daikyo (at Daikyo’s request and expense) in securing and protecting patents, trademarks, service marks, trade and service names, license rights and other proprietary rights.</w:t>
      </w:r>
    </w:p>
    <w:p>
      <w:pPr>
        <w:spacing w:after="0" w:line="1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3.04 </w:t>
      </w:r>
      <w:r>
        <w:rPr>
          <w:rFonts w:ascii="Times New Roman" w:cs="Times New Roman" w:eastAsia="Times New Roman" w:hAnsi="Times New Roman"/>
          <w:sz w:val="22"/>
          <w:szCs w:val="22"/>
          <w:u w:val="single" w:color="auto"/>
          <w:color w:val="auto"/>
        </w:rPr>
        <w:t>Grant of License to Use Marks</w:t>
      </w:r>
      <w:r>
        <w:rPr>
          <w:rFonts w:ascii="Times New Roman" w:cs="Times New Roman" w:eastAsia="Times New Roman" w:hAnsi="Times New Roman"/>
          <w:sz w:val="22"/>
          <w:szCs w:val="22"/>
          <w:color w:val="auto"/>
        </w:rPr>
        <w:t>. Daikyo grants to Distributor a non-transferable, royalty-free license, with right of sublicense</w:t>
      </w:r>
      <w:r>
        <w:rPr>
          <w:rFonts w:ascii="Times New Roman" w:cs="Times New Roman" w:eastAsia="Times New Roman" w:hAnsi="Times New Roman"/>
          <w:sz w:val="22"/>
          <w:szCs w:val="22"/>
          <w:color w:val="545454"/>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D3D3D"/>
        </w:rPr>
        <w:t>to</w:t>
      </w:r>
      <w:r>
        <w:rPr>
          <w:rFonts w:ascii="Times New Roman" w:cs="Times New Roman" w:eastAsia="Times New Roman" w:hAnsi="Times New Roman"/>
          <w:sz w:val="22"/>
          <w:szCs w:val="22"/>
          <w:color w:val="auto"/>
        </w:rPr>
        <w:t xml:space="preserve"> use and display the Marks listed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1"/>
          <w:szCs w:val="21"/>
          <w:color w:val="auto"/>
        </w:rPr>
        <w:t>connection with the promotion and sale of the Products within the Territory. Exhibit A may be supplemented from time to time by Daikyo. Daikyo represents that it either owns or otherwise has the right to license such use of the Marks to Distributor. Daikyo shall indemnify and defend Distributor from all liabilities, losses and costs (including without limitation attorneys’ fees) arising in connection with any claim that Distributor’s use of the Marks infringes any trademark or other right of any third party.</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4320"/>
        <w:spacing w:after="0"/>
        <w:rPr>
          <w:sz w:val="20"/>
          <w:szCs w:val="20"/>
          <w:color w:val="auto"/>
        </w:rPr>
      </w:pPr>
      <w:r>
        <w:rPr>
          <w:rFonts w:ascii="Times New Roman" w:cs="Times New Roman" w:eastAsia="Times New Roman" w:hAnsi="Times New Roman"/>
          <w:sz w:val="22"/>
          <w:szCs w:val="22"/>
          <w:b w:val="1"/>
          <w:bCs w:val="1"/>
          <w:color w:val="auto"/>
        </w:rPr>
        <w:t>SALES TO DISTRIBUTOR</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Orders</w:t>
      </w:r>
      <w:r>
        <w:rPr>
          <w:rFonts w:ascii="Times New Roman" w:cs="Times New Roman" w:eastAsia="Times New Roman" w:hAnsi="Times New Roman"/>
          <w:sz w:val="22"/>
          <w:szCs w:val="22"/>
          <w:color w:val="auto"/>
        </w:rPr>
        <w:t>. Distributor will submit orders to Daikyo from time to time for such Products as Distributor desires to purchase. No order for the Products from Distributor shall be effective until Daikyo has accepted the same in writing.</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4.02 </w:t>
      </w:r>
      <w:r>
        <w:rPr>
          <w:rFonts w:ascii="Times New Roman" w:cs="Times New Roman" w:eastAsia="Times New Roman" w:hAnsi="Times New Roman"/>
          <w:sz w:val="22"/>
          <w:szCs w:val="22"/>
          <w:u w:val="single" w:color="auto"/>
          <w:color w:val="auto"/>
        </w:rPr>
        <w:t>Pricing: Terms of Sale</w:t>
      </w:r>
      <w:r>
        <w:rPr>
          <w:rFonts w:ascii="Times New Roman" w:cs="Times New Roman" w:eastAsia="Times New Roman" w:hAnsi="Times New Roman"/>
          <w:sz w:val="22"/>
          <w:szCs w:val="22"/>
          <w:color w:val="auto"/>
        </w:rPr>
        <w:t>. Prices and terms of sale of Products by Daikyo to Distributor shall be set by mutual agreement between the parties and reviewed at least annually.</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4.03 </w:t>
      </w:r>
      <w:r>
        <w:rPr>
          <w:rFonts w:ascii="Times New Roman" w:cs="Times New Roman" w:eastAsia="Times New Roman" w:hAnsi="Times New Roman"/>
          <w:sz w:val="22"/>
          <w:szCs w:val="22"/>
          <w:u w:val="single" w:color="auto"/>
          <w:color w:val="auto"/>
        </w:rPr>
        <w:t>Deliveries</w:t>
      </w:r>
      <w:r>
        <w:rPr>
          <w:rFonts w:ascii="Times New Roman" w:cs="Times New Roman" w:eastAsia="Times New Roman" w:hAnsi="Times New Roman"/>
          <w:sz w:val="22"/>
          <w:szCs w:val="22"/>
          <w:color w:val="auto"/>
        </w:rPr>
        <w:t>. Daikyo will exercise its best efforts to promptly ship Products ordered by Distributor; provided that Daikyo may delay or refuse to make any shipment if Distributor is then in default of any obligation under this Agreement or if any amount due from Distributor to Daikyo under any agreement is then unpaid. Unless otherwise agreed in advance, all deliveries will be made F.O.B. manufacturing plant location. Daikyo will determine the route and method of shipment. Daikyo will not be liable for nondelivery, misdelivery or late delivery which is caused by factors beyond its control, including without limitation war, riots, strikes, fires, floods, acts of God, inability to obtain materials, failure of carriers or compliance with any law, regulation or governmental order. Daikyo will have no liability to Distributor for any failure to deliver goods if their export or import is then prohibited by applicable law, regulation or government action.</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5</w:t>
      </w:r>
    </w:p>
    <w:p>
      <w:pPr>
        <w:ind w:left="3920"/>
        <w:spacing w:after="0"/>
        <w:rPr>
          <w:sz w:val="20"/>
          <w:szCs w:val="20"/>
          <w:color w:val="auto"/>
        </w:rPr>
      </w:pPr>
      <w:r>
        <w:rPr>
          <w:rFonts w:ascii="Times New Roman" w:cs="Times New Roman" w:eastAsia="Times New Roman" w:hAnsi="Times New Roman"/>
          <w:sz w:val="22"/>
          <w:szCs w:val="22"/>
          <w:b w:val="1"/>
          <w:bCs w:val="1"/>
          <w:color w:val="auto"/>
        </w:rPr>
        <w:t>WARRANTY; INDEMNIFICATION</w:t>
      </w:r>
    </w:p>
    <w:p>
      <w:pPr>
        <w:spacing w:after="0" w:line="15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5.01 </w:t>
      </w:r>
      <w:r>
        <w:rPr>
          <w:rFonts w:ascii="Times New Roman" w:cs="Times New Roman" w:eastAsia="Times New Roman" w:hAnsi="Times New Roman"/>
          <w:sz w:val="21"/>
          <w:szCs w:val="21"/>
          <w:u w:val="single" w:color="auto"/>
          <w:color w:val="auto"/>
        </w:rPr>
        <w:t>Warranty</w:t>
      </w:r>
      <w:r>
        <w:rPr>
          <w:rFonts w:ascii="Times New Roman" w:cs="Times New Roman" w:eastAsia="Times New Roman" w:hAnsi="Times New Roman"/>
          <w:sz w:val="21"/>
          <w:szCs w:val="21"/>
          <w:color w:val="auto"/>
        </w:rPr>
        <w:t>. Daikyo represents and warrants to Distributor that the Products sold to Distributor pursuant to this Agreement will conform to Daikyo’</w:t>
      </w:r>
      <w:r>
        <w:rPr>
          <w:rFonts w:ascii="Times New Roman" w:cs="Times New Roman" w:eastAsia="Times New Roman" w:hAnsi="Times New Roman"/>
          <w:sz w:val="21"/>
          <w:szCs w:val="21"/>
          <w:color w:val="444444"/>
        </w:rPr>
        <w:t>s written</w:t>
      </w:r>
      <w:r>
        <w:rPr>
          <w:rFonts w:ascii="Times New Roman" w:cs="Times New Roman" w:eastAsia="Times New Roman" w:hAnsi="Times New Roman"/>
          <w:sz w:val="21"/>
          <w:szCs w:val="21"/>
          <w:color w:val="auto"/>
        </w:rPr>
        <w:t xml:space="preserve"> specifications for such products. The exclusive remedy for any breach of the warranty set forth above shall be as follows: Daikyo will at its option replace, repair or redesign, without charge to Distributor, or refund the invoice price with respect to any defective Product which was designed and manufactured by Daikyo, provided that a claim for such breach is made within one year of the sale of the Product in question. Products will be deemed defective only if so found after inspection by Daikyo at such place as it may specify. </w:t>
      </w:r>
      <w:r>
        <w:rPr>
          <w:rFonts w:ascii="Times New Roman" w:cs="Times New Roman" w:eastAsia="Times New Roman" w:hAnsi="Times New Roman"/>
          <w:sz w:val="21"/>
          <w:szCs w:val="21"/>
          <w:b w:val="1"/>
          <w:bCs w:val="1"/>
          <w:color w:val="auto"/>
        </w:rPr>
        <w:t>DAIKYO MAKES NO OTHER WARRANTIES, EXPRESS</w:t>
      </w:r>
    </w:p>
    <w:p>
      <w:pPr>
        <w:spacing w:after="0" w:line="4"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b w:val="1"/>
          <w:bCs w:val="1"/>
          <w:color w:val="auto"/>
        </w:rPr>
        <w:t>OR IMPLIED, INCLUDING BUT NOT LIMITED TO ANY WARRANTY OF MERCHANTABILITY OR FITNESS FOR A PARTICULAR PURPOSE, WITH RESPECT TO THE PRODUCTS. THERE ARE NO OTHER WARRANTIES WITH RESPECT TO THE PRODUCTS ARISING FROM ANY COURSE OF DEALING, USAGE OF TRADE OR OTHERWISE. IN NO EVENT SHALL DAIKYO BE LIABLE TO DISTRIBUTOR FOR (A) INDIRECT, SPECIAL, INCIDENTAL OR CONSEQUENTIAL DAMAGES UNDER THIS AGREEMENT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TORT, OR (B) WITH RESPECT TO ANY CLAIM, LAWSUIT, PROCEEDING OR OTHER ACTION BASED UPON ANY ACTION TAKEN BY DISTRIBUTOR WITHOUT PRIOR INSTRUCTION FROM DAIKYO OR ANY ACTION INCONSISTENT WITH SUCH INSTRUCTION.</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Restrictions on Representations</w:t>
      </w:r>
      <w:r>
        <w:rPr>
          <w:rFonts w:ascii="Times New Roman" w:cs="Times New Roman" w:eastAsia="Times New Roman" w:hAnsi="Times New Roman"/>
          <w:sz w:val="22"/>
          <w:szCs w:val="22"/>
          <w:color w:val="auto"/>
        </w:rPr>
        <w:t>. Distributor will not in any way make any representation or warranty regarding the Products other than those from time to time contained in Daikyo’s sales literature or other publications.</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xml:space="preserve">. Distributor will indemnify, defend and hold Daikyo harmless from any and all liabilities, losses, obligations, expenses (including without limitation reasonable attorneys’ fees) and costs arising in connection with any lawsuit, proceeding or other action arising out of the operation of Distributor’s business or related to any claim by a third party based, in whole or in part, on Distributor’s distribution or use of the Products. The activities of any of Distributor’s employees or agents will be considered activities of Distributor for purposes </w:t>
      </w:r>
      <w:r>
        <w:rPr>
          <w:rFonts w:ascii="Times New Roman" w:cs="Times New Roman" w:eastAsia="Times New Roman" w:hAnsi="Times New Roman"/>
          <w:sz w:val="22"/>
          <w:szCs w:val="22"/>
          <w:color w:val="2A2A2A"/>
        </w:rPr>
        <w:t>of this section. Daikyo will have the right, but not the obligation, to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A2A2A"/>
        </w:rPr>
        <w:t>assume the defense of any such lawsuit, proceeding or action. Daikyo and Distributor will each give the other prompt notice of any such claim, lawsuit, proceeding or action.</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4220"/>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term of this Agreement will commence on the date first written above and, unless terminated earlier in accordance with other provisions of this Agreement, will continue for a period of 10 years from such date.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6.02</w:t>
      </w:r>
      <w:r>
        <w:rPr>
          <w:sz w:val="20"/>
          <w:szCs w:val="20"/>
          <w:color w:val="auto"/>
        </w:rPr>
        <w:tab/>
      </w: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3D3D3D"/>
        </w:rPr>
        <w:t>This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Agreement may be terminated as follows:</w:t>
      </w:r>
    </w:p>
    <w:p>
      <w:pPr>
        <w:spacing w:after="0" w:line="179" w:lineRule="exact"/>
        <w:rPr>
          <w:sz w:val="20"/>
          <w:szCs w:val="20"/>
          <w:color w:val="auto"/>
        </w:rPr>
      </w:pPr>
    </w:p>
    <w:p>
      <w:pPr>
        <w:ind w:firstLine="1304"/>
        <w:spacing w:after="0" w:line="236"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Daikyo or Distributor upon 90 days’ written notice at any time after both Distributor and one of its wholly owned subsidiaries ceases to be a shareholder of Daikyo.</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consent of both parties at any time.</w:t>
      </w:r>
    </w:p>
    <w:p>
      <w:pPr>
        <w:spacing w:after="0" w:line="179" w:lineRule="exact"/>
        <w:rPr>
          <w:rFonts w:ascii="Times New Roman" w:cs="Times New Roman" w:eastAsia="Times New Roman" w:hAnsi="Times New Roman"/>
          <w:sz w:val="22"/>
          <w:szCs w:val="22"/>
          <w:color w:val="auto"/>
        </w:rPr>
      </w:pPr>
    </w:p>
    <w:p>
      <w:pPr>
        <w:ind w:firstLine="1304"/>
        <w:spacing w:after="0" w:line="255" w:lineRule="auto"/>
        <w:tabs>
          <w:tab w:leader="none" w:pos="194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By either party in the event of a Change in Control of the other party. The terminating party </w:t>
      </w:r>
      <w:r>
        <w:rPr>
          <w:rFonts w:ascii="Times New Roman" w:cs="Times New Roman" w:eastAsia="Times New Roman" w:hAnsi="Times New Roman"/>
          <w:sz w:val="21"/>
          <w:szCs w:val="21"/>
          <w:color w:val="3D3D3D"/>
        </w:rPr>
        <w:t>will</w:t>
      </w:r>
      <w:r>
        <w:rPr>
          <w:rFonts w:ascii="Times New Roman" w:cs="Times New Roman" w:eastAsia="Times New Roman" w:hAnsi="Times New Roman"/>
          <w:sz w:val="21"/>
          <w:szCs w:val="21"/>
          <w:color w:val="auto"/>
        </w:rPr>
        <w:t xml:space="preserve"> make this decision </w:t>
      </w:r>
      <w:r>
        <w:rPr>
          <w:rFonts w:ascii="Times New Roman" w:cs="Times New Roman" w:eastAsia="Times New Roman" w:hAnsi="Times New Roman"/>
          <w:sz w:val="21"/>
          <w:szCs w:val="21"/>
          <w:color w:val="3D3D3D"/>
        </w:rPr>
        <w:t>within</w:t>
      </w:r>
      <w:r>
        <w:rPr>
          <w:rFonts w:ascii="Times New Roman" w:cs="Times New Roman" w:eastAsia="Times New Roman" w:hAnsi="Times New Roman"/>
          <w:sz w:val="21"/>
          <w:szCs w:val="21"/>
          <w:color w:val="auto"/>
        </w:rPr>
        <w:t xml:space="preserve"> one </w:t>
      </w:r>
      <w:r>
        <w:rPr>
          <w:rFonts w:ascii="Times New Roman" w:cs="Times New Roman" w:eastAsia="Times New Roman" w:hAnsi="Times New Roman"/>
          <w:sz w:val="21"/>
          <w:szCs w:val="21"/>
          <w:color w:val="3D3D3D"/>
        </w:rPr>
        <w:t>year</w:t>
      </w:r>
      <w:r>
        <w:rPr>
          <w:rFonts w:ascii="Times New Roman" w:cs="Times New Roman" w:eastAsia="Times New Roman" w:hAnsi="Times New Roman"/>
          <w:sz w:val="21"/>
          <w:szCs w:val="21"/>
          <w:color w:val="auto"/>
        </w:rPr>
        <w:t xml:space="preserve"> after learning of the Change in Control and provide written notice three months prior to the termination.</w:t>
      </w:r>
    </w:p>
    <w:p>
      <w:pPr>
        <w:spacing w:after="0" w:line="134" w:lineRule="exact"/>
        <w:rPr>
          <w:rFonts w:ascii="Times New Roman" w:cs="Times New Roman" w:eastAsia="Times New Roman" w:hAnsi="Times New Roman"/>
          <w:sz w:val="21"/>
          <w:szCs w:val="21"/>
          <w:color w:val="auto"/>
        </w:rPr>
      </w:pPr>
    </w:p>
    <w:p>
      <w:pPr>
        <w:jc w:val="both"/>
        <w:ind w:right="20" w:firstLine="1304"/>
        <w:spacing w:after="0" w:line="225"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if the other party becomes the subject of a filing or a petition in bankruptcy, or in a judicial proceeding with the object of an arrangement with creditors, or if the rights of this Agreement are seized for the benefit of creditors, or if the other party becomes the subject of a petition for liquidation.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either party if the other party, breaches a material </w:t>
      </w:r>
      <w:r>
        <w:rPr>
          <w:rFonts w:ascii="Times New Roman" w:cs="Times New Roman" w:eastAsia="Times New Roman" w:hAnsi="Times New Roman"/>
          <w:sz w:val="22"/>
          <w:szCs w:val="22"/>
          <w:color w:val="3D3D3D"/>
        </w:rPr>
        <w:t>provision</w:t>
      </w:r>
      <w:r>
        <w:rPr>
          <w:rFonts w:ascii="Times New Roman" w:cs="Times New Roman" w:eastAsia="Times New Roman" w:hAnsi="Times New Roman"/>
          <w:sz w:val="22"/>
          <w:szCs w:val="22"/>
          <w:color w:val="auto"/>
        </w:rPr>
        <w:t xml:space="preserve"> of this Agreement through adverse action or a failure to act and such breach continues unremedied for 20 days despite written notification.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6.03</w:t>
      </w:r>
      <w:r>
        <w:rPr>
          <w:sz w:val="20"/>
          <w:szCs w:val="20"/>
          <w:color w:val="auto"/>
        </w:rPr>
        <w:tab/>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Upon termination of this Agreement, Distributor will immediately:</w:t>
      </w:r>
    </w:p>
    <w:p>
      <w:pPr>
        <w:spacing w:after="0" w:line="179" w:lineRule="exact"/>
        <w:rPr>
          <w:sz w:val="20"/>
          <w:szCs w:val="20"/>
          <w:color w:val="auto"/>
        </w:rPr>
      </w:pPr>
    </w:p>
    <w:p>
      <w:pPr>
        <w:jc w:val="both"/>
        <w:ind w:firstLine="1304"/>
        <w:spacing w:after="0" w:line="225"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cease to use any materials displaying any Mark, or any service mark or other means of product, service or business identification incorporating all or any part of any Mark, with regard to any product, service or business whatsoever, including, without limiting the foregoing, materials displaying the Marks listed in the attached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and discontinue the use of all signs, stationery, advertising and literature indicating that Distributor is a distributor or representative of, or is otherwise affiliated with, Daikyo;</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all copies of the Confidential Information in its possession or control to Daikyo and cease to use such Confidential Information for any purpose;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all Products which Distributor has received but for which it has not made payment; and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the extent they are in the name of Distributor and are transferable, transfer to Daikyo any and all registrations or licenses obtained by Distributor in respect </w:t>
      </w:r>
      <w:r>
        <w:rPr>
          <w:rFonts w:ascii="Times New Roman" w:cs="Times New Roman" w:eastAsia="Times New Roman" w:hAnsi="Times New Roman"/>
          <w:sz w:val="22"/>
          <w:szCs w:val="22"/>
          <w:color w:val="3D3D3D"/>
        </w:rPr>
        <w:t>of</w:t>
      </w:r>
      <w:r>
        <w:rPr>
          <w:rFonts w:ascii="Times New Roman" w:cs="Times New Roman" w:eastAsia="Times New Roman" w:hAnsi="Times New Roman"/>
          <w:sz w:val="22"/>
          <w:szCs w:val="22"/>
          <w:color w:val="auto"/>
        </w:rPr>
        <w:t xml:space="preserve"> the Products.</w:t>
      </w:r>
    </w:p>
    <w:p>
      <w:pPr>
        <w:spacing w:after="0" w:line="17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this Agreement expires according to its terms under Section 6.01 hereof or is terminated earlier pursuant to Sections 6.02(a) or (b) hereof, then Daikyo shall bear the cost of returning Products pursuant to Section 6.02(d), otherwise Distributor shall bear such cost.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Distributor waives the applicability and protection of all laws, regardless of jurisdiction, giving to Distributor any rights of indemnity or other compensation in lieu of notice or otherwise arising upon termination of this Agreement or any other relationship between Daikyo and Distributor.</w:t>
      </w:r>
    </w:p>
    <w:p>
      <w:pPr>
        <w:spacing w:after="0" w:line="167"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Daikyo will not be required to indemnify or pay any amount to Distributor, whether as compensation, balancing, relief or otherwise, as a result of the termination of this Agreement.</w:t>
      </w:r>
    </w:p>
    <w:p>
      <w:pPr>
        <w:spacing w:after="0" w:line="11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xml:space="preserve">. Distributor will act hereunder as an independent contractor with no authority, either express or implied, to obligate Daikyo in any respect. All personnel of Distributor will be employees or agents solely of Distributor, and no such employee or agent </w:t>
      </w:r>
      <w:r>
        <w:rPr>
          <w:rFonts w:ascii="Times New Roman" w:cs="Times New Roman" w:eastAsia="Times New Roman" w:hAnsi="Times New Roman"/>
          <w:sz w:val="22"/>
          <w:szCs w:val="22"/>
          <w:color w:val="3D3D3D"/>
        </w:rPr>
        <w:t>will</w:t>
      </w:r>
      <w:r>
        <w:rPr>
          <w:rFonts w:ascii="Times New Roman" w:cs="Times New Roman" w:eastAsia="Times New Roman" w:hAnsi="Times New Roman"/>
          <w:sz w:val="22"/>
          <w:szCs w:val="22"/>
          <w:color w:val="auto"/>
        </w:rPr>
        <w:t xml:space="preserve"> represent himself to be an employee or agent of Daikyo.</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7.02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Unenforceability of any provision or provisions of this Agreement will not render unenforceable, or impair, the remainder of this Agreement. If any provision or provisions of this Agreement will be found to be invalid, illegal or unenforceable, either in whole or in part, this Agreement will be deemed amended to delete or modify as necessary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offending provision or provisions and to alter the bounds thereof in order to render it valid and enforceable.</w:t>
      </w:r>
    </w:p>
    <w:p>
      <w:pPr>
        <w:spacing w:after="0" w:line="179"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u w:val="single" w:color="auto"/>
          <w:color w:val="auto"/>
        </w:rPr>
        <w:t>Transferability of Rights and Obligations</w:t>
      </w:r>
      <w:r>
        <w:rPr>
          <w:rFonts w:ascii="Times New Roman" w:cs="Times New Roman" w:eastAsia="Times New Roman" w:hAnsi="Times New Roman"/>
          <w:sz w:val="22"/>
          <w:szCs w:val="22"/>
          <w:color w:val="auto"/>
        </w:rPr>
        <w:t>. Neither party may transfer or assign (whether voluntarily, involuntarily or by operation of law) any of its rights or obligations under this Agreement to any person or entity without the prior written consent of the other party. Any attempt to transfer or assign any rights or obligations under this Agreement in violation of this Section will be void. Subject to the foregoing, this Agreement will bind and inure to the benefit of permitted successors and assigns of the parties.</w:t>
      </w:r>
    </w:p>
    <w:p>
      <w:pPr>
        <w:spacing w:after="0" w:line="15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 xml:space="preserve">7.04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permitted or required to be given hereunder will be written in English and will be deemed duly given (a) when delivered by hand, (b) ten (10) business days after it is mailed, certified or return receipt requested, with postage prepaid; (c) when sent by telex (with answerback), (d) when sent by telecopy (with receipt confirmed), or (e) when receipt is signed for when sent by Federal Express, DHL or other express delivery service. Notices will be addressed as follows:</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Daikyo,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Daikyo Seiko, Ltd.</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1305-1, Kurohakama-Cho</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Sano-Shi, Tochigi 327- 0813, Japan</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Morihiro Sudo, President</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Telecopier: [***]</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3D3D3D"/>
        </w:rPr>
        <w:t xml:space="preserve">If </w:t>
      </w:r>
      <w:r>
        <w:rPr>
          <w:rFonts w:ascii="Times New Roman" w:cs="Times New Roman" w:eastAsia="Times New Roman" w:hAnsi="Times New Roman"/>
          <w:sz w:val="22"/>
          <w:szCs w:val="22"/>
          <w:color w:val="000000"/>
        </w:rPr>
        <w:t>to Distributor,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 Pharmaceutical Services,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530 Herman O. West Drive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Exton, Pennsylvania 19341</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President and Chief Executive Officer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Telecopier: [***]</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required copy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 Pharmaceutical Services,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530 Herman O. West Drive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Exton, Pennsylvania 19341</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Telecopier: [***]</w:t>
      </w:r>
    </w:p>
    <w:p>
      <w:pPr>
        <w:spacing w:after="0" w:line="19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22"/>
          <w:szCs w:val="22"/>
          <w:color w:val="3D3D3D"/>
        </w:rPr>
        <w:t xml:space="preserve">or </w:t>
      </w:r>
      <w:r>
        <w:rPr>
          <w:rFonts w:ascii="Times New Roman" w:cs="Times New Roman" w:eastAsia="Times New Roman" w:hAnsi="Times New Roman"/>
          <w:sz w:val="22"/>
          <w:szCs w:val="22"/>
          <w:color w:val="000000"/>
        </w:rPr>
        <w:t>at such other address as either party may direct the other in writing. Each party will promptly inform the other of any change</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000000"/>
        </w:rPr>
        <w:t>of address or personnel to receive such notices.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40"/>
          </w:cols>
          <w:pgMar w:left="320" w:top="1440" w:right="339" w:bottom="1440" w:gutter="0" w:footer="0" w:header="0"/>
          <w:type w:val="continuous"/>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u w:val="single" w:color="auto"/>
          <w:color w:val="auto"/>
        </w:rPr>
        <w:t>Modifications and Amendments</w:t>
      </w:r>
      <w:r>
        <w:rPr>
          <w:rFonts w:ascii="Times New Roman" w:cs="Times New Roman" w:eastAsia="Times New Roman" w:hAnsi="Times New Roman"/>
          <w:sz w:val="22"/>
          <w:szCs w:val="22"/>
          <w:color w:val="auto"/>
        </w:rPr>
        <w:t>. No modification, addition or amendment of this Agreement shall be binding on any party unless set forth in a document duly executed by or on behalf of such party. No waiver of any provision of this Agreement will constitute waiver of or excuse for any other breach or default. All waivers hereunder must be in writing signed by the party against which enforcement of such waiver is sought.</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7.06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3D3D3D"/>
        </w:rPr>
        <w:t>The</w:t>
      </w:r>
      <w:r>
        <w:rPr>
          <w:rFonts w:ascii="Times New Roman" w:cs="Times New Roman" w:eastAsia="Times New Roman" w:hAnsi="Times New Roman"/>
          <w:sz w:val="21"/>
          <w:szCs w:val="21"/>
          <w:color w:val="auto"/>
        </w:rPr>
        <w:t xml:space="preserve"> headings preceding the text of the sections and subsections hereof are inserted solely for convenience of reference, and will not constitute a part of this Agreement, nor, will they affect its meaning, construction or effect.</w:t>
      </w:r>
    </w:p>
    <w:p>
      <w:pPr>
        <w:spacing w:after="0" w:line="13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7.07 </w:t>
      </w:r>
      <w:r>
        <w:rPr>
          <w:rFonts w:ascii="Times New Roman" w:cs="Times New Roman" w:eastAsia="Times New Roman" w:hAnsi="Times New Roman"/>
          <w:sz w:val="22"/>
          <w:szCs w:val="22"/>
          <w:u w:val="single" w:color="auto"/>
          <w:color w:val="auto"/>
        </w:rPr>
        <w:t>Counterparts; Electronic Signatures</w:t>
      </w:r>
      <w:r>
        <w:rPr>
          <w:rFonts w:ascii="Times New Roman" w:cs="Times New Roman" w:eastAsia="Times New Roman" w:hAnsi="Times New Roman"/>
          <w:sz w:val="22"/>
          <w:szCs w:val="22"/>
          <w:color w:val="auto"/>
        </w:rPr>
        <w:t xml:space="preserve">. This Agreement may be executed in one or more </w:t>
      </w:r>
      <w:r>
        <w:rPr>
          <w:rFonts w:ascii="Times New Roman" w:cs="Times New Roman" w:eastAsia="Times New Roman" w:hAnsi="Times New Roman"/>
          <w:sz w:val="22"/>
          <w:szCs w:val="22"/>
          <w:color w:val="3D3D3D"/>
        </w:rPr>
        <w:t>counterparts, including by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3D3D3D"/>
        </w:rPr>
        <w:t xml:space="preserve">separate signature pages, each of which </w:t>
      </w:r>
      <w:r>
        <w:rPr>
          <w:rFonts w:ascii="Times New Roman" w:cs="Times New Roman" w:eastAsia="Times New Roman" w:hAnsi="Times New Roman"/>
          <w:sz w:val="22"/>
          <w:szCs w:val="22"/>
          <w:color w:val="000000"/>
        </w:rPr>
        <w:t>will be deemed an original, but all of which together will constitute one and the same</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000000"/>
        </w:rPr>
        <w:t>agreement. Signatures delivered by electronic transmission, including by PDF, facsimile, DocuSign, Adobe Sign, or other electronic signature platform or method, will be deemed to have the same legal effect as original signatures. The parties agree that this Agreement may be executed and delivered by electronic signature and that any such electronic signature will be valid, binding and enforceable to the same extent as a manually executed original signature.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7.08 </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xml:space="preserve">. This Agreement shall be governed by the laws of Japan. There are English language and Japanese language versions of this Agreement. The English language version is </w:t>
      </w:r>
      <w:r>
        <w:rPr>
          <w:rFonts w:ascii="Times New Roman" w:cs="Times New Roman" w:eastAsia="Times New Roman" w:hAnsi="Times New Roman"/>
          <w:sz w:val="22"/>
          <w:szCs w:val="22"/>
          <w:color w:val="3D3D3D"/>
        </w:rPr>
        <w:t>controlling.</w:t>
      </w:r>
      <w:r>
        <w:rPr>
          <w:rFonts w:ascii="Times New Roman" w:cs="Times New Roman" w:eastAsia="Times New Roman" w:hAnsi="Times New Roman"/>
          <w:sz w:val="22"/>
          <w:szCs w:val="22"/>
          <w:color w:val="auto"/>
        </w:rPr>
        <w:t xml:space="preserve"> The first-instance jurisdiction over all controversies arising out of this Agreement shall lie with the Tokyo District Court or the United States District Court for the Eastern District of Pennsylvania.</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7.09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and the Exhibits hereto, each of which is incorporated herein, constitute the entire agreement between the parties with respect to the subject matter contained herein and supersedes all prior agreements, representations, statements, understandings, customs and trade usage, if any, whether written or oral. Distributor and Daikyo agree that the English language version of this Agreement shall control over translations of this Agreement into any other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77" w:name="page78"/>
    <w:bookmarkEnd w:id="7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DAIKYO SEIKO, LTD.</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525252"/>
        </w:rPr>
        <w:t>/</w:t>
      </w:r>
      <w:r>
        <w:rPr>
          <w:rFonts w:ascii="Times New Roman" w:cs="Times New Roman" w:eastAsia="Times New Roman" w:hAnsi="Times New Roman"/>
          <w:sz w:val="22"/>
          <w:szCs w:val="22"/>
          <w:i w:val="1"/>
          <w:iCs w:val="1"/>
          <w:u w:val="single" w:color="auto"/>
          <w:color w:val="525252"/>
        </w:rPr>
        <w:t>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Morihiro Sudo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-11430</wp:posOffset>
            </wp:positionV>
            <wp:extent cx="13550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Morihiro Sudo, President</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WEST PHARMACEUTICAL SERVICES, INC.</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/s/ Eric M.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-11430</wp:posOffset>
            </wp:positionV>
            <wp:extent cx="15036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503680" cy="8255"/>
                    </a:xfrm>
                    <a:prstGeom prst="rect">
                      <a:avLst/>
                    </a:prstGeom>
                    <a:noFill/>
                  </pic:spPr>
                </pic:pic>
              </a:graphicData>
            </a:graphic>
          </wp:anchor>
        </w:drawing>
      </w:r>
    </w:p>
    <w:p>
      <w:pPr>
        <w:spacing w:after="0" w:line="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Eric M. Green</w:t>
      </w:r>
    </w:p>
    <w:p>
      <w:pPr>
        <w:spacing w:after="0" w:line="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[Signature page to Distributorship Agreement]</w:t>
      </w:r>
    </w:p>
    <w:p>
      <w:pPr>
        <w:sectPr>
          <w:pgSz w:w="11900" w:h="16838" w:orient="portrait"/>
          <w:cols w:equalWidth="0" w:num="1">
            <w:col w:w="11240"/>
          </w:cols>
          <w:pgMar w:left="320" w:top="1422" w:right="339" w:bottom="1440" w:gutter="0" w:footer="0" w:header="0"/>
        </w:sectPr>
      </w:pPr>
    </w:p>
    <w:bookmarkStart w:id="78" w:name="page79"/>
    <w:bookmarkEnd w:id="78"/>
    <w:p>
      <w:pPr>
        <w:jc w:val="right"/>
        <w:ind w:right="393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Licensed Daikyo Trademarks</w:t>
      </w:r>
    </w:p>
    <w:p>
      <w:pPr>
        <w:sectPr>
          <w:pgSz w:w="11900" w:h="16838" w:orient="portrait"/>
          <w:cols w:equalWidth="0" w:num="1">
            <w:col w:w="10139"/>
          </w:cols>
          <w:pgMar w:left="320" w:top="1418" w:right="1440" w:bottom="1440" w:gutter="0" w:footer="0" w:header="0"/>
        </w:sectPr>
      </w:pPr>
    </w:p>
    <w:bookmarkStart w:id="79" w:name="page80"/>
    <w:bookmarkEnd w:id="79"/>
    <w:p>
      <w:pPr>
        <w:ind w:left="10120"/>
        <w:spacing w:after="0"/>
        <w:rPr>
          <w:sz w:val="20"/>
          <w:szCs w:val="20"/>
          <w:color w:val="auto"/>
        </w:rPr>
      </w:pPr>
      <w:r>
        <w:rPr>
          <w:rFonts w:ascii="Times New Roman" w:cs="Times New Roman" w:eastAsia="Times New Roman" w:hAnsi="Times New Roman"/>
          <w:sz w:val="21"/>
          <w:szCs w:val="21"/>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DISTRIBUTORSHIP AGREEMENT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(Daikyo as Distributor)</w:t>
      </w:r>
    </w:p>
    <w:p>
      <w:pPr>
        <w:spacing w:after="0" w:line="1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color w:val="auto"/>
        </w:rPr>
        <w:t>THIS DISTRIBUTORSHIP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made and entered into this 14</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July, 2026, between WEST PHARMACEUTICAL SERVICES, INC., a corporation organized under the laws of the Commonwealth of Pennsylvania, U.S.A., having a place of business at 530 Herman O. West Drive, Exton, Pennsylvania 19341 (hereinafter referred to as “West”), and DAIKYO SEIKO, LTD</w:t>
      </w:r>
      <w:r>
        <w:rPr>
          <w:rFonts w:ascii="Times New Roman" w:cs="Times New Roman" w:eastAsia="Times New Roman" w:hAnsi="Times New Roman"/>
          <w:sz w:val="22"/>
          <w:szCs w:val="22"/>
          <w:color w:val="505052"/>
        </w:rPr>
        <w:t>.</w:t>
      </w:r>
      <w:r>
        <w:rPr>
          <w:rFonts w:ascii="Times New Roman" w:cs="Times New Roman" w:eastAsia="Times New Roman" w:hAnsi="Times New Roman"/>
          <w:sz w:val="22"/>
          <w:szCs w:val="22"/>
          <w:color w:val="auto"/>
        </w:rPr>
        <w:t>, a corporation organized under the laws of Japan, having a place of business at 1305-1, Kurohakama-Cho, Sano-Shi, Tochigi, 327-0813, Japan (hereinafter referred to as the “Distributor”).</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Background</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Distributor has requested the right to distribute the Products (defined below) within the Territory (defined below). West and Distributor have determined that it is to their mutual benefit to have Distributor agree to sell the Products in the Territory under the terms set forth in this Agreement. This Agreement supersedes (i) that certain Distributorship Agreement between the parties dated as of January 18, 2017 (wherein Daikyo Seiko Ltd. is the Distributor (as defined therein)), (ii) that certain Amendment Agreement between the parties dated as of October 15, 2019 and (iii) the sections titled “Services under Distributorship Agreement” and “Daikyo Address for Notices” under that certain Letter Agreement between the parties dated as of July 2, 2018.</w:t>
      </w:r>
    </w:p>
    <w:p>
      <w:pPr>
        <w:spacing w:after="0" w:line="17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2"/>
          <w:szCs w:val="22"/>
          <w:b w:val="1"/>
          <w:bCs w:val="1"/>
          <w:color w:val="auto"/>
        </w:rPr>
        <w:t>Terms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Intending to be legally bound, the parties agree as follows:</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b w:val="1"/>
          <w:bCs w:val="1"/>
          <w:color w:val="auto"/>
        </w:rPr>
        <w:t>ARTICLE 1</w:t>
      </w:r>
    </w:p>
    <w:p>
      <w:pPr>
        <w:ind w:left="4400"/>
        <w:spacing w:after="0"/>
        <w:rPr>
          <w:sz w:val="20"/>
          <w:szCs w:val="20"/>
          <w:color w:val="auto"/>
        </w:rPr>
      </w:pPr>
      <w:r>
        <w:rPr>
          <w:rFonts w:ascii="Times New Roman" w:cs="Times New Roman" w:eastAsia="Times New Roman" w:hAnsi="Times New Roman"/>
          <w:sz w:val="22"/>
          <w:szCs w:val="22"/>
          <w:b w:val="1"/>
          <w:bCs w:val="1"/>
          <w:color w:val="auto"/>
        </w:rPr>
        <w:t>CERTAIN DEFINITIONS</w:t>
      </w:r>
    </w:p>
    <w:p>
      <w:pPr>
        <w:spacing w:after="0" w:line="18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Terms defined in this Article 1 and elsewhere in this Agreement will throughout this Agreement have the meanings here or there provided. Defined terms may be used in the singular or in the plural, as sense shall require</w:t>
      </w:r>
      <w:r>
        <w:rPr>
          <w:rFonts w:ascii="Times New Roman" w:cs="Times New Roman" w:eastAsia="Times New Roman" w:hAnsi="Times New Roman"/>
          <w:sz w:val="22"/>
          <w:szCs w:val="22"/>
          <w:color w:val="505052"/>
        </w:rPr>
        <w:t>.</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when, in connection with or as the direct or indirect result of any acquisition or sale of any asset or capital stock of West or Distributor, as the case may be, whether or not approved by that company’s board of directors or its shareholders, any entity or person either alone or acting in concert with others acquires shares of the company’s stock and such acquisition results in that entity or person either alone or acting in concert with others directly or indirectly owning beneficially 51% or more of the company</w:t>
      </w:r>
      <w:r>
        <w:rPr>
          <w:rFonts w:ascii="Times New Roman" w:cs="Times New Roman" w:eastAsia="Times New Roman" w:hAnsi="Times New Roman"/>
          <w:sz w:val="22"/>
          <w:szCs w:val="22"/>
          <w:color w:val="505052"/>
        </w:rPr>
        <w:t>’</w:t>
      </w:r>
      <w:r>
        <w:rPr>
          <w:rFonts w:ascii="Times New Roman" w:cs="Times New Roman" w:eastAsia="Times New Roman" w:hAnsi="Times New Roman"/>
          <w:sz w:val="22"/>
          <w:szCs w:val="22"/>
          <w:color w:val="auto"/>
        </w:rPr>
        <w:t>s outstanding shares.</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Products</w:t>
      </w:r>
      <w:r>
        <w:rPr>
          <w:rFonts w:ascii="Times New Roman" w:cs="Times New Roman" w:eastAsia="Times New Roman" w:hAnsi="Times New Roman"/>
          <w:sz w:val="22"/>
          <w:szCs w:val="22"/>
          <w:color w:val="auto"/>
        </w:rPr>
        <w:t xml:space="preserve">” means the closures, vials, </w:t>
      </w:r>
      <w:r>
        <w:rPr>
          <w:rFonts w:ascii="Times New Roman" w:cs="Times New Roman" w:eastAsia="Times New Roman" w:hAnsi="Times New Roman"/>
          <w:sz w:val="22"/>
          <w:szCs w:val="22"/>
          <w:color w:val="424242"/>
        </w:rPr>
        <w:t>cartridges,</w:t>
      </w:r>
      <w:r>
        <w:rPr>
          <w:rFonts w:ascii="Times New Roman" w:cs="Times New Roman" w:eastAsia="Times New Roman" w:hAnsi="Times New Roman"/>
          <w:sz w:val="22"/>
          <w:szCs w:val="22"/>
          <w:color w:val="auto"/>
        </w:rPr>
        <w:t xml:space="preserve"> syringes, medical device components, and similar products used in connection with the packaging, delivery, administration or dispensing of pharmaceutical products, along with materials for making the same, manufactured or sold by West or its subsidiaries.</w:t>
      </w:r>
    </w:p>
    <w:p>
      <w:pPr>
        <w:sectPr>
          <w:pgSz w:w="11900" w:h="16838" w:orient="portrait"/>
          <w:cols w:equalWidth="0" w:num="1">
            <w:col w:w="11240"/>
          </w:cols>
          <w:pgMar w:left="320" w:top="122" w:right="339" w:bottom="1440" w:gutter="0" w:footer="0" w:header="0"/>
        </w:sectPr>
      </w:pPr>
    </w:p>
    <w:bookmarkStart w:id="80" w:name="page81"/>
    <w:bookmarkEnd w:id="8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Territory</w:t>
      </w:r>
      <w:r>
        <w:rPr>
          <w:rFonts w:ascii="Times New Roman" w:cs="Times New Roman" w:eastAsia="Times New Roman" w:hAnsi="Times New Roman"/>
          <w:sz w:val="22"/>
          <w:szCs w:val="22"/>
          <w:color w:val="auto"/>
        </w:rPr>
        <w:t>” means the Nation of Japan.</w:t>
      </w:r>
    </w:p>
    <w:p>
      <w:pPr>
        <w:spacing w:after="0" w:line="18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2"/>
          <w:szCs w:val="22"/>
          <w:b w:val="1"/>
          <w:bCs w:val="1"/>
          <w:color w:val="auto"/>
        </w:rPr>
        <w:t>ARTICLE 2</w:t>
      </w:r>
    </w:p>
    <w:p>
      <w:pPr>
        <w:jc w:val="center"/>
        <w:spacing w:after="0"/>
        <w:rPr>
          <w:sz w:val="20"/>
          <w:szCs w:val="20"/>
          <w:color w:val="auto"/>
        </w:rPr>
      </w:pPr>
      <w:r>
        <w:rPr>
          <w:rFonts w:ascii="Times New Roman" w:cs="Times New Roman" w:eastAsia="Times New Roman" w:hAnsi="Times New Roman"/>
          <w:sz w:val="22"/>
          <w:szCs w:val="22"/>
          <w:b w:val="1"/>
          <w:bCs w:val="1"/>
          <w:color w:val="auto"/>
        </w:rPr>
        <w:t>APPOINTMENT AND DUTIES OF DISTRIBUTOR</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2.01</w:t>
      </w:r>
      <w:r>
        <w:rPr>
          <w:sz w:val="20"/>
          <w:szCs w:val="20"/>
          <w:color w:val="auto"/>
        </w:rPr>
        <w:tab/>
      </w:r>
      <w:r>
        <w:rPr>
          <w:rFonts w:ascii="Times New Roman" w:cs="Times New Roman" w:eastAsia="Times New Roman" w:hAnsi="Times New Roman"/>
          <w:sz w:val="21"/>
          <w:szCs w:val="21"/>
          <w:color w:val="auto"/>
        </w:rPr>
        <w:t>Appointment and Duties.</w:t>
      </w:r>
    </w:p>
    <w:p>
      <w:pPr>
        <w:spacing w:after="0" w:line="179" w:lineRule="exact"/>
        <w:rPr>
          <w:sz w:val="20"/>
          <w:szCs w:val="20"/>
          <w:color w:val="auto"/>
        </w:rPr>
      </w:pPr>
    </w:p>
    <w:p>
      <w:pPr>
        <w:jc w:val="both"/>
        <w:ind w:firstLine="1304"/>
        <w:spacing w:after="0" w:line="213"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West appoints Distributor as its non-exclusive distributor for the Products within the Territory, and Distributor accepts such appointment. For the sake of clarity, nothing herein shall limit the ability of West, either directly or through one of its controlled affiliated companies, to market, sell or distribute the Products in Japan. If Distributor can demonstrate a plan for distributing the Products in Japan, West will appoint Distributor as its exclusive distributor for the Products in Japan; however, that such appointment needs to be conditioned on: (i) mutually agreed thresholds for sales by Distributor of Products in Japan (to be decided after the above demonstration), and (ii) West can continue with its present distributors until such time as Distributor indicates it has the marketing channel ability for those Products.</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161616"/>
        </w:rPr>
      </w:pPr>
      <w:r>
        <w:rPr>
          <w:rFonts w:ascii="Times New Roman" w:cs="Times New Roman" w:eastAsia="Times New Roman" w:hAnsi="Times New Roman"/>
          <w:sz w:val="22"/>
          <w:szCs w:val="22"/>
          <w:color w:val="auto"/>
        </w:rPr>
        <w:t>During the term of this Agreement, Distributor will, at its own expense:</w:t>
      </w:r>
    </w:p>
    <w:p>
      <w:pPr>
        <w:spacing w:after="0" w:line="179" w:lineRule="exact"/>
        <w:rPr>
          <w:rFonts w:ascii="Times New Roman" w:cs="Times New Roman" w:eastAsia="Times New Roman" w:hAnsi="Times New Roman"/>
          <w:sz w:val="22"/>
          <w:szCs w:val="22"/>
          <w:color w:val="161616"/>
        </w:rPr>
      </w:pPr>
    </w:p>
    <w:p>
      <w:pPr>
        <w:ind w:left="2580" w:hanging="628"/>
        <w:spacing w:after="0"/>
        <w:tabs>
          <w:tab w:leader="none" w:pos="25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use commercially reasonable efforts to promote the sale of the Products within the Territory;</w:t>
      </w:r>
    </w:p>
    <w:p>
      <w:pPr>
        <w:spacing w:after="0" w:line="166"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inventories of the Products at levels agreed upon from time to time by West and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Distributor;</w:t>
      </w:r>
    </w:p>
    <w:p>
      <w:pPr>
        <w:spacing w:after="0" w:line="155" w:lineRule="exact"/>
        <w:rPr>
          <w:rFonts w:ascii="Times New Roman" w:cs="Times New Roman" w:eastAsia="Times New Roman" w:hAnsi="Times New Roman"/>
          <w:sz w:val="22"/>
          <w:szCs w:val="22"/>
          <w:color w:val="auto"/>
        </w:rPr>
      </w:pPr>
    </w:p>
    <w:p>
      <w:pPr>
        <w:ind w:left="2600" w:hanging="648"/>
        <w:spacing w:after="0"/>
        <w:tabs>
          <w:tab w:leader="none" w:pos="260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establish sales offices in </w:t>
      </w:r>
      <w:r>
        <w:rPr>
          <w:rFonts w:ascii="Times New Roman" w:cs="Times New Roman" w:eastAsia="Times New Roman" w:hAnsi="Times New Roman"/>
          <w:sz w:val="22"/>
          <w:szCs w:val="22"/>
          <w:color w:val="282828"/>
        </w:rPr>
        <w:t>all reasonable locations;</w:t>
      </w:r>
    </w:p>
    <w:p>
      <w:pPr>
        <w:spacing w:after="0" w:line="179" w:lineRule="exact"/>
        <w:rPr>
          <w:rFonts w:ascii="Times New Roman" w:cs="Times New Roman" w:eastAsia="Times New Roman" w:hAnsi="Times New Roman"/>
          <w:sz w:val="22"/>
          <w:szCs w:val="22"/>
          <w:color w:val="auto"/>
        </w:rPr>
      </w:pPr>
    </w:p>
    <w:p>
      <w:pPr>
        <w:ind w:firstLine="1952"/>
        <w:spacing w:after="0" w:line="236" w:lineRule="auto"/>
        <w:tabs>
          <w:tab w:leader="none" w:pos="25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ensure that at all times it employs a sufficient number of qualified sales, technical and other personnel to perform its obligations under this Agreement;</w:t>
      </w:r>
    </w:p>
    <w:p>
      <w:pPr>
        <w:spacing w:after="0" w:line="150" w:lineRule="exact"/>
        <w:rPr>
          <w:rFonts w:ascii="Times New Roman" w:cs="Times New Roman" w:eastAsia="Times New Roman" w:hAnsi="Times New Roman"/>
          <w:sz w:val="22"/>
          <w:szCs w:val="22"/>
          <w:color w:val="auto"/>
        </w:rPr>
      </w:pPr>
    </w:p>
    <w:p>
      <w:pPr>
        <w:jc w:val="both"/>
        <w:ind w:firstLine="1952"/>
        <w:spacing w:after="0" w:line="220" w:lineRule="auto"/>
        <w:tabs>
          <w:tab w:leader="none" w:pos="258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deliver to West at least quarterly a written report which (A) indicates sales of the Products made by Distributor during the previous quarter (including customer’s name, Product number, description, quantity and price), and (B) describes sales progress, marketing conditions, customer responses concerning the Products and activities of competitors within </w:t>
      </w:r>
      <w:r>
        <w:rPr>
          <w:rFonts w:ascii="Times New Roman" w:cs="Times New Roman" w:eastAsia="Times New Roman" w:hAnsi="Times New Roman"/>
          <w:sz w:val="22"/>
          <w:szCs w:val="22"/>
          <w:color w:val="3D3D3D"/>
        </w:rPr>
        <w:t xml:space="preserve">the </w:t>
      </w:r>
      <w:r>
        <w:rPr>
          <w:rFonts w:ascii="Times New Roman" w:cs="Times New Roman" w:eastAsia="Times New Roman" w:hAnsi="Times New Roman"/>
          <w:sz w:val="22"/>
          <w:szCs w:val="22"/>
          <w:color w:val="000000"/>
        </w:rPr>
        <w:t>Territory;</w:t>
      </w:r>
    </w:p>
    <w:p>
      <w:pPr>
        <w:spacing w:after="0" w:line="13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6"/>
        </w:numPr>
        <w:rPr>
          <w:rFonts w:ascii="Times New Roman" w:cs="Times New Roman" w:eastAsia="Times New Roman" w:hAnsi="Times New Roman"/>
          <w:sz w:val="22"/>
          <w:szCs w:val="22"/>
          <w:color w:val="161616"/>
        </w:rPr>
      </w:pPr>
      <w:r>
        <w:rPr>
          <w:rFonts w:ascii="Times New Roman" w:cs="Times New Roman" w:eastAsia="Times New Roman" w:hAnsi="Times New Roman"/>
          <w:sz w:val="22"/>
          <w:szCs w:val="22"/>
          <w:color w:val="auto"/>
        </w:rPr>
        <w:t xml:space="preserve">immediately advise West of the details </w:t>
      </w:r>
      <w:r>
        <w:rPr>
          <w:rFonts w:ascii="Times New Roman" w:cs="Times New Roman" w:eastAsia="Times New Roman" w:hAnsi="Times New Roman"/>
          <w:sz w:val="22"/>
          <w:szCs w:val="22"/>
          <w:color w:val="3D3D3D"/>
        </w:rPr>
        <w:t>of</w:t>
      </w:r>
      <w:r>
        <w:rPr>
          <w:rFonts w:ascii="Times New Roman" w:cs="Times New Roman" w:eastAsia="Times New Roman" w:hAnsi="Times New Roman"/>
          <w:sz w:val="22"/>
          <w:szCs w:val="22"/>
          <w:color w:val="auto"/>
        </w:rPr>
        <w:t xml:space="preserve"> any complaints received from customers and others</w:t>
      </w:r>
    </w:p>
    <w:p>
      <w:pPr>
        <w:spacing w:after="0"/>
        <w:rPr>
          <w:rFonts w:ascii="Times New Roman" w:cs="Times New Roman" w:eastAsia="Times New Roman" w:hAnsi="Times New Roman"/>
          <w:sz w:val="22"/>
          <w:szCs w:val="22"/>
          <w:color w:val="161616"/>
        </w:rPr>
      </w:pPr>
      <w:r>
        <w:rPr>
          <w:rFonts w:ascii="Times New Roman" w:cs="Times New Roman" w:eastAsia="Times New Roman" w:hAnsi="Times New Roman"/>
          <w:sz w:val="22"/>
          <w:szCs w:val="22"/>
          <w:color w:val="auto"/>
        </w:rPr>
        <w:t>relating to the Products;</w:t>
      </w:r>
    </w:p>
    <w:p>
      <w:pPr>
        <w:spacing w:after="0" w:line="155" w:lineRule="exact"/>
        <w:rPr>
          <w:rFonts w:ascii="Times New Roman" w:cs="Times New Roman" w:eastAsia="Times New Roman" w:hAnsi="Times New Roman"/>
          <w:sz w:val="22"/>
          <w:szCs w:val="22"/>
          <w:color w:val="161616"/>
        </w:rPr>
      </w:pPr>
    </w:p>
    <w:p>
      <w:pPr>
        <w:ind w:firstLine="1952"/>
        <w:spacing w:after="0" w:line="236" w:lineRule="auto"/>
        <w:tabs>
          <w:tab w:leader="none" w:pos="2586"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promptly advise West if Distributor has knowledge of the commencement or threat of any suit based on any claimed defect in any of the Products;</w:t>
      </w:r>
    </w:p>
    <w:p>
      <w:pPr>
        <w:spacing w:after="0" w:line="150" w:lineRule="exact"/>
        <w:rPr>
          <w:rFonts w:ascii="Times New Roman" w:cs="Times New Roman" w:eastAsia="Times New Roman" w:hAnsi="Times New Roman"/>
          <w:sz w:val="22"/>
          <w:szCs w:val="22"/>
          <w:color w:val="auto"/>
        </w:rPr>
      </w:pPr>
    </w:p>
    <w:p>
      <w:pPr>
        <w:ind w:firstLine="1952"/>
        <w:spacing w:after="0" w:line="236" w:lineRule="auto"/>
        <w:tabs>
          <w:tab w:leader="none" w:pos="2592"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comply with good business practices and with all laws, regulations, rulings </w:t>
      </w:r>
      <w:r>
        <w:rPr>
          <w:rFonts w:ascii="Times New Roman" w:cs="Times New Roman" w:eastAsia="Times New Roman" w:hAnsi="Times New Roman"/>
          <w:sz w:val="22"/>
          <w:szCs w:val="22"/>
          <w:color w:val="3D3D3D"/>
        </w:rPr>
        <w:t>and</w:t>
      </w:r>
      <w:r>
        <w:rPr>
          <w:rFonts w:ascii="Times New Roman" w:cs="Times New Roman" w:eastAsia="Times New Roman" w:hAnsi="Times New Roman"/>
          <w:sz w:val="22"/>
          <w:szCs w:val="22"/>
          <w:color w:val="auto"/>
        </w:rPr>
        <w:t xml:space="preserve"> requirements of all governmental authorities having jurisdiction over the </w:t>
      </w:r>
      <w:r>
        <w:rPr>
          <w:rFonts w:ascii="Times New Roman" w:cs="Times New Roman" w:eastAsia="Times New Roman" w:hAnsi="Times New Roman"/>
          <w:sz w:val="22"/>
          <w:szCs w:val="22"/>
          <w:color w:val="3D3D3D"/>
        </w:rPr>
        <w:t>subject</w:t>
      </w:r>
      <w:r>
        <w:rPr>
          <w:rFonts w:ascii="Times New Roman" w:cs="Times New Roman" w:eastAsia="Times New Roman" w:hAnsi="Times New Roman"/>
          <w:sz w:val="22"/>
          <w:szCs w:val="22"/>
          <w:color w:val="auto"/>
        </w:rPr>
        <w:t xml:space="preserve"> matter of </w:t>
      </w:r>
      <w:r>
        <w:rPr>
          <w:rFonts w:ascii="Times New Roman" w:cs="Times New Roman" w:eastAsia="Times New Roman" w:hAnsi="Times New Roman"/>
          <w:sz w:val="22"/>
          <w:szCs w:val="22"/>
          <w:color w:val="3D3D3D"/>
        </w:rPr>
        <w:t>this</w:t>
      </w:r>
      <w:r>
        <w:rPr>
          <w:rFonts w:ascii="Times New Roman" w:cs="Times New Roman" w:eastAsia="Times New Roman" w:hAnsi="Times New Roman"/>
          <w:sz w:val="22"/>
          <w:szCs w:val="22"/>
          <w:color w:val="auto"/>
        </w:rPr>
        <w:t xml:space="preserve"> Agreement;</w:t>
      </w:r>
    </w:p>
    <w:p>
      <w:pPr>
        <w:spacing w:after="0" w:line="137"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handle and store the Products in a proper, adequate and reasonable manner designed to maintain</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them in marketable condition</w:t>
      </w:r>
    </w:p>
    <w:p>
      <w:pPr>
        <w:spacing w:after="0" w:line="155" w:lineRule="exact"/>
        <w:rPr>
          <w:rFonts w:ascii="Times New Roman" w:cs="Times New Roman" w:eastAsia="Times New Roman" w:hAnsi="Times New Roman"/>
          <w:sz w:val="22"/>
          <w:szCs w:val="22"/>
          <w:color w:val="auto"/>
        </w:rPr>
      </w:pPr>
    </w:p>
    <w:p>
      <w:pPr>
        <w:jc w:val="both"/>
        <w:ind w:right="20" w:firstLine="1952"/>
        <w:spacing w:after="0" w:line="225" w:lineRule="auto"/>
        <w:tabs>
          <w:tab w:leader="none" w:pos="2587"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required by Japanese law with respect to the importation, manufacture, warehousing, transportation, marketing, sale or distribution of any of the Products in Japan, and only at the request of West, Distributor shall obtain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1" w:name="page82"/>
    <w:bookmarkEnd w:id="81"/>
    <w:p>
      <w:pPr>
        <w:jc w:val="both"/>
        <w:spacing w:after="0" w:line="236" w:lineRule="auto"/>
        <w:rPr>
          <w:sz w:val="20"/>
          <w:szCs w:val="20"/>
          <w:color w:val="auto"/>
        </w:rPr>
      </w:pPr>
      <w:r>
        <w:rPr>
          <w:rFonts w:ascii="Times New Roman" w:cs="Times New Roman" w:eastAsia="Times New Roman" w:hAnsi="Times New Roman"/>
          <w:sz w:val="22"/>
          <w:szCs w:val="22"/>
          <w:color w:val="auto"/>
        </w:rPr>
        <w:t xml:space="preserve">registration and all other required government or non-government authorities. Distributor shall obtain the same in the name of West </w:t>
      </w:r>
      <w:r>
        <w:rPr>
          <w:rFonts w:ascii="Times New Roman" w:cs="Times New Roman" w:eastAsia="Times New Roman" w:hAnsi="Times New Roman"/>
          <w:sz w:val="22"/>
          <w:szCs w:val="22"/>
          <w:color w:val="3D3D3D"/>
        </w:rPr>
        <w:t>where</w:t>
      </w:r>
      <w:r>
        <w:rPr>
          <w:rFonts w:ascii="Times New Roman" w:cs="Times New Roman" w:eastAsia="Times New Roman" w:hAnsi="Times New Roman"/>
          <w:sz w:val="22"/>
          <w:szCs w:val="22"/>
          <w:color w:val="auto"/>
        </w:rPr>
        <w:t xml:space="preserve"> possible.</w:t>
      </w:r>
    </w:p>
    <w:p>
      <w:pPr>
        <w:spacing w:after="0" w:line="1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3</w:t>
      </w:r>
    </w:p>
    <w:p>
      <w:pPr>
        <w:ind w:left="3640"/>
        <w:spacing w:after="0"/>
        <w:rPr>
          <w:sz w:val="20"/>
          <w:szCs w:val="20"/>
          <w:color w:val="auto"/>
        </w:rPr>
      </w:pPr>
      <w:r>
        <w:rPr>
          <w:rFonts w:ascii="Times New Roman" w:cs="Times New Roman" w:eastAsia="Times New Roman" w:hAnsi="Times New Roman"/>
          <w:sz w:val="22"/>
          <w:szCs w:val="22"/>
          <w:b w:val="1"/>
          <w:bCs w:val="1"/>
          <w:color w:val="auto"/>
        </w:rPr>
        <w:t>PROMOTION: PROPRIETARY RIGHTS</w:t>
      </w:r>
    </w:p>
    <w:p>
      <w:pPr>
        <w:spacing w:after="0" w:line="155"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3.01 </w:t>
      </w:r>
      <w:r>
        <w:rPr>
          <w:rFonts w:ascii="Times New Roman" w:cs="Times New Roman" w:eastAsia="Times New Roman" w:hAnsi="Times New Roman"/>
          <w:sz w:val="22"/>
          <w:szCs w:val="22"/>
          <w:u w:val="single" w:color="auto"/>
          <w:color w:val="auto"/>
        </w:rPr>
        <w:t>Promotional Materials</w:t>
      </w:r>
      <w:r>
        <w:rPr>
          <w:rFonts w:ascii="Times New Roman" w:cs="Times New Roman" w:eastAsia="Times New Roman" w:hAnsi="Times New Roman"/>
          <w:sz w:val="22"/>
          <w:szCs w:val="22"/>
          <w:color w:val="auto"/>
        </w:rPr>
        <w:t>. Upon request, West will provide to Distributor, at no charge, (a) reasonable quantities of sales and use literature, brochures and other promotional materials in the English language and samples of the Products, and (b) such additional sales assistance as Distributor may otherwise reasonably request. Distributor will be responsible, at its own expense, for translation of promotional materials into the languages employed in the Territory.</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3.02 </w:t>
      </w:r>
      <w:r>
        <w:rPr>
          <w:rFonts w:ascii="Times New Roman" w:cs="Times New Roman" w:eastAsia="Times New Roman" w:hAnsi="Times New Roman"/>
          <w:sz w:val="22"/>
          <w:szCs w:val="22"/>
          <w:u w:val="single" w:color="auto"/>
          <w:color w:val="auto"/>
        </w:rPr>
        <w:t>No Modifications; Markings</w:t>
      </w:r>
      <w:r>
        <w:rPr>
          <w:rFonts w:ascii="Times New Roman" w:cs="Times New Roman" w:eastAsia="Times New Roman" w:hAnsi="Times New Roman"/>
          <w:sz w:val="22"/>
          <w:szCs w:val="22"/>
          <w:color w:val="auto"/>
        </w:rPr>
        <w:t>. Distributor will not make any modifications to the Products or their packaging without West’s written consent. All Products sold by Distributor to its customers pursuant to this Agreement must bear all original markings, including the trademarks, logos, brand names, trade names and other designations (the “Marks”), placed on them by West at the time of delivery to Distributor, unless written consent to use other markings is obtained from West.</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3.03 </w:t>
      </w:r>
      <w:r>
        <w:rPr>
          <w:rFonts w:ascii="Times New Roman" w:cs="Times New Roman" w:eastAsia="Times New Roman" w:hAnsi="Times New Roman"/>
          <w:sz w:val="22"/>
          <w:szCs w:val="22"/>
          <w:u w:val="single" w:color="auto"/>
          <w:color w:val="auto"/>
        </w:rPr>
        <w:t>Ownership of Rights</w:t>
      </w:r>
      <w:r>
        <w:rPr>
          <w:rFonts w:ascii="Times New Roman" w:cs="Times New Roman" w:eastAsia="Times New Roman" w:hAnsi="Times New Roman"/>
          <w:sz w:val="22"/>
          <w:szCs w:val="22"/>
          <w:color w:val="auto"/>
        </w:rPr>
        <w:t xml:space="preserve">. Distributor declares and recognizes that all patents, know-how, trademarks, service marks, trade names, copyrights and other industrial and intellectual property rights relating to the Products (including without limitation all rights to the Marks) and the goodwill associated therewith belong exclusively to West. Distributor has no right to use, exploit, transfer or sublicense any such industrial or intellectual property rights. Distributor will promptly advise West of any known or threatened infringement of West’s proprietary rights and support West (at West’s request and expense) in securing and protecting patents, </w:t>
      </w:r>
      <w:r>
        <w:rPr>
          <w:rFonts w:ascii="Times New Roman" w:cs="Times New Roman" w:eastAsia="Times New Roman" w:hAnsi="Times New Roman"/>
          <w:sz w:val="22"/>
          <w:szCs w:val="22"/>
          <w:color w:val="2D2D2D"/>
        </w:rPr>
        <w:t>trademarks, service marks, trade and service names, license rights and other proprietary rights.</w:t>
      </w:r>
    </w:p>
    <w:p>
      <w:pPr>
        <w:spacing w:after="0" w:line="152"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 xml:space="preserve">3.04 </w:t>
      </w:r>
      <w:r>
        <w:rPr>
          <w:rFonts w:ascii="Times New Roman" w:cs="Times New Roman" w:eastAsia="Times New Roman" w:hAnsi="Times New Roman"/>
          <w:sz w:val="22"/>
          <w:szCs w:val="22"/>
          <w:u w:val="single" w:color="auto"/>
          <w:color w:val="auto"/>
        </w:rPr>
        <w:t>Grant of License to Use Marks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5D5D5D"/>
        </w:rPr>
        <w:t>.</w:t>
      </w:r>
      <w:r>
        <w:rPr>
          <w:rFonts w:ascii="Times New Roman" w:cs="Times New Roman" w:eastAsia="Times New Roman" w:hAnsi="Times New Roman"/>
          <w:sz w:val="22"/>
          <w:szCs w:val="22"/>
          <w:color w:val="auto"/>
        </w:rPr>
        <w:t xml:space="preserve"> West grants to Distributor a non-transferable, royalty-free license, with right of sublicense, to use and display the Marks listed on Exhibit A in connection with the promotion and sale of the Products within the Territory. Exhibit A may be supplemented from time to time by West. West represents that it either owns or otherwise has the right to license such use of the Marks to Distributor. West shall indemnify and defend Distributor from all liabilities, losses and costs (including without limitation attorneys’ fees) arising in connection with any claim that Distributor’s use of the Marks infringes any trademark or other right of any third party.</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4</w:t>
      </w:r>
    </w:p>
    <w:p>
      <w:pPr>
        <w:ind w:left="4320"/>
        <w:spacing w:after="0"/>
        <w:rPr>
          <w:sz w:val="20"/>
          <w:szCs w:val="20"/>
          <w:color w:val="auto"/>
        </w:rPr>
      </w:pPr>
      <w:r>
        <w:rPr>
          <w:rFonts w:ascii="Times New Roman" w:cs="Times New Roman" w:eastAsia="Times New Roman" w:hAnsi="Times New Roman"/>
          <w:sz w:val="22"/>
          <w:szCs w:val="22"/>
          <w:b w:val="1"/>
          <w:bCs w:val="1"/>
          <w:color w:val="auto"/>
        </w:rPr>
        <w:t>SALES TO DISTRIBUTOR</w:t>
      </w:r>
    </w:p>
    <w:p>
      <w:pPr>
        <w:spacing w:after="0" w:line="155"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 xml:space="preserve">4.01 </w:t>
      </w:r>
      <w:r>
        <w:rPr>
          <w:rFonts w:ascii="Times New Roman" w:cs="Times New Roman" w:eastAsia="Times New Roman" w:hAnsi="Times New Roman"/>
          <w:sz w:val="22"/>
          <w:szCs w:val="22"/>
          <w:u w:val="single" w:color="auto"/>
          <w:color w:val="auto"/>
        </w:rPr>
        <w:t>Orders</w:t>
      </w:r>
      <w:r>
        <w:rPr>
          <w:rFonts w:ascii="Times New Roman" w:cs="Times New Roman" w:eastAsia="Times New Roman" w:hAnsi="Times New Roman"/>
          <w:sz w:val="22"/>
          <w:szCs w:val="22"/>
          <w:color w:val="auto"/>
        </w:rPr>
        <w:t>. Distributor will submit orders to West from time to time for such Products as Distributor desires to purchase. No order for the Products from Distributor shall be effective until West has accepted the same in writing.</w:t>
      </w:r>
    </w:p>
    <w:p>
      <w:pPr>
        <w:spacing w:after="0" w:line="15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4.02 </w:t>
      </w:r>
      <w:r>
        <w:rPr>
          <w:rFonts w:ascii="Times New Roman" w:cs="Times New Roman" w:eastAsia="Times New Roman" w:hAnsi="Times New Roman"/>
          <w:sz w:val="22"/>
          <w:szCs w:val="22"/>
          <w:u w:val="single" w:color="auto"/>
          <w:color w:val="auto"/>
        </w:rPr>
        <w:t>Pricing; Terms of Sale</w:t>
      </w:r>
      <w:r>
        <w:rPr>
          <w:rFonts w:ascii="Times New Roman" w:cs="Times New Roman" w:eastAsia="Times New Roman" w:hAnsi="Times New Roman"/>
          <w:sz w:val="22"/>
          <w:szCs w:val="22"/>
          <w:color w:val="auto"/>
        </w:rPr>
        <w:t>. Prices and terms of sale of Products by West to Distributor shall be set by mutual agreement between the parties and reviewed at least annually.</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4.03</w:t>
      </w:r>
      <w:r>
        <w:rPr>
          <w:sz w:val="20"/>
          <w:szCs w:val="20"/>
          <w:color w:val="auto"/>
        </w:rPr>
        <w:tab/>
      </w:r>
      <w:r>
        <w:rPr>
          <w:rFonts w:ascii="Times New Roman" w:cs="Times New Roman" w:eastAsia="Times New Roman" w:hAnsi="Times New Roman"/>
          <w:sz w:val="21"/>
          <w:szCs w:val="21"/>
          <w:u w:val="single" w:color="auto"/>
          <w:color w:val="auto"/>
        </w:rPr>
        <w:t>Direct Sales</w:t>
      </w:r>
      <w:r>
        <w:rPr>
          <w:rFonts w:ascii="Times New Roman" w:cs="Times New Roman" w:eastAsia="Times New Roman" w:hAnsi="Times New Roman"/>
          <w:sz w:val="21"/>
          <w:szCs w:val="21"/>
          <w:color w:val="auto"/>
        </w:rPr>
        <w:t>. West reserves the right to market, distribute and sell Products directly to customers.</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4.04 </w:t>
      </w:r>
      <w:r>
        <w:rPr>
          <w:rFonts w:ascii="Times New Roman" w:cs="Times New Roman" w:eastAsia="Times New Roman" w:hAnsi="Times New Roman"/>
          <w:sz w:val="22"/>
          <w:szCs w:val="22"/>
          <w:u w:val="single" w:color="auto"/>
          <w:color w:val="auto"/>
        </w:rPr>
        <w:t>Deliveries</w:t>
      </w:r>
      <w:r>
        <w:rPr>
          <w:rFonts w:ascii="Times New Roman" w:cs="Times New Roman" w:eastAsia="Times New Roman" w:hAnsi="Times New Roman"/>
          <w:sz w:val="22"/>
          <w:szCs w:val="22"/>
          <w:color w:val="auto"/>
        </w:rPr>
        <w:t xml:space="preserve">. West will exercise its best efforts to promptly ship Products ordered by Distributor; provided that West may delay or refuse to make any shipment if Distributor is </w:t>
      </w:r>
      <w:r>
        <w:rPr>
          <w:rFonts w:ascii="Times New Roman" w:cs="Times New Roman" w:eastAsia="Times New Roman" w:hAnsi="Times New Roman"/>
          <w:sz w:val="22"/>
          <w:szCs w:val="22"/>
          <w:color w:val="2B2B2B"/>
        </w:rPr>
        <w:t>then in default of any obligation under this Agreement or if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B2B2B"/>
        </w:rPr>
        <w:t>amount due from Distributor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2" w:name="page83"/>
    <w:bookmarkEnd w:id="82"/>
    <w:p>
      <w:pPr>
        <w:jc w:val="both"/>
        <w:spacing w:after="0" w:line="215" w:lineRule="auto"/>
        <w:rPr>
          <w:sz w:val="20"/>
          <w:szCs w:val="20"/>
          <w:color w:val="auto"/>
        </w:rPr>
      </w:pPr>
      <w:r>
        <w:rPr>
          <w:rFonts w:ascii="Times New Roman" w:cs="Times New Roman" w:eastAsia="Times New Roman" w:hAnsi="Times New Roman"/>
          <w:sz w:val="22"/>
          <w:szCs w:val="22"/>
          <w:color w:val="2B2B2B"/>
        </w:rPr>
        <w:t>West under any agreement is then unpaid. Unless otherwise agreed in advance, all deliveries will be made F.O.B. manufacturing plant location. West will determine the route and method of shipment. West will not be liable for nondelivery, misdelivery or late delivery which is caused by factors beyond its control, including without limitation war, riots, strikes, fires, floods, acts of God, inability to obtain materials, failure of carriers or compliance with any law, regulation or governmental order. West will have no liability to Distributor for any failure to deliver goods if their export or import is then prohibited by applicable law, regulation or government action.</w:t>
      </w:r>
    </w:p>
    <w:p>
      <w:pPr>
        <w:spacing w:after="0" w:line="13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5</w:t>
      </w:r>
    </w:p>
    <w:p>
      <w:pPr>
        <w:ind w:left="3920"/>
        <w:spacing w:after="0"/>
        <w:rPr>
          <w:sz w:val="20"/>
          <w:szCs w:val="20"/>
          <w:color w:val="auto"/>
        </w:rPr>
      </w:pPr>
      <w:r>
        <w:rPr>
          <w:rFonts w:ascii="Times New Roman" w:cs="Times New Roman" w:eastAsia="Times New Roman" w:hAnsi="Times New Roman"/>
          <w:sz w:val="22"/>
          <w:szCs w:val="22"/>
          <w:b w:val="1"/>
          <w:bCs w:val="1"/>
          <w:color w:val="auto"/>
        </w:rPr>
        <w:t>WARRANTY: INDEMNIFICATION</w:t>
      </w:r>
    </w:p>
    <w:p>
      <w:pPr>
        <w:spacing w:after="0" w:line="155"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5.01 </w:t>
      </w:r>
      <w:r>
        <w:rPr>
          <w:rFonts w:ascii="Times New Roman" w:cs="Times New Roman" w:eastAsia="Times New Roman" w:hAnsi="Times New Roman"/>
          <w:sz w:val="22"/>
          <w:szCs w:val="22"/>
          <w:u w:val="single" w:color="auto"/>
          <w:color w:val="auto"/>
        </w:rPr>
        <w:t>Warranty</w:t>
      </w:r>
      <w:r>
        <w:rPr>
          <w:rFonts w:ascii="Times New Roman" w:cs="Times New Roman" w:eastAsia="Times New Roman" w:hAnsi="Times New Roman"/>
          <w:sz w:val="22"/>
          <w:szCs w:val="22"/>
          <w:color w:val="auto"/>
        </w:rPr>
        <w:t>. West represents and warrants to Distributor that the Products sold to Distributor pursuant to this Agreement will conform to West’s written specifications for such products. The exclusive remedy for any breach of the warranty set forth above shall be as follows: West will at its option replace, repair or redesign, without charge to Distributor, or refund the invoice price with respect to any defective Product which was designed and manufactured by West, provided that a claim for such breach is made within one year of the sale of the Product in question. Products will be deemed defective only if so found after inspection by West at such place as it may specify. WEST MAKES NO OTHER WARRANTIES, EXPRESS OR IMPLIED, INCLUDING BUT NOT LIMITED TO ANY WARRANTY OF MERCHANTABILITY OR FITNESS FOR A PARTICULAR PURPOSE, WITH RESPECT TO THE PRODUCTS. THERE ARE NO OTHER WARRANTIES WITH RESPECT TO THE PRODUCTS ARISING FROM ANY COURSE OF DEALING, USAGE OF TRADE OR OTHERWISE. IN NO EVENT SHALL WEST BE LIABLE TO DISTRIBUTOR FOR (A) INDIRECT, SPECIAL, INCIDENTAL OR CONSEQUENTIAL DAMAGES UNDER THIS AGREEMENT OR IN TORT, OR (B) WITH RESPECT TO ANY CLAIM, LAWSUIT, PROCEEDING OR OTHER ACTION BASED UPON ANY ACTION TAKEN BY DISTRIBUTOR WITHOUT PRIOR INSTRUCTION FROM WEST OR ANY ACTION INCONSISTENT WITH SUCH INSTRUCTION.</w:t>
      </w:r>
    </w:p>
    <w:p>
      <w:pPr>
        <w:spacing w:after="0" w:line="16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5.02 </w:t>
      </w:r>
      <w:r>
        <w:rPr>
          <w:rFonts w:ascii="Times New Roman" w:cs="Times New Roman" w:eastAsia="Times New Roman" w:hAnsi="Times New Roman"/>
          <w:sz w:val="22"/>
          <w:szCs w:val="22"/>
          <w:u w:val="single" w:color="auto"/>
          <w:color w:val="auto"/>
        </w:rPr>
        <w:t>Restrictions on Representations</w:t>
      </w:r>
      <w:r>
        <w:rPr>
          <w:rFonts w:ascii="Times New Roman" w:cs="Times New Roman" w:eastAsia="Times New Roman" w:hAnsi="Times New Roman"/>
          <w:sz w:val="22"/>
          <w:szCs w:val="22"/>
          <w:color w:val="auto"/>
        </w:rPr>
        <w:t xml:space="preserve">. Distributor will not in any way make any representation or warranty </w:t>
      </w:r>
      <w:r>
        <w:rPr>
          <w:rFonts w:ascii="Times New Roman" w:cs="Times New Roman" w:eastAsia="Times New Roman" w:hAnsi="Times New Roman"/>
          <w:sz w:val="22"/>
          <w:szCs w:val="22"/>
          <w:color w:val="3F3F3F"/>
        </w:rPr>
        <w:t>regarding</w:t>
      </w:r>
      <w:r>
        <w:rPr>
          <w:rFonts w:ascii="Times New Roman" w:cs="Times New Roman" w:eastAsia="Times New Roman" w:hAnsi="Times New Roman"/>
          <w:sz w:val="22"/>
          <w:szCs w:val="22"/>
          <w:color w:val="auto"/>
        </w:rPr>
        <w:t xml:space="preserve"> the Products other than those from time to time contained in West’s sales literature or other publications.</w:t>
      </w:r>
    </w:p>
    <w:p>
      <w:pPr>
        <w:spacing w:after="0" w:line="150"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5.03 </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Distributor will indemnify, defend and hold West harmless from any and all liabilities, losses, obligations, expenses (including without limitation reasonable attorneys’ fees) and costs arising in connection with any lawsuit, proceeding or other action arising out of the operation of Distributor’s business or related to any claim by a third party based, in whole or in part, on Distributor’s distribution or use of the Products. The activities of any of Distributor’s employees or agents will be considered activities of Distributor for purposes of this section. West will have the right, but not the obligation, to assume the defense of any such lawsuit, proceeding or action</w:t>
      </w:r>
      <w:r>
        <w:rPr>
          <w:rFonts w:ascii="Times New Roman" w:cs="Times New Roman" w:eastAsia="Times New Roman" w:hAnsi="Times New Roman"/>
          <w:sz w:val="22"/>
          <w:szCs w:val="22"/>
          <w:color w:val="565656"/>
        </w:rPr>
        <w:t>.</w:t>
      </w:r>
      <w:r>
        <w:rPr>
          <w:rFonts w:ascii="Times New Roman" w:cs="Times New Roman" w:eastAsia="Times New Roman" w:hAnsi="Times New Roman"/>
          <w:sz w:val="22"/>
          <w:szCs w:val="22"/>
          <w:color w:val="auto"/>
        </w:rPr>
        <w:t xml:space="preserve"> West </w:t>
      </w:r>
      <w:r>
        <w:rPr>
          <w:rFonts w:ascii="Times New Roman" w:cs="Times New Roman" w:eastAsia="Times New Roman" w:hAnsi="Times New Roman"/>
          <w:sz w:val="22"/>
          <w:szCs w:val="22"/>
          <w:color w:val="3F3F3F"/>
        </w:rPr>
        <w:t>and</w:t>
      </w:r>
      <w:r>
        <w:rPr>
          <w:rFonts w:ascii="Times New Roman" w:cs="Times New Roman" w:eastAsia="Times New Roman" w:hAnsi="Times New Roman"/>
          <w:sz w:val="22"/>
          <w:szCs w:val="22"/>
          <w:color w:val="auto"/>
        </w:rPr>
        <w:t xml:space="preserve"> Distributor will each give the other prompt notice of any such claim, lawsuit, proceeding or action.</w:t>
      </w:r>
    </w:p>
    <w:p>
      <w:pPr>
        <w:spacing w:after="0" w:line="14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6</w:t>
      </w:r>
    </w:p>
    <w:p>
      <w:pPr>
        <w:ind w:left="4220"/>
        <w:spacing w:after="0"/>
        <w:rPr>
          <w:sz w:val="20"/>
          <w:szCs w:val="20"/>
          <w:color w:val="auto"/>
        </w:rPr>
      </w:pPr>
      <w:r>
        <w:rPr>
          <w:rFonts w:ascii="Times New Roman" w:cs="Times New Roman" w:eastAsia="Times New Roman" w:hAnsi="Times New Roman"/>
          <w:sz w:val="22"/>
          <w:szCs w:val="22"/>
          <w:b w:val="1"/>
          <w:bCs w:val="1"/>
          <w:color w:val="auto"/>
        </w:rPr>
        <w:t>TERM AND TERMINATION</w:t>
      </w:r>
    </w:p>
    <w:p>
      <w:pPr>
        <w:spacing w:after="0" w:line="15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6.01 </w:t>
      </w:r>
      <w:r>
        <w:rPr>
          <w:rFonts w:ascii="Times New Roman" w:cs="Times New Roman" w:eastAsia="Times New Roman" w:hAnsi="Times New Roman"/>
          <w:sz w:val="22"/>
          <w:szCs w:val="22"/>
          <w:u w:val="single" w:color="auto"/>
          <w:color w:val="3A3A3A"/>
        </w:rPr>
        <w:t>Term</w:t>
      </w:r>
      <w:r>
        <w:rPr>
          <w:rFonts w:ascii="Times New Roman" w:cs="Times New Roman" w:eastAsia="Times New Roman" w:hAnsi="Times New Roman"/>
          <w:sz w:val="22"/>
          <w:szCs w:val="22"/>
          <w:color w:val="3A3A3A"/>
        </w:rPr>
        <w:t>.</w:t>
      </w:r>
      <w:r>
        <w:rPr>
          <w:rFonts w:ascii="Times New Roman" w:cs="Times New Roman" w:eastAsia="Times New Roman" w:hAnsi="Times New Roman"/>
          <w:sz w:val="22"/>
          <w:szCs w:val="22"/>
          <w:color w:val="auto"/>
        </w:rPr>
        <w:t xml:space="preserve"> The term of this Agreement will commence on the date first written above and, unless terminated earlier in accordance with other provisions of this Agreement, will continue for a period of 10 years from such date.</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6.02</w:t>
      </w:r>
      <w:r>
        <w:rPr>
          <w:sz w:val="20"/>
          <w:szCs w:val="20"/>
          <w:color w:val="auto"/>
        </w:rPr>
        <w:tab/>
      </w:r>
      <w:r>
        <w:rPr>
          <w:rFonts w:ascii="Times New Roman" w:cs="Times New Roman" w:eastAsia="Times New Roman" w:hAnsi="Times New Roman"/>
          <w:sz w:val="21"/>
          <w:szCs w:val="21"/>
          <w:u w:val="single" w:color="auto"/>
          <w:color w:val="3A3A3A"/>
        </w:rPr>
        <w:t>Termination</w:t>
      </w:r>
      <w:r>
        <w:rPr>
          <w:rFonts w:ascii="Times New Roman" w:cs="Times New Roman" w:eastAsia="Times New Roman" w:hAnsi="Times New Roman"/>
          <w:sz w:val="21"/>
          <w:szCs w:val="21"/>
          <w:color w:val="3A3A3A"/>
        </w:rPr>
        <w:t>.</w:t>
      </w:r>
      <w:r>
        <w:rPr>
          <w:rFonts w:ascii="Times New Roman" w:cs="Times New Roman" w:eastAsia="Times New Roman" w:hAnsi="Times New Roman"/>
          <w:sz w:val="21"/>
          <w:szCs w:val="21"/>
          <w:u w:val="single" w:color="auto"/>
          <w:color w:val="3A3A3A"/>
        </w:rPr>
        <w:t xml:space="preserve"> </w:t>
      </w:r>
      <w:r>
        <w:rPr>
          <w:rFonts w:ascii="Times New Roman" w:cs="Times New Roman" w:eastAsia="Times New Roman" w:hAnsi="Times New Roman"/>
          <w:sz w:val="21"/>
          <w:szCs w:val="21"/>
          <w:color w:val="000000"/>
        </w:rPr>
        <w:t>This Agreement may be terminated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83" w:name="page84"/>
    <w:bookmarkEnd w:id="83"/>
    <w:p>
      <w:pPr>
        <w:ind w:right="20" w:firstLine="1304"/>
        <w:spacing w:after="0" w:line="236"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West or Distributor upon 90 days’ written notice at any time after both West and one of its wholly owned subsidiaries ceases to be a shareholder of Distributor.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7"/>
        </w:numPr>
        <w:rPr>
          <w:rFonts w:ascii="Times New Roman" w:cs="Times New Roman" w:eastAsia="Times New Roman" w:hAnsi="Times New Roman"/>
          <w:sz w:val="22"/>
          <w:szCs w:val="22"/>
          <w:color w:val="0A0A0A"/>
        </w:rPr>
      </w:pPr>
      <w:r>
        <w:rPr>
          <w:rFonts w:ascii="Times New Roman" w:cs="Times New Roman" w:eastAsia="Times New Roman" w:hAnsi="Times New Roman"/>
          <w:sz w:val="22"/>
          <w:szCs w:val="22"/>
          <w:color w:val="auto"/>
        </w:rPr>
        <w:t>By mutual written consent of both parties at any time.</w:t>
      </w:r>
    </w:p>
    <w:p>
      <w:pPr>
        <w:spacing w:after="0" w:line="179" w:lineRule="exact"/>
        <w:rPr>
          <w:rFonts w:ascii="Times New Roman" w:cs="Times New Roman" w:eastAsia="Times New Roman" w:hAnsi="Times New Roman"/>
          <w:sz w:val="22"/>
          <w:szCs w:val="22"/>
          <w:color w:val="0A0A0A"/>
        </w:rPr>
      </w:pPr>
    </w:p>
    <w:p>
      <w:pPr>
        <w:jc w:val="both"/>
        <w:ind w:right="20" w:firstLine="1304"/>
        <w:spacing w:after="0" w:line="225"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in the event of a Change in Control of the other. The terminating party will make this decision within one year after learning of such Change in Control and provide written notice three months prior to the termination.</w:t>
      </w:r>
    </w:p>
    <w:p>
      <w:pPr>
        <w:spacing w:after="0" w:line="152"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if the other party becomes the subject of a filing or a petition in bankruptcy, or in a judicial proceeding with the object of an arrangement with creditors, or if the rights of this Agreement are seized for the benefit of creditors, or if the other party becomes the subject of a petition for liquidation.</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party if the other party breaches a material provision of this Agreement through adverse action or a failure to act and such breach continues unremedied for 20 days despite written notification.</w:t>
      </w:r>
    </w:p>
    <w:p>
      <w:pPr>
        <w:spacing w:after="0" w:line="150"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6.03</w:t>
      </w:r>
      <w:r>
        <w:rPr>
          <w:sz w:val="20"/>
          <w:szCs w:val="20"/>
          <w:color w:val="auto"/>
        </w:rPr>
        <w:tab/>
      </w:r>
      <w:r>
        <w:rPr>
          <w:rFonts w:ascii="Times New Roman" w:cs="Times New Roman" w:eastAsia="Times New Roman" w:hAnsi="Times New Roman"/>
          <w:sz w:val="21"/>
          <w:szCs w:val="21"/>
          <w:u w:val="single" w:color="auto"/>
          <w:color w:val="auto"/>
        </w:rPr>
        <w:t>Effect of Termination</w:t>
      </w:r>
      <w:r>
        <w:rPr>
          <w:rFonts w:ascii="Times New Roman" w:cs="Times New Roman" w:eastAsia="Times New Roman" w:hAnsi="Times New Roman"/>
          <w:sz w:val="21"/>
          <w:szCs w:val="21"/>
          <w:color w:val="auto"/>
        </w:rPr>
        <w:t>. Upon termination of this Agreement, Distributor will immediately:</w:t>
      </w:r>
    </w:p>
    <w:p>
      <w:pPr>
        <w:spacing w:after="0" w:line="179" w:lineRule="exact"/>
        <w:rPr>
          <w:sz w:val="20"/>
          <w:szCs w:val="20"/>
          <w:color w:val="auto"/>
        </w:rPr>
      </w:pPr>
    </w:p>
    <w:p>
      <w:pPr>
        <w:jc w:val="both"/>
        <w:ind w:firstLine="1304"/>
        <w:spacing w:after="0" w:line="225"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cease to use any materials displaying any Mark, or any service mark or other means of product, service or business identification incorporating all or any part of any Mark, with regard to any product, service or business whatsoever, including, without limiting the foregoing, materials displaying the Marks listed in the attached Exhibit A;</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remove and discontinue the use of all signs, stationery, advertising and literature indicating that Distributor is a distributor or representative of, or is otherwise affiliated with, West;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all copies of confidential information in its possession or control to West and cease to use such confidential information for any purpose;</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8"/>
        </w:numPr>
        <w:rPr>
          <w:rFonts w:ascii="Times New Roman" w:cs="Times New Roman" w:eastAsia="Times New Roman" w:hAnsi="Times New Roman"/>
          <w:sz w:val="22"/>
          <w:szCs w:val="22"/>
          <w:color w:val="0A0A0A"/>
        </w:rPr>
      </w:pPr>
      <w:r>
        <w:rPr>
          <w:rFonts w:ascii="Times New Roman" w:cs="Times New Roman" w:eastAsia="Times New Roman" w:hAnsi="Times New Roman"/>
          <w:sz w:val="22"/>
          <w:szCs w:val="22"/>
          <w:color w:val="auto"/>
        </w:rPr>
        <w:t>return all Products which Distributor has received but for which it has not made payment; and</w:t>
      </w:r>
    </w:p>
    <w:p>
      <w:pPr>
        <w:spacing w:after="0" w:line="179" w:lineRule="exact"/>
        <w:rPr>
          <w:rFonts w:ascii="Times New Roman" w:cs="Times New Roman" w:eastAsia="Times New Roman" w:hAnsi="Times New Roman"/>
          <w:sz w:val="22"/>
          <w:szCs w:val="22"/>
          <w:color w:val="0A0A0A"/>
        </w:rPr>
      </w:pPr>
    </w:p>
    <w:p>
      <w:pPr>
        <w:ind w:firstLine="1304"/>
        <w:spacing w:after="0" w:line="236" w:lineRule="auto"/>
        <w:tabs>
          <w:tab w:leader="none" w:pos="1941"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they are in the name of Distributor and are transferable, transfer to West any and all registrations or licenses obtained by Distributor in respect of the Products.</w:t>
      </w:r>
    </w:p>
    <w:p>
      <w:pPr>
        <w:spacing w:after="0" w:line="2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If this Agreement expires according to its terms under Section 6.01 hereof or is terminated earlier pursuant to Sections 6.02(a) or (b) hereof: then West shall bear the cost of returning Products pursuant to Section 6.02(d), otherwise Distributor shall bear such cost.</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Distributor waives the applicability and protection of all laws, regardless of jurisdiction, giving to Distributor any rights of indemnity or other compensation in lieu of notice or otherwise arising upon termination of this Agreement or any other relationship between West and Distributor. West will not be required to indemnify or pay any amount to Distributor, whether as compensation, balancing, relief or otherwise, as a result of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84" w:name="page85"/>
    <w:bookmarkEnd w:id="84"/>
    <w:p>
      <w:pPr>
        <w:ind w:left="4980"/>
        <w:spacing w:after="0"/>
        <w:rPr>
          <w:sz w:val="20"/>
          <w:szCs w:val="20"/>
          <w:color w:val="auto"/>
        </w:rPr>
      </w:pPr>
      <w:r>
        <w:rPr>
          <w:rFonts w:ascii="Times New Roman" w:cs="Times New Roman" w:eastAsia="Times New Roman" w:hAnsi="Times New Roman"/>
          <w:sz w:val="22"/>
          <w:szCs w:val="22"/>
          <w:b w:val="1"/>
          <w:bCs w:val="1"/>
          <w:color w:val="auto"/>
        </w:rPr>
        <w:t>ARTICLE 7</w:t>
      </w:r>
    </w:p>
    <w:p>
      <w:pPr>
        <w:ind w:left="4680"/>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5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 xml:space="preserve">7.01 </w:t>
      </w:r>
      <w:r>
        <w:rPr>
          <w:rFonts w:ascii="Times New Roman" w:cs="Times New Roman" w:eastAsia="Times New Roman" w:hAnsi="Times New Roman"/>
          <w:sz w:val="22"/>
          <w:szCs w:val="22"/>
          <w:u w:val="single" w:color="auto"/>
          <w:color w:val="auto"/>
        </w:rPr>
        <w:t>Relationship of the Parties</w:t>
      </w:r>
      <w:r>
        <w:rPr>
          <w:rFonts w:ascii="Times New Roman" w:cs="Times New Roman" w:eastAsia="Times New Roman" w:hAnsi="Times New Roman"/>
          <w:sz w:val="22"/>
          <w:szCs w:val="22"/>
          <w:color w:val="auto"/>
        </w:rPr>
        <w:t>. Distributor will act hereunder as an independent contractor with no authority, either express or implied, to obligate West in any respect. All personnel of Distributor will be employees or agents solely of Distributor, and no such employee or agent will represent himself to be an employee or agent of West.</w:t>
      </w:r>
    </w:p>
    <w:p>
      <w:pPr>
        <w:spacing w:after="0" w:line="153"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7.02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Unenforceability of any provision or provisions of this Agreement will not render unenforceable, or impair, the remainder of this Agreement. If any provision or provisions of this Agreement will be found to be invalid, illegal or unenforceable, either in whole or in part, this Agreement will be deemed amended to delete or modify as necessary the offending provision or provisions and to alter the bounds thereof in order to render it valid and enforceable.</w:t>
      </w:r>
    </w:p>
    <w:p>
      <w:pPr>
        <w:spacing w:after="0" w:line="152"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 xml:space="preserve">7.03 </w:t>
      </w:r>
      <w:r>
        <w:rPr>
          <w:rFonts w:ascii="Times New Roman" w:cs="Times New Roman" w:eastAsia="Times New Roman" w:hAnsi="Times New Roman"/>
          <w:sz w:val="22"/>
          <w:szCs w:val="22"/>
          <w:u w:val="single" w:color="auto"/>
          <w:color w:val="auto"/>
        </w:rPr>
        <w:t>Transferability of Rights and Obligations</w:t>
      </w:r>
      <w:r>
        <w:rPr>
          <w:rFonts w:ascii="Times New Roman" w:cs="Times New Roman" w:eastAsia="Times New Roman" w:hAnsi="Times New Roman"/>
          <w:sz w:val="22"/>
          <w:szCs w:val="22"/>
          <w:color w:val="auto"/>
        </w:rPr>
        <w:t>. Neither party may transfer or assign (whether voluntarily, involuntarily or by operation of law) any of its rights or obligations under this Agreement to any person or entity without the prior written consent of the other party. Any attempt to transfer or assign any rights or obligations under this Agreement in violation of this Section will be void. Subject to the foregoing, this Agreement will bind and inure to the benefit of permitted successors and assigns of the parties.</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7.04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permitted or required to be given hereunder will be written in English and will be deemed duly given (a) when delivered by hand, (b) ten (10 business days after it is mailed, certified or return receipt requested, with postage prepaid; (c) when sent by telex (with answerback), (d) when sent by telecopy (with receipt confirmed), or (e) when receipt is signed for when sent by Federal Express, DHL or other express delivery service. Notices will be addressed as follows:</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West: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West Pharmaceutical Services,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530 Herman O. West Drive</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Exton, Pennsylvania 19341</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President and Chief Executive Officer</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Telecopier: [***]</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With a required copy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B2B2B"/>
        </w:rPr>
        <w:t>West Pharmaceutical Services,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B2B2B"/>
        </w:rPr>
        <w:t>530 Herman O. West Drive</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B2B2B"/>
        </w:rPr>
        <w:t>Exton, Pennsylvania 19341</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B2B2B"/>
        </w:rPr>
        <w:t>Attention: General Counsel</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B2B2B"/>
        </w:rPr>
        <w:t xml:space="preserve">Telecopier: </w:t>
      </w:r>
      <w:r>
        <w:rPr>
          <w:rFonts w:ascii="Times New Roman" w:cs="Times New Roman" w:eastAsia="Times New Roman" w:hAnsi="Times New Roman"/>
          <w:sz w:val="22"/>
          <w:szCs w:val="22"/>
          <w:color w:val="000000"/>
        </w:rPr>
        <w:t>[***]</w:t>
      </w:r>
    </w:p>
    <w:p>
      <w:pPr>
        <w:spacing w:after="0" w:line="19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B2B2B"/>
        </w:rPr>
        <w:t>If to Distributor,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Daikyo Seiko, Ltd.</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1305-1, Kurohakama-Cho</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Sano-Shi, Tochigi 327-0813</w:t>
      </w:r>
      <w:r>
        <w:rPr>
          <w:rFonts w:ascii="Times New Roman" w:cs="Times New Roman" w:eastAsia="Times New Roman" w:hAnsi="Times New Roman"/>
          <w:sz w:val="22"/>
          <w:szCs w:val="22"/>
          <w:color w:val="2B2B2B"/>
        </w:rPr>
        <w:t>, Japan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82" w:right="339" w:bottom="1440" w:gutter="0" w:footer="0" w:header="0"/>
        </w:sectPr>
      </w:pPr>
    </w:p>
    <w:bookmarkStart w:id="85" w:name="page86"/>
    <w:bookmarkEnd w:id="85"/>
    <w:p>
      <w:pPr>
        <w:spacing w:after="0" w:line="2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B2B2B"/>
        </w:rPr>
        <w:t>Attention: Morihiro Sudo, President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2B2B2B"/>
        </w:rPr>
        <w:t xml:space="preserve">Telecopier: </w:t>
      </w:r>
      <w:r>
        <w:rPr>
          <w:rFonts w:ascii="Times New Roman" w:cs="Times New Roman" w:eastAsia="Times New Roman" w:hAnsi="Times New Roman"/>
          <w:sz w:val="22"/>
          <w:szCs w:val="22"/>
          <w:color w:val="000000"/>
        </w:rPr>
        <w:t>[***]</w:t>
      </w:r>
    </w:p>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or at such other address as either party may direct the other in writing. Each party will promptly inform the other of any change of address or personnel to receive such notices.</w:t>
      </w:r>
    </w:p>
    <w:p>
      <w:pPr>
        <w:spacing w:after="0" w:line="11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7.05 </w:t>
      </w:r>
      <w:r>
        <w:rPr>
          <w:rFonts w:ascii="Times New Roman" w:cs="Times New Roman" w:eastAsia="Times New Roman" w:hAnsi="Times New Roman"/>
          <w:sz w:val="22"/>
          <w:szCs w:val="22"/>
          <w:u w:val="single" w:color="auto"/>
          <w:color w:val="auto"/>
        </w:rPr>
        <w:t>Modifications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3F3F3F"/>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Amendments</w:t>
      </w:r>
      <w:r>
        <w:rPr>
          <w:rFonts w:ascii="Times New Roman" w:cs="Times New Roman" w:eastAsia="Times New Roman" w:hAnsi="Times New Roman"/>
          <w:sz w:val="22"/>
          <w:szCs w:val="22"/>
          <w:color w:val="7C7C7C"/>
        </w:rPr>
        <w:t>.</w:t>
      </w:r>
      <w:r>
        <w:rPr>
          <w:rFonts w:ascii="Times New Roman" w:cs="Times New Roman" w:eastAsia="Times New Roman" w:hAnsi="Times New Roman"/>
          <w:sz w:val="22"/>
          <w:szCs w:val="22"/>
          <w:color w:val="auto"/>
        </w:rPr>
        <w:t xml:space="preserve"> No modification</w:t>
      </w:r>
      <w:r>
        <w:rPr>
          <w:rFonts w:ascii="Times New Roman" w:cs="Times New Roman" w:eastAsia="Times New Roman" w:hAnsi="Times New Roman"/>
          <w:sz w:val="22"/>
          <w:szCs w:val="22"/>
          <w:color w:val="5B5B5B"/>
        </w:rPr>
        <w:t>,</w:t>
      </w:r>
      <w:r>
        <w:rPr>
          <w:rFonts w:ascii="Times New Roman" w:cs="Times New Roman" w:eastAsia="Times New Roman" w:hAnsi="Times New Roman"/>
          <w:sz w:val="22"/>
          <w:szCs w:val="22"/>
          <w:color w:val="auto"/>
        </w:rPr>
        <w:t xml:space="preserve"> addition or amendment of this Agreement shall be binding on any party unless set forth in a document duly executed by or on behalf of such party. No waiver of any provision of this Agreement will constitute waiver of or excuse for any other breach or default. All waivers hereunder must be in writing signed by the party against which enforcement of such waiver is sought.</w:t>
      </w:r>
    </w:p>
    <w:p>
      <w:pPr>
        <w:spacing w:after="0" w:line="15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 xml:space="preserve">7.06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xml:space="preserve">. The headings preceding the text of the sections and subsections hereof </w:t>
      </w:r>
      <w:r>
        <w:rPr>
          <w:rFonts w:ascii="Times New Roman" w:cs="Times New Roman" w:eastAsia="Times New Roman" w:hAnsi="Times New Roman"/>
          <w:sz w:val="21"/>
          <w:szCs w:val="21"/>
          <w:color w:val="3F3F3F"/>
        </w:rPr>
        <w:t>are</w:t>
      </w:r>
      <w:r>
        <w:rPr>
          <w:rFonts w:ascii="Times New Roman" w:cs="Times New Roman" w:eastAsia="Times New Roman" w:hAnsi="Times New Roman"/>
          <w:sz w:val="21"/>
          <w:szCs w:val="21"/>
          <w:color w:val="auto"/>
        </w:rPr>
        <w:t xml:space="preserve"> inserted solely for convenience of reference, and will not constitute a part of this Agreement, nor, will they affect its meaning, construction or effect.</w:t>
      </w:r>
    </w:p>
    <w:p>
      <w:pPr>
        <w:spacing w:after="0" w:line="135"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2B2B2B"/>
        </w:rPr>
        <w:t xml:space="preserve">7.07 </w:t>
      </w:r>
      <w:r>
        <w:rPr>
          <w:rFonts w:ascii="Times New Roman" w:cs="Times New Roman" w:eastAsia="Times New Roman" w:hAnsi="Times New Roman"/>
          <w:sz w:val="22"/>
          <w:szCs w:val="22"/>
          <w:u w:val="single" w:color="auto"/>
          <w:color w:val="2B2B2B"/>
        </w:rPr>
        <w:t>Counterparts; Electronic Signatures</w:t>
      </w:r>
      <w:r>
        <w:rPr>
          <w:rFonts w:ascii="Times New Roman" w:cs="Times New Roman" w:eastAsia="Times New Roman" w:hAnsi="Times New Roman"/>
          <w:sz w:val="22"/>
          <w:szCs w:val="22"/>
          <w:color w:val="2B2B2B"/>
        </w:rPr>
        <w:t xml:space="preserve">. </w:t>
      </w:r>
      <w:r>
        <w:rPr>
          <w:rFonts w:ascii="Times New Roman" w:cs="Times New Roman" w:eastAsia="Times New Roman" w:hAnsi="Times New Roman"/>
          <w:sz w:val="22"/>
          <w:szCs w:val="22"/>
          <w:color w:val="000000"/>
        </w:rPr>
        <w:t>This Agreement may be executed in one or more</w:t>
      </w:r>
      <w:r>
        <w:rPr>
          <w:rFonts w:ascii="Times New Roman" w:cs="Times New Roman" w:eastAsia="Times New Roman" w:hAnsi="Times New Roman"/>
          <w:sz w:val="22"/>
          <w:szCs w:val="22"/>
          <w:color w:val="2B2B2B"/>
        </w:rPr>
        <w:t xml:space="preserve"> </w:t>
      </w:r>
      <w:r>
        <w:rPr>
          <w:rFonts w:ascii="Times New Roman" w:cs="Times New Roman" w:eastAsia="Times New Roman" w:hAnsi="Times New Roman"/>
          <w:sz w:val="22"/>
          <w:szCs w:val="22"/>
          <w:color w:val="3D3D3D"/>
        </w:rPr>
        <w:t>counterparts, including by</w:t>
      </w:r>
      <w:r>
        <w:rPr>
          <w:rFonts w:ascii="Times New Roman" w:cs="Times New Roman" w:eastAsia="Times New Roman" w:hAnsi="Times New Roman"/>
          <w:sz w:val="22"/>
          <w:szCs w:val="22"/>
          <w:color w:val="2B2B2B"/>
        </w:rPr>
        <w:t xml:space="preserve"> </w:t>
      </w:r>
      <w:r>
        <w:rPr>
          <w:rFonts w:ascii="Times New Roman" w:cs="Times New Roman" w:eastAsia="Times New Roman" w:hAnsi="Times New Roman"/>
          <w:sz w:val="22"/>
          <w:szCs w:val="22"/>
          <w:color w:val="3D3D3D"/>
        </w:rPr>
        <w:t xml:space="preserve">separate signature pages, each of which </w:t>
      </w:r>
      <w:r>
        <w:rPr>
          <w:rFonts w:ascii="Times New Roman" w:cs="Times New Roman" w:eastAsia="Times New Roman" w:hAnsi="Times New Roman"/>
          <w:sz w:val="22"/>
          <w:szCs w:val="22"/>
          <w:color w:val="000000"/>
        </w:rPr>
        <w:t>will be deemed an original, but all of which together will constitute one and the same</w:t>
      </w:r>
      <w:r>
        <w:rPr>
          <w:rFonts w:ascii="Times New Roman" w:cs="Times New Roman" w:eastAsia="Times New Roman" w:hAnsi="Times New Roman"/>
          <w:sz w:val="22"/>
          <w:szCs w:val="22"/>
          <w:color w:val="3D3D3D"/>
        </w:rPr>
        <w:t xml:space="preserve"> </w:t>
      </w:r>
      <w:r>
        <w:rPr>
          <w:rFonts w:ascii="Times New Roman" w:cs="Times New Roman" w:eastAsia="Times New Roman" w:hAnsi="Times New Roman"/>
          <w:sz w:val="22"/>
          <w:szCs w:val="22"/>
          <w:color w:val="000000"/>
        </w:rPr>
        <w:t>agreement. Signatures delivered by electronic transmission, including by PDF, facsimile, DocuSign, Adobe Sign, or other electronic signature platform or method, will be deemed to have the same legal effect as original signatures. The parties agree that this Agreement may be executed and delivered by electronic signature and that any such electronic signature will be valid, binding and enforceable to the same extent as a manually executed original signature.</w:t>
      </w:r>
    </w:p>
    <w:p>
      <w:pPr>
        <w:spacing w:after="0" w:line="152"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 xml:space="preserve">7.08 </w:t>
      </w: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Japanese law shall be applicable to this Agreement. There are English language and Japanese language versions of this Agreement. The English language version is controlling. The first-instance jurisdiction over all controversies arising out of this Agreement shall lie with the Tokyo District Court or the United States District Court for the Eastern District of Pennsylvania.</w:t>
      </w:r>
    </w:p>
    <w:p>
      <w:pPr>
        <w:spacing w:after="0" w:line="152"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21"/>
          <w:szCs w:val="21"/>
          <w:color w:val="auto"/>
        </w:rPr>
        <w:t xml:space="preserve">7.09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and the Exhibits hereto, each of which is incorporated herein, constitute the entire agreement between the parties with respect to the subject matter contained herein and supersedes all prior agreements, representations, statements, understandings, customs and trade usage; if any, whether written or oral. Distributor and West agree that the English language version of this Agreement shall control over translations of this Agreement into any other language.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86" w:name="page87"/>
    <w:bookmarkEnd w:id="86"/>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IN WITNESS </w:t>
      </w:r>
      <w:r>
        <w:rPr>
          <w:rFonts w:ascii="Times New Roman" w:cs="Times New Roman" w:eastAsia="Times New Roman" w:hAnsi="Times New Roman"/>
          <w:sz w:val="22"/>
          <w:szCs w:val="22"/>
          <w:color w:val="3F3F3F"/>
        </w:rPr>
        <w:t>WHEREOF,</w:t>
      </w:r>
      <w:r>
        <w:rPr>
          <w:rFonts w:ascii="Times New Roman" w:cs="Times New Roman" w:eastAsia="Times New Roman" w:hAnsi="Times New Roman"/>
          <w:sz w:val="22"/>
          <w:szCs w:val="22"/>
          <w:color w:val="auto"/>
        </w:rPr>
        <w:t xml:space="preserve"> the parties hereto have caused this Agreement to be duly executed as of the day and year first above written.</w:t>
      </w:r>
    </w:p>
    <w:p>
      <w:pPr>
        <w:spacing w:after="0" w:line="15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DAIKYO SEIKO, LTD.</w:t>
      </w:r>
    </w:p>
    <w:p>
      <w:pPr>
        <w:spacing w:after="0" w:line="200" w:lineRule="exact"/>
        <w:rPr>
          <w:sz w:val="20"/>
          <w:szCs w:val="20"/>
          <w:color w:val="auto"/>
        </w:rPr>
      </w:pPr>
    </w:p>
    <w:p>
      <w:pPr>
        <w:spacing w:after="0" w:line="3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4D4D4D"/>
        </w:rPr>
        <w:t>By</w:t>
      </w:r>
      <w:r>
        <w:rPr>
          <w:rFonts w:ascii="Times New Roman" w:cs="Times New Roman" w:eastAsia="Times New Roman" w:hAnsi="Times New Roman"/>
          <w:sz w:val="22"/>
          <w:szCs w:val="22"/>
          <w:i w:val="1"/>
          <w:iCs w:val="1"/>
          <w:color w:val="4D4D4D"/>
        </w:rPr>
        <w:t>: /s/ Morihiro Sudo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-11430</wp:posOffset>
            </wp:positionV>
            <wp:extent cx="11074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4D4D4D"/>
        </w:rPr>
        <w:t>Morihiro Sudo, President</w:t>
      </w:r>
    </w:p>
    <w:p>
      <w:pPr>
        <w:spacing w:after="0" w:line="200" w:lineRule="exact"/>
        <w:rPr>
          <w:sz w:val="20"/>
          <w:szCs w:val="20"/>
          <w:color w:val="auto"/>
        </w:rPr>
      </w:pPr>
    </w:p>
    <w:p>
      <w:pPr>
        <w:spacing w:after="0" w:line="2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 xml:space="preserve">WEST PHARMACEUTICAL SERVICES, </w:t>
      </w:r>
      <w:r>
        <w:rPr>
          <w:rFonts w:ascii="Times New Roman" w:cs="Times New Roman" w:eastAsia="Times New Roman" w:hAnsi="Times New Roman"/>
          <w:sz w:val="22"/>
          <w:szCs w:val="22"/>
          <w:b w:val="1"/>
          <w:bCs w:val="1"/>
          <w:color w:val="151515"/>
        </w:rPr>
        <w:t>INC.</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4D4D4D"/>
        </w:rPr>
        <w:t xml:space="preserve">By: </w:t>
      </w:r>
      <w:r>
        <w:rPr>
          <w:rFonts w:ascii="Times New Roman" w:cs="Times New Roman" w:eastAsia="Times New Roman" w:hAnsi="Times New Roman"/>
          <w:sz w:val="22"/>
          <w:szCs w:val="22"/>
          <w:i w:val="1"/>
          <w:iCs w:val="1"/>
          <w:u w:val="single" w:color="auto"/>
          <w:color w:val="4D4D4D"/>
        </w:rPr>
        <w:t>/s/</w:t>
      </w:r>
      <w:r>
        <w:rPr>
          <w:rFonts w:ascii="Times New Roman" w:cs="Times New Roman" w:eastAsia="Times New Roman" w:hAnsi="Times New Roman"/>
          <w:sz w:val="22"/>
          <w:szCs w:val="22"/>
          <w:color w:val="4D4D4D"/>
        </w:rPr>
        <w:t xml:space="preserve"> </w:t>
      </w:r>
      <w:r>
        <w:rPr>
          <w:rFonts w:ascii="Times New Roman" w:cs="Times New Roman" w:eastAsia="Times New Roman" w:hAnsi="Times New Roman"/>
          <w:sz w:val="22"/>
          <w:szCs w:val="22"/>
          <w:i w:val="1"/>
          <w:iCs w:val="1"/>
          <w:color w:val="000000"/>
        </w:rPr>
        <w:t>Eric M.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-11430</wp:posOffset>
            </wp:positionV>
            <wp:extent cx="9283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spacing w:after="0" w:line="1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Eric M. Green</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to Distributorship Agreement]</w:t>
      </w:r>
    </w:p>
    <w:p>
      <w:pPr>
        <w:sectPr>
          <w:pgSz w:w="11900" w:h="16838" w:orient="portrait"/>
          <w:cols w:equalWidth="0" w:num="1">
            <w:col w:w="11240"/>
          </w:cols>
          <w:pgMar w:left="320" w:top="1422" w:right="339" w:bottom="1440" w:gutter="0" w:footer="0" w:header="0"/>
        </w:sectPr>
      </w:pPr>
    </w:p>
    <w:bookmarkStart w:id="87" w:name="page88"/>
    <w:bookmarkEnd w:id="87"/>
    <w:p>
      <w:pPr>
        <w:jc w:val="right"/>
        <w:ind w:right="3939"/>
        <w:spacing w:after="0"/>
        <w:rPr>
          <w:sz w:val="20"/>
          <w:szCs w:val="20"/>
          <w:color w:val="auto"/>
        </w:rPr>
      </w:pPr>
      <w:r>
        <w:rPr>
          <w:rFonts w:ascii="Times New Roman" w:cs="Times New Roman" w:eastAsia="Times New Roman" w:hAnsi="Times New Roman"/>
          <w:sz w:val="22"/>
          <w:szCs w:val="22"/>
          <w:b w:val="1"/>
          <w:bCs w:val="1"/>
          <w:u w:val="single" w:color="auto"/>
          <w:color w:val="auto"/>
        </w:rPr>
        <w:t xml:space="preserve">EXHIBIT </w:t>
      </w:r>
      <w:r>
        <w:rPr>
          <w:rFonts w:ascii="Times New Roman" w:cs="Times New Roman" w:eastAsia="Times New Roman" w:hAnsi="Times New Roman"/>
          <w:sz w:val="22"/>
          <w:szCs w:val="22"/>
          <w:b w:val="1"/>
          <w:bCs w:val="1"/>
          <w:u w:val="single" w:color="auto"/>
          <w:color w:val="161616"/>
        </w:rPr>
        <w:t>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LICENSED WEST TRADEMARKS</w:t>
      </w:r>
    </w:p>
    <w:p>
      <w:pPr>
        <w:sectPr>
          <w:pgSz w:w="11900" w:h="16838" w:orient="portrait"/>
          <w:cols w:equalWidth="0" w:num="1">
            <w:col w:w="10139"/>
          </w:cols>
          <w:pgMar w:left="320" w:top="1418" w:right="1440"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Michel Lagarde, certify that:</w:t>
      </w:r>
    </w:p>
    <w:p>
      <w:pPr>
        <w:spacing w:after="0" w:line="17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Michel Lagarde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 Lagarde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1240"/>
          </w:cols>
          <w:pgMar w:left="320" w:top="1413"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McMahon, certify that:</w:t>
      </w:r>
    </w:p>
    <w:p>
      <w:pPr>
        <w:spacing w:after="0" w:line="171"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 Pharmaceutical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Robert W. McMahon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McMahon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1240"/>
          </w:cols>
          <w:pgMar w:left="320" w:top="1413"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West Pharmaceutical Services, Inc. (the “Company”) for the period ended September 30, 2026, as filed with the Securities and Exchange Commission on the date hereof (the “Report”), I, Michel Lagarde, President and Chief Executive Officer of the Company, certify, pursuant to 18 U.S.C. Section 1350, as adopted pursuant to Section 906 of the Sarbanes-Oxley Act of 2002, that:</w:t>
      </w:r>
    </w:p>
    <w:p>
      <w:pPr>
        <w:spacing w:after="0" w:line="68" w:lineRule="exact"/>
        <w:rPr>
          <w:sz w:val="20"/>
          <w:szCs w:val="20"/>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Michel Lagarde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Michel Lagarde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ectPr>
          <w:pgSz w:w="11900" w:h="16838" w:orient="portrait"/>
          <w:cols w:equalWidth="0" w:num="1">
            <w:col w:w="11240"/>
          </w:cols>
          <w:pgMar w:left="320" w:top="1413"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99"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on Form 10-Q of West Pharmaceutical Services, Inc. (the “Company”) for the period ended September 30, 2026, as filed with the Securities and Exchange Commission on the date hereof (the “Report”), I, Robert W. McMahon, Senior Vice President, Chief Financial Officer of the Company, certify, pursuant to 18 U.S.C. Section 1350, as adopted pursuant to Section 906 of the Sarbanes-Oxley Act of 2002, that:</w:t>
      </w:r>
    </w:p>
    <w:p>
      <w:pPr>
        <w:spacing w:after="0" w:line="50"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Robert W. McMahon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W. McMahon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lvl w:ilvl="1">
      <w:lvlJc w:val="left"/>
      <w:lvlText w:val="%2"/>
      <w:numFmt w:val="decimal"/>
      <w:start w:val="104"/>
    </w:lvl>
  </w:abstractNum>
  <w:abstractNum w:abstractNumId="12">
    <w:nsid w:val="71F32454"/>
    <w:multiLevelType w:val="hybridMultilevel"/>
    <w:lvl w:ilvl="0">
      <w:lvlJc w:val="left"/>
      <w:lvlText w:val="(%1)"/>
      <w:numFmt w:val="decimal"/>
      <w:start w:val="1"/>
    </w:lvl>
    <w:lvl w:ilvl="1">
      <w:lvlJc w:val="left"/>
      <w:lvlText w:val="%2"/>
      <w:numFmt w:val="decimal"/>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lowerLetter"/>
      <w:start w:val="4"/>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2"/>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5"/>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4"/>
    </w:lvl>
    <w:lvl w:ilvl="1">
      <w:lvlJc w:val="left"/>
      <w:lvlText w:val="%"/>
      <w:numFmt w:val="bullet"/>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7">
    <w:nsid w:val="5577F8E1"/>
    <w:multiLevelType w:val="hybridMultilevel"/>
    <w:lvl w:ilvl="0">
      <w:lvlJc w:val="left"/>
      <w:lvlText w:val="%1"/>
      <w:numFmt w:val="decimal"/>
      <w:start w:val="1"/>
    </w:lvl>
    <w:lvl w:ilvl="1">
      <w:lvlJc w:val="left"/>
      <w:lvlText w:val="%2."/>
      <w:numFmt w:val="lowerLetter"/>
      <w:start w:val="8"/>
    </w:lvl>
  </w:abstractNum>
  <w:abstractNum w:abstractNumId="28">
    <w:nsid w:val="440BADFC"/>
    <w:multiLevelType w:val="hybridMultilevel"/>
    <w:lvl w:ilvl="0">
      <w:lvlJc w:val="left"/>
      <w:lvlText w:val="%1."/>
      <w:numFmt w:val="decimal"/>
      <w:start w:val="2"/>
    </w:lvl>
    <w:lvl w:ilvl="1">
      <w:lvlJc w:val="left"/>
      <w:lvlText w:val="%2."/>
      <w:numFmt w:val="lowerLetter"/>
      <w:start w:val="1"/>
    </w:lvl>
  </w:abstractNum>
  <w:abstractNum w:abstractNumId="29">
    <w:nsid w:val="5072367"/>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lowerRoman"/>
      <w:start w:val="1"/>
    </w:lvl>
  </w:abstractNum>
  <w:abstractNum w:abstractNumId="30">
    <w:nsid w:val="3804823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1">
    <w:nsid w:val="77465F01"/>
    <w:multiLevelType w:val="hybridMultilevel"/>
    <w:lvl w:ilvl="0">
      <w:lvlJc w:val="left"/>
      <w:lvlText w:val="(%1)"/>
      <w:numFmt w:val="lowerLetter"/>
      <w:start w:val="1"/>
    </w:lvl>
    <w:lvl w:ilvl="1">
      <w:lvlJc w:val="left"/>
      <w:lvlText w:val="(%2)"/>
      <w:numFmt w:val="lowerRoman"/>
      <w:start w:val="1"/>
    </w:lvl>
  </w:abstractNum>
  <w:abstractNum w:abstractNumId="32">
    <w:nsid w:val="7724C67E"/>
    <w:multiLevelType w:val="hybridMultilevel"/>
    <w:lvl w:ilvl="0">
      <w:lvlJc w:val="left"/>
      <w:lvlText w:val="(%1)"/>
      <w:numFmt w:val="lowerRoman"/>
      <w:start w:val="6"/>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lvl w:ilvl="1">
      <w:lvlJc w:val="left"/>
      <w:lvlText w:val="(%2)"/>
      <w:numFmt w:val="lowerRoman"/>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22" Type="http://schemas.openxmlformats.org/officeDocument/2006/relationships/hyperlink" Target="https://www.sec.gov/ix?doc=/Archives/edgar/data/0000105770/000010577026000010/wst-20251231.htm" TargetMode="External"/><Relationship Id="rId68" Type="http://schemas.openxmlformats.org/officeDocument/2006/relationships/hyperlink" Target="https://www.sec.gov/Archives/edgar/data/105770/000010577025000039/finalmay2025articlesofin.htm" TargetMode="External"/><Relationship Id="rId69" Type="http://schemas.openxmlformats.org/officeDocument/2006/relationships/hyperlink" Target="https://www.sec.gov/Archives/edgar/data/105770/000010577023000068/amendedrestatedbylawsoct20.htm" TargetMode="External"/><Relationship Id="rId70" Type="http://schemas.openxmlformats.org/officeDocument/2006/relationships/hyperlink" Target="https://www.sec.gov/Archives/edgar/data/105770/000010577026000010/ex43descriptionofsecuriti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2026-10-29T16:28:04Z</dcterms:created>
  <dcterms:modified xsi:type="dcterms:W3CDTF">2026-10-29T16:28:04Z</dcterms:modified>
</cp:coreProperties>
</file>