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216535</wp:posOffset>
            </wp:positionH>
            <wp:positionV relativeFrom="page">
              <wp:posOffset>791845</wp:posOffset>
            </wp:positionV>
            <wp:extent cx="711517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-160020</wp:posOffset>
            </wp:positionV>
            <wp:extent cx="711517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SECURITIES AND EXCHANGE COMMISSION</w:t>
      </w:r>
    </w:p>
    <w:p>
      <w:pPr>
        <w:spacing w:after="0" w:line="2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378"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FORM 10-Q</w:t>
      </w:r>
    </w:p>
    <w:p>
      <w:pPr>
        <w:spacing w:after="0" w:line="10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0" w:lineRule="exact"/>
        <w:rPr>
          <w:sz w:val="24"/>
          <w:szCs w:val="24"/>
          <w:color w:val="auto"/>
        </w:rPr>
      </w:pPr>
    </w:p>
    <w:p>
      <w:pPr>
        <w:ind w:left="500" w:hanging="339"/>
        <w:spacing w:after="0"/>
        <w:tabs>
          <w:tab w:leader="none" w:pos="50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0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 the quarterly period ended June 30, 2023</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color w:val="auto"/>
        </w:rPr>
        <w:t>or</w:t>
      </w:r>
    </w:p>
    <w:p>
      <w:pPr>
        <w:ind w:left="500" w:hanging="339"/>
        <w:spacing w:after="0" w:line="232" w:lineRule="auto"/>
        <w:tabs>
          <w:tab w:leader="none" w:pos="500" w:val="left"/>
        </w:tabs>
        <w:numPr>
          <w:ilvl w:val="0"/>
          <w:numId w:val="2"/>
        </w:numPr>
        <w:rPr>
          <w:rFonts w:ascii="MS PGothic" w:cs="MS PGothic" w:eastAsia="MS PGothic" w:hAnsi="MS PGothic"/>
          <w:sz w:val="4"/>
          <w:szCs w:val="4"/>
          <w:color w:val="auto"/>
        </w:rPr>
      </w:pPr>
      <w:r>
        <w:rPr>
          <w:rFonts w:ascii="Arial" w:cs="Arial" w:eastAsia="Arial" w:hAnsi="Arial"/>
          <w:sz w:val="4"/>
          <w:szCs w:val="4"/>
          <w:b w:val="1"/>
          <w:bCs w:val="1"/>
          <w:color w:val="auto"/>
        </w:rPr>
        <w:t>TRANSITION REPORT PURSUANT TO SECTION 13 OR 15(d) OF THE SECURITIES EXCHANGE ACT OF 1934</w:t>
      </w:r>
    </w:p>
    <w:p>
      <w:pPr>
        <w:spacing w:after="0" w:line="297" w:lineRule="exact"/>
        <w:rPr>
          <w:sz w:val="24"/>
          <w:szCs w:val="24"/>
          <w:color w:val="auto"/>
        </w:rPr>
      </w:pPr>
    </w:p>
    <w:p>
      <w:pPr>
        <w:ind w:left="4120"/>
        <w:spacing w:after="0"/>
        <w:tabs>
          <w:tab w:leader="none" w:pos="69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3"/>
          <w:szCs w:val="13"/>
          <w:b w:val="1"/>
          <w:bCs w:val="1"/>
          <w:color w:val="auto"/>
        </w:rPr>
        <w:t>to</w:t>
      </w:r>
    </w:p>
    <w:p>
      <w:pPr>
        <w:spacing w:after="0" w:line="252"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Commission File Number 1-8036</w:t>
      </w:r>
    </w:p>
    <w:p>
      <w:pPr>
        <w:spacing w:after="0" w:line="256"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WEST PHARMACEUTICAL SERVICES, INC.</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(Exact name of registrant as specified in its charter)</w:t>
      </w:r>
    </w:p>
    <w:p>
      <w:pPr>
        <w:spacing w:after="0" w:line="16" w:lineRule="exact"/>
        <w:rPr>
          <w:sz w:val="24"/>
          <w:szCs w:val="24"/>
          <w:color w:val="auto"/>
        </w:rPr>
      </w:pPr>
    </w:p>
    <w:tbl>
      <w:tblPr>
        <w:tblLayout w:type="fixed"/>
        <w:tblInd w:w="720" w:type="dxa"/>
        <w:tblCellMar>
          <w:top w:w="0" w:type="dxa"/>
          <w:left w:w="0" w:type="dxa"/>
          <w:bottom w:w="0" w:type="dxa"/>
          <w:right w:w="0" w:type="dxa"/>
        </w:tblCellMar>
      </w:tblPr>
      <w:tr>
        <w:trPr>
          <w:trHeight w:val="234"/>
        </w:trPr>
        <w:tc>
          <w:tcPr>
            <w:tcW w:w="5300" w:type="dxa"/>
            <w:vAlign w:val="bottom"/>
          </w:tcPr>
          <w:p>
            <w:pPr>
              <w:jc w:val="center"/>
              <w:ind w:right="870"/>
              <w:spacing w:after="0"/>
              <w:rPr>
                <w:sz w:val="20"/>
                <w:szCs w:val="20"/>
                <w:color w:val="auto"/>
              </w:rPr>
            </w:pPr>
            <w:r>
              <w:rPr>
                <w:rFonts w:ascii="Arial" w:cs="Arial" w:eastAsia="Arial" w:hAnsi="Arial"/>
                <w:sz w:val="18"/>
                <w:szCs w:val="18"/>
                <w:b w:val="1"/>
                <w:bCs w:val="1"/>
                <w:color w:val="auto"/>
                <w:w w:val="88"/>
              </w:rPr>
              <w:t>Pennsylvania</w:t>
            </w:r>
          </w:p>
        </w:tc>
        <w:tc>
          <w:tcPr>
            <w:tcW w:w="3940" w:type="dxa"/>
            <w:vAlign w:val="bottom"/>
          </w:tcPr>
          <w:p>
            <w:pPr>
              <w:jc w:val="center"/>
              <w:ind w:left="930"/>
              <w:spacing w:after="0"/>
              <w:rPr>
                <w:sz w:val="20"/>
                <w:szCs w:val="20"/>
                <w:color w:val="auto"/>
              </w:rPr>
            </w:pPr>
            <w:r>
              <w:rPr>
                <w:rFonts w:ascii="Arial" w:cs="Arial" w:eastAsia="Arial" w:hAnsi="Arial"/>
                <w:sz w:val="18"/>
                <w:szCs w:val="18"/>
                <w:b w:val="1"/>
                <w:bCs w:val="1"/>
                <w:color w:val="auto"/>
                <w:w w:val="91"/>
              </w:rPr>
              <w:t>23-1210010</w:t>
            </w:r>
          </w:p>
        </w:tc>
      </w:tr>
      <w:tr>
        <w:trPr>
          <w:trHeight w:val="243"/>
        </w:trPr>
        <w:tc>
          <w:tcPr>
            <w:tcW w:w="5300" w:type="dxa"/>
            <w:vAlign w:val="bottom"/>
          </w:tcPr>
          <w:p>
            <w:pPr>
              <w:jc w:val="center"/>
              <w:ind w:right="91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940" w:type="dxa"/>
            <w:vAlign w:val="bottom"/>
          </w:tcPr>
          <w:p>
            <w:pPr>
              <w:jc w:val="center"/>
              <w:ind w:left="910"/>
              <w:spacing w:after="0"/>
              <w:rPr>
                <w:sz w:val="20"/>
                <w:szCs w:val="20"/>
                <w:color w:val="auto"/>
              </w:rPr>
            </w:pPr>
            <w:r>
              <w:rPr>
                <w:rFonts w:ascii="Arial" w:cs="Arial" w:eastAsia="Arial" w:hAnsi="Arial"/>
                <w:sz w:val="18"/>
                <w:szCs w:val="18"/>
                <w:color w:val="auto"/>
                <w:w w:val="93"/>
              </w:rPr>
              <w:t>(I.R.S. Employer Identification Number)</w:t>
            </w:r>
          </w:p>
        </w:tc>
      </w:tr>
      <w:tr>
        <w:trPr>
          <w:trHeight w:val="391"/>
        </w:trPr>
        <w:tc>
          <w:tcPr>
            <w:tcW w:w="5300" w:type="dxa"/>
            <w:vAlign w:val="bottom"/>
          </w:tcPr>
          <w:p>
            <w:pPr>
              <w:jc w:val="center"/>
              <w:ind w:right="890"/>
              <w:spacing w:after="0"/>
              <w:rPr>
                <w:sz w:val="20"/>
                <w:szCs w:val="20"/>
                <w:color w:val="auto"/>
              </w:rPr>
            </w:pPr>
            <w:r>
              <w:rPr>
                <w:rFonts w:ascii="Arial" w:cs="Arial" w:eastAsia="Arial" w:hAnsi="Arial"/>
                <w:sz w:val="18"/>
                <w:szCs w:val="18"/>
                <w:b w:val="1"/>
                <w:bCs w:val="1"/>
                <w:color w:val="auto"/>
                <w:w w:val="92"/>
              </w:rPr>
              <w:t>530 Herman O. West Drive, Exton, PA</w:t>
            </w:r>
          </w:p>
        </w:tc>
        <w:tc>
          <w:tcPr>
            <w:tcW w:w="3940" w:type="dxa"/>
            <w:vAlign w:val="bottom"/>
          </w:tcPr>
          <w:p>
            <w:pPr>
              <w:jc w:val="center"/>
              <w:ind w:left="910"/>
              <w:spacing w:after="0"/>
              <w:rPr>
                <w:sz w:val="20"/>
                <w:szCs w:val="20"/>
                <w:color w:val="auto"/>
              </w:rPr>
            </w:pPr>
            <w:r>
              <w:rPr>
                <w:rFonts w:ascii="Arial" w:cs="Arial" w:eastAsia="Arial" w:hAnsi="Arial"/>
                <w:sz w:val="18"/>
                <w:szCs w:val="18"/>
                <w:b w:val="1"/>
                <w:bCs w:val="1"/>
                <w:color w:val="auto"/>
                <w:w w:val="89"/>
              </w:rPr>
              <w:t>19341-1147</w:t>
            </w:r>
          </w:p>
        </w:tc>
      </w:tr>
      <w:tr>
        <w:trPr>
          <w:trHeight w:val="230"/>
        </w:trPr>
        <w:tc>
          <w:tcPr>
            <w:tcW w:w="5300" w:type="dxa"/>
            <w:vAlign w:val="bottom"/>
          </w:tcPr>
          <w:p>
            <w:pPr>
              <w:jc w:val="center"/>
              <w:ind w:right="890"/>
              <w:spacing w:after="0"/>
              <w:rPr>
                <w:sz w:val="20"/>
                <w:szCs w:val="20"/>
                <w:color w:val="auto"/>
              </w:rPr>
            </w:pPr>
            <w:r>
              <w:rPr>
                <w:rFonts w:ascii="Arial" w:cs="Arial" w:eastAsia="Arial" w:hAnsi="Arial"/>
                <w:sz w:val="18"/>
                <w:szCs w:val="18"/>
                <w:color w:val="auto"/>
                <w:w w:val="92"/>
              </w:rPr>
              <w:t>(Address of principal executive offices)</w:t>
            </w:r>
          </w:p>
        </w:tc>
        <w:tc>
          <w:tcPr>
            <w:tcW w:w="3940" w:type="dxa"/>
            <w:vAlign w:val="bottom"/>
          </w:tcPr>
          <w:p>
            <w:pPr>
              <w:jc w:val="center"/>
              <w:ind w:left="930"/>
              <w:spacing w:after="0"/>
              <w:rPr>
                <w:sz w:val="20"/>
                <w:szCs w:val="20"/>
                <w:color w:val="auto"/>
              </w:rPr>
            </w:pPr>
            <w:r>
              <w:rPr>
                <w:rFonts w:ascii="Arial" w:cs="Arial" w:eastAsia="Arial" w:hAnsi="Arial"/>
                <w:sz w:val="18"/>
                <w:szCs w:val="18"/>
                <w:color w:val="auto"/>
                <w:w w:val="94"/>
              </w:rPr>
              <w:t>(Zip Code)</w:t>
            </w:r>
          </w:p>
        </w:tc>
      </w:tr>
    </w:tbl>
    <w:p>
      <w:pPr>
        <w:spacing w:after="0" w:line="319" w:lineRule="exact"/>
        <w:rPr>
          <w:sz w:val="24"/>
          <w:szCs w:val="24"/>
          <w:color w:val="auto"/>
        </w:rPr>
      </w:pPr>
    </w:p>
    <w:p>
      <w:pPr>
        <w:ind w:left="3220"/>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610-594-2900</w:t>
      </w:r>
    </w:p>
    <w:p>
      <w:pPr>
        <w:spacing w:after="0" w:line="121"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ectPr>
          <w:pgSz w:w="11900" w:h="16838" w:orient="portrait"/>
          <w:cols w:equalWidth="0" w:num="1">
            <w:col w:w="11120"/>
          </w:cols>
          <w:pgMar w:left="320" w:top="1287" w:right="459" w:bottom="1440" w:gutter="0" w:footer="0" w:header="0"/>
        </w:sectPr>
      </w:pPr>
    </w:p>
    <w:p>
      <w:pPr>
        <w:spacing w:after="0" w:line="46" w:lineRule="exact"/>
        <w:rPr>
          <w:sz w:val="24"/>
          <w:szCs w:val="24"/>
          <w:color w:val="auto"/>
        </w:rPr>
      </w:pPr>
    </w:p>
    <w:p>
      <w:pPr>
        <w:jc w:val="center"/>
        <w:ind w:left="360"/>
        <w:spacing w:after="0"/>
        <w:rPr>
          <w:sz w:val="20"/>
          <w:szCs w:val="20"/>
          <w:color w:val="auto"/>
        </w:rPr>
      </w:pPr>
      <w:r>
        <w:rPr>
          <w:rFonts w:ascii="Arial" w:cs="Arial" w:eastAsia="Arial" w:hAnsi="Arial"/>
          <w:sz w:val="18"/>
          <w:szCs w:val="18"/>
          <w:b w:val="1"/>
          <w:bCs w:val="1"/>
          <w:color w:val="auto"/>
        </w:rPr>
        <w:t>Title of each class</w:t>
      </w:r>
    </w:p>
    <w:p>
      <w:pPr>
        <w:spacing w:after="0" w:line="27" w:lineRule="exact"/>
        <w:rPr>
          <w:sz w:val="24"/>
          <w:szCs w:val="24"/>
          <w:color w:val="auto"/>
        </w:rPr>
      </w:pPr>
    </w:p>
    <w:p>
      <w:pPr>
        <w:jc w:val="center"/>
        <w:ind w:left="360"/>
        <w:spacing w:after="0"/>
        <w:rPr>
          <w:sz w:val="20"/>
          <w:szCs w:val="20"/>
          <w:color w:val="auto"/>
        </w:rPr>
      </w:pPr>
      <w:r>
        <w:rPr>
          <w:rFonts w:ascii="Arial" w:cs="Arial" w:eastAsia="Arial" w:hAnsi="Arial"/>
          <w:sz w:val="16"/>
          <w:szCs w:val="16"/>
          <w:color w:val="auto"/>
        </w:rPr>
        <w:t>Common Stock, par value $0.25 per share</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280"/>
        <w:spacing w:after="0"/>
        <w:rPr>
          <w:sz w:val="20"/>
          <w:szCs w:val="20"/>
          <w:color w:val="auto"/>
        </w:rPr>
      </w:pPr>
      <w:r>
        <w:rPr>
          <w:rFonts w:ascii="Arial" w:cs="Arial" w:eastAsia="Arial" w:hAnsi="Arial"/>
          <w:sz w:val="16"/>
          <w:szCs w:val="16"/>
          <w:b w:val="1"/>
          <w:bCs w:val="1"/>
          <w:color w:val="auto"/>
        </w:rPr>
        <w:t>Trading Symbol</w:t>
      </w:r>
    </w:p>
    <w:p>
      <w:pPr>
        <w:spacing w:after="0" w:line="50" w:lineRule="exact"/>
        <w:rPr>
          <w:sz w:val="24"/>
          <w:szCs w:val="24"/>
          <w:color w:val="auto"/>
        </w:rPr>
      </w:pPr>
    </w:p>
    <w:p>
      <w:pPr>
        <w:jc w:val="center"/>
        <w:ind w:right="280"/>
        <w:spacing w:after="0"/>
        <w:rPr>
          <w:sz w:val="20"/>
          <w:szCs w:val="20"/>
          <w:color w:val="auto"/>
        </w:rPr>
      </w:pPr>
      <w:r>
        <w:rPr>
          <w:rFonts w:ascii="Arial" w:cs="Arial" w:eastAsia="Arial" w:hAnsi="Arial"/>
          <w:sz w:val="18"/>
          <w:szCs w:val="18"/>
          <w:color w:val="auto"/>
        </w:rPr>
        <w:t>WST</w:t>
      </w:r>
    </w:p>
    <w:p>
      <w:pPr>
        <w:spacing w:after="0" w:line="20" w:lineRule="exact"/>
        <w:rPr>
          <w:sz w:val="24"/>
          <w:szCs w:val="24"/>
          <w:color w:val="auto"/>
        </w:rPr>
      </w:pPr>
      <w:r>
        <w:rPr>
          <w:sz w:val="24"/>
          <w:szCs w:val="24"/>
          <w:color w:val="auto"/>
        </w:rPr>
        <w:br w:type="column"/>
      </w:r>
    </w:p>
    <w:p>
      <w:pPr>
        <w:spacing w:after="0" w:line="26" w:lineRule="exact"/>
        <w:rPr>
          <w:sz w:val="24"/>
          <w:szCs w:val="24"/>
          <w:color w:val="auto"/>
        </w:rPr>
      </w:pPr>
    </w:p>
    <w:p>
      <w:pPr>
        <w:jc w:val="center"/>
        <w:ind w:right="540"/>
        <w:spacing w:after="0"/>
        <w:rPr>
          <w:sz w:val="20"/>
          <w:szCs w:val="20"/>
          <w:color w:val="auto"/>
        </w:rPr>
      </w:pPr>
      <w:r>
        <w:rPr>
          <w:rFonts w:ascii="Arial" w:cs="Arial" w:eastAsia="Arial" w:hAnsi="Arial"/>
          <w:sz w:val="15"/>
          <w:szCs w:val="15"/>
          <w:b w:val="1"/>
          <w:bCs w:val="1"/>
          <w:color w:val="auto"/>
        </w:rPr>
        <w:t>Name of each exchange on which registered</w:t>
      </w:r>
    </w:p>
    <w:p>
      <w:pPr>
        <w:spacing w:after="0" w:line="62" w:lineRule="exact"/>
        <w:rPr>
          <w:sz w:val="24"/>
          <w:szCs w:val="24"/>
          <w:color w:val="auto"/>
        </w:rPr>
      </w:pPr>
    </w:p>
    <w:p>
      <w:pPr>
        <w:jc w:val="center"/>
        <w:ind w:right="540"/>
        <w:spacing w:after="0"/>
        <w:rPr>
          <w:sz w:val="20"/>
          <w:szCs w:val="20"/>
          <w:color w:val="auto"/>
        </w:rPr>
      </w:pPr>
      <w:r>
        <w:rPr>
          <w:rFonts w:ascii="Arial" w:cs="Arial" w:eastAsia="Arial" w:hAnsi="Arial"/>
          <w:sz w:val="18"/>
          <w:szCs w:val="18"/>
          <w:color w:val="auto"/>
        </w:rPr>
        <w:t>New York Stock Exchange</w:t>
      </w:r>
    </w:p>
    <w:p>
      <w:pPr>
        <w:spacing w:after="0" w:line="200" w:lineRule="exact"/>
        <w:rPr>
          <w:sz w:val="24"/>
          <w:szCs w:val="24"/>
          <w:color w:val="auto"/>
        </w:rPr>
      </w:pPr>
    </w:p>
    <w:p>
      <w:pPr>
        <w:sectPr>
          <w:pgSz w:w="11900" w:h="16838" w:orient="portrait"/>
          <w:cols w:equalWidth="0" w:num="3">
            <w:col w:w="4280" w:space="720"/>
            <w:col w:w="1520" w:space="720"/>
            <w:col w:w="3880"/>
          </w:cols>
          <w:pgMar w:left="320" w:top="1287" w:right="459" w:bottom="1440" w:gutter="0" w:footer="0" w:header="0"/>
          <w:type w:val="continuous"/>
        </w:sectPr>
      </w:pPr>
    </w:p>
    <w:p>
      <w:pPr>
        <w:spacing w:after="0" w:line="11" w:lineRule="exact"/>
        <w:rPr>
          <w:sz w:val="24"/>
          <w:szCs w:val="24"/>
          <w:color w:val="auto"/>
        </w:rPr>
      </w:pPr>
    </w:p>
    <w:p>
      <w:pPr>
        <w:ind w:right="180"/>
        <w:spacing w:after="0" w:line="287" w:lineRule="auto"/>
        <w:rPr>
          <w:sz w:val="20"/>
          <w:szCs w:val="20"/>
          <w:color w:val="auto"/>
        </w:rPr>
      </w:pPr>
      <w:r>
        <w:rPr>
          <w:rFonts w:ascii="Arial" w:cs="Arial" w:eastAsia="Arial" w:hAnsi="Arial"/>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860" w:val="left"/>
        </w:tabs>
        <w:rPr>
          <w:sz w:val="20"/>
          <w:szCs w:val="20"/>
          <w:color w:val="auto"/>
        </w:rPr>
      </w:pPr>
      <w:r>
        <w:rPr>
          <w:rFonts w:ascii="Arial" w:cs="Arial" w:eastAsia="Arial" w:hAnsi="Arial"/>
          <w:sz w:val="18"/>
          <w:szCs w:val="18"/>
          <w:color w:val="auto"/>
        </w:rPr>
        <w:t>requirements for the past 90 days.</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w:t>
      </w:r>
      <w:r>
        <w:rPr>
          <w:rFonts w:ascii="MS PGothic" w:cs="MS PGothic" w:eastAsia="MS PGothic" w:hAnsi="MS PGothic"/>
          <w:sz w:val="16"/>
          <w:szCs w:val="16"/>
          <w:color w:val="auto"/>
        </w:rPr>
        <w:t>☐</w:t>
      </w:r>
    </w:p>
    <w:p>
      <w:pPr>
        <w:spacing w:after="0" w:line="108" w:lineRule="exact"/>
        <w:rPr>
          <w:sz w:val="24"/>
          <w:szCs w:val="24"/>
          <w:color w:val="auto"/>
        </w:rPr>
      </w:pPr>
    </w:p>
    <w:p>
      <w:pPr>
        <w:spacing w:after="0" w:line="287" w:lineRule="auto"/>
        <w:rPr>
          <w:sz w:val="20"/>
          <w:szCs w:val="20"/>
          <w:color w:val="auto"/>
        </w:rPr>
      </w:pPr>
      <w:r>
        <w:rPr>
          <w:rFonts w:ascii="Arial" w:cs="Arial" w:eastAsia="Arial" w:hAnsi="Arial"/>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 w:lineRule="exact"/>
        <w:rPr>
          <w:sz w:val="24"/>
          <w:szCs w:val="24"/>
          <w:color w:val="auto"/>
        </w:rPr>
      </w:pPr>
    </w:p>
    <w:p>
      <w:pPr>
        <w:ind w:left="94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ind w:right="200"/>
        <w:spacing w:after="0" w:line="255"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 w:lineRule="exact"/>
        <w:rPr>
          <w:sz w:val="24"/>
          <w:szCs w:val="24"/>
          <w:color w:val="auto"/>
        </w:rPr>
      </w:pPr>
    </w:p>
    <w:tbl>
      <w:tblPr>
        <w:tblLayout w:type="fixed"/>
        <w:tblInd w:w="680" w:type="dxa"/>
        <w:tblCellMar>
          <w:top w:w="0" w:type="dxa"/>
          <w:left w:w="0" w:type="dxa"/>
          <w:bottom w:w="0" w:type="dxa"/>
          <w:right w:w="0" w:type="dxa"/>
        </w:tblCellMar>
      </w:tblPr>
      <w:tr>
        <w:trPr>
          <w:trHeight w:val="225"/>
        </w:trPr>
        <w:tc>
          <w:tcPr>
            <w:tcW w:w="214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30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300"/>
              <w:spacing w:after="0"/>
              <w:rPr>
                <w:sz w:val="20"/>
                <w:szCs w:val="20"/>
                <w:color w:val="auto"/>
              </w:rPr>
            </w:pPr>
            <w:r>
              <w:rPr>
                <w:rFonts w:ascii="Arial" w:cs="Arial" w:eastAsia="Arial" w:hAnsi="Arial"/>
                <w:sz w:val="18"/>
                <w:szCs w:val="18"/>
                <w:color w:val="auto"/>
              </w:rPr>
              <w:t>Accelerated filer</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30"/>
        </w:trPr>
        <w:tc>
          <w:tcPr>
            <w:tcW w:w="2140" w:type="dxa"/>
            <w:vAlign w:val="bottom"/>
          </w:tcPr>
          <w:p>
            <w:pPr>
              <w:spacing w:after="0"/>
              <w:rPr>
                <w:sz w:val="20"/>
                <w:szCs w:val="20"/>
                <w:color w:val="auto"/>
              </w:rPr>
            </w:pPr>
            <w:r>
              <w:rPr>
                <w:rFonts w:ascii="Arial" w:cs="Arial" w:eastAsia="Arial" w:hAnsi="Arial"/>
                <w:sz w:val="18"/>
                <w:szCs w:val="18"/>
                <w:color w:val="auto"/>
              </w:rPr>
              <w:t>Non-accelerated filer</w:t>
            </w:r>
          </w:p>
        </w:tc>
        <w:tc>
          <w:tcPr>
            <w:tcW w:w="3020" w:type="dxa"/>
            <w:vAlign w:val="bottom"/>
          </w:tcPr>
          <w:p>
            <w:pPr>
              <w:ind w:left="560"/>
              <w:spacing w:after="0" w:line="181" w:lineRule="exact"/>
              <w:rPr>
                <w:sz w:val="20"/>
                <w:szCs w:val="20"/>
                <w:color w:val="auto"/>
              </w:rPr>
            </w:pPr>
            <w:r>
              <w:rPr>
                <w:rFonts w:ascii="MS PGothic" w:cs="MS PGothic" w:eastAsia="MS PGothic" w:hAnsi="MS PGothic"/>
                <w:sz w:val="18"/>
                <w:szCs w:val="18"/>
                <w:color w:val="auto"/>
              </w:rPr>
              <w:t>☐</w:t>
            </w:r>
          </w:p>
        </w:tc>
        <w:tc>
          <w:tcPr>
            <w:tcW w:w="4660" w:type="dxa"/>
            <w:vAlign w:val="bottom"/>
          </w:tcPr>
          <w:p>
            <w:pPr>
              <w:ind w:left="2300"/>
              <w:spacing w:after="0"/>
              <w:rPr>
                <w:sz w:val="20"/>
                <w:szCs w:val="20"/>
                <w:color w:val="auto"/>
              </w:rPr>
            </w:pPr>
            <w:r>
              <w:rPr>
                <w:rFonts w:ascii="Arial" w:cs="Arial" w:eastAsia="Arial" w:hAnsi="Arial"/>
                <w:sz w:val="18"/>
                <w:szCs w:val="18"/>
                <w:color w:val="auto"/>
              </w:rPr>
              <w:t>Smaller reporting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03"/>
        </w:trPr>
        <w:tc>
          <w:tcPr>
            <w:tcW w:w="21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4660" w:type="dxa"/>
            <w:vAlign w:val="bottom"/>
          </w:tcPr>
          <w:p>
            <w:pPr>
              <w:ind w:left="2300"/>
              <w:spacing w:after="0"/>
              <w:rPr>
                <w:sz w:val="20"/>
                <w:szCs w:val="20"/>
                <w:color w:val="auto"/>
              </w:rPr>
            </w:pPr>
            <w:r>
              <w:rPr>
                <w:rFonts w:ascii="Arial" w:cs="Arial" w:eastAsia="Arial" w:hAnsi="Arial"/>
                <w:sz w:val="18"/>
                <w:szCs w:val="18"/>
                <w:color w:val="auto"/>
              </w:rPr>
              <w:t>Emerging growth company</w:t>
            </w:r>
          </w:p>
        </w:tc>
        <w:tc>
          <w:tcPr>
            <w:tcW w:w="560" w:type="dxa"/>
            <w:vAlign w:val="bottom"/>
          </w:tcPr>
          <w:p>
            <w:pPr>
              <w:ind w:left="40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52" w:lineRule="exact"/>
        <w:rPr>
          <w:sz w:val="24"/>
          <w:szCs w:val="24"/>
          <w:color w:val="auto"/>
        </w:rPr>
      </w:pPr>
    </w:p>
    <w:p>
      <w:pPr>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w:t>
      </w:r>
    </w:p>
    <w:p>
      <w:pPr>
        <w:spacing w:after="0" w:line="41" w:lineRule="exact"/>
        <w:rPr>
          <w:sz w:val="24"/>
          <w:szCs w:val="24"/>
          <w:color w:val="auto"/>
        </w:rPr>
      </w:pPr>
    </w:p>
    <w:p>
      <w:pPr>
        <w:spacing w:after="0" w:line="207" w:lineRule="exact"/>
        <w:tabs>
          <w:tab w:leader="none" w:pos="9460" w:val="left"/>
        </w:tabs>
        <w:rPr>
          <w:sz w:val="20"/>
          <w:szCs w:val="20"/>
          <w:color w:val="auto"/>
        </w:rPr>
      </w:pPr>
      <w:r>
        <w:rPr>
          <w:rFonts w:ascii="Arial" w:cs="Arial" w:eastAsia="Arial" w:hAnsi="Arial"/>
          <w:sz w:val="18"/>
          <w:szCs w:val="18"/>
          <w:color w:val="auto"/>
        </w:rPr>
        <w:t>or revised financial accounting standards provided pursuant to Section 13(a) of the Exchange Act.</w:t>
      </w:r>
      <w:r>
        <w:rPr>
          <w:sz w:val="20"/>
          <w:szCs w:val="20"/>
          <w:color w:val="auto"/>
        </w:rPr>
        <w:tab/>
      </w:r>
      <w:r>
        <w:rPr>
          <w:rFonts w:ascii="MS PGothic" w:cs="MS PGothic" w:eastAsia="MS PGothic" w:hAnsi="MS PGothic"/>
          <w:sz w:val="16"/>
          <w:szCs w:val="16"/>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Indicate by check mark whether the registrant is a shell company (as defined in Rule 12b-2 of the Exchange Act).</w:t>
      </w:r>
    </w:p>
    <w:p>
      <w:pPr>
        <w:spacing w:after="0" w:line="18" w:lineRule="exact"/>
        <w:rPr>
          <w:sz w:val="24"/>
          <w:szCs w:val="24"/>
          <w:color w:val="auto"/>
        </w:rPr>
      </w:pPr>
    </w:p>
    <w:p>
      <w:pPr>
        <w:ind w:left="7780"/>
        <w:spacing w:after="0" w:line="207" w:lineRule="exact"/>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08" w:lineRule="exact"/>
        <w:rPr>
          <w:sz w:val="24"/>
          <w:szCs w:val="24"/>
          <w:color w:val="auto"/>
        </w:rPr>
      </w:pPr>
    </w:p>
    <w:p>
      <w:pPr>
        <w:spacing w:after="0"/>
        <w:rPr>
          <w:sz w:val="20"/>
          <w:szCs w:val="20"/>
          <w:color w:val="auto"/>
        </w:rPr>
      </w:pPr>
      <w:r>
        <w:rPr>
          <w:rFonts w:ascii="Arial" w:cs="Arial" w:eastAsia="Arial" w:hAnsi="Arial"/>
          <w:sz w:val="18"/>
          <w:szCs w:val="18"/>
          <w:color w:val="auto"/>
        </w:rPr>
        <w:t>As of July 19, 2023, there were 73,861,212 shares of the registrant’s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481965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20"/>
          </w:cols>
          <w:pgMar w:left="320" w:top="1287" w:right="45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80" w:type="dxa"/>
            <w:vAlign w:val="bottom"/>
            <w:gridSpan w:val="13"/>
          </w:tcPr>
          <w:p>
            <w:pPr>
              <w:ind w:left="20"/>
              <w:spacing w:after="0"/>
              <w:rPr>
                <w:sz w:val="20"/>
                <w:szCs w:val="20"/>
                <w:color w:val="auto"/>
              </w:rPr>
            </w:pPr>
            <w:r>
              <w:rPr>
                <w:rFonts w:ascii="Arial" w:cs="Arial" w:eastAsia="Arial" w:hAnsi="Arial"/>
                <w:sz w:val="18"/>
                <w:szCs w:val="18"/>
                <w:b w:val="1"/>
                <w:bCs w:val="1"/>
                <w:color w:val="auto"/>
              </w:rPr>
              <w:t>TABLE OF CONTENTS</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60" w:type="dxa"/>
            <w:vAlign w:val="bottom"/>
            <w:gridSpan w:val="4"/>
            <w:vMerge w:val="restart"/>
          </w:tcPr>
          <w:p>
            <w:pPr>
              <w:spacing w:after="0"/>
              <w:rPr>
                <w:sz w:val="20"/>
                <w:szCs w:val="20"/>
                <w:color w:val="auto"/>
              </w:rPr>
            </w:pPr>
            <w:r>
              <w:rPr>
                <w:rFonts w:ascii="Arial" w:cs="Arial" w:eastAsia="Arial" w:hAnsi="Arial"/>
                <w:sz w:val="18"/>
                <w:szCs w:val="18"/>
                <w:b w:val="1"/>
                <w:bCs w:val="1"/>
                <w:color w:val="0000FF"/>
              </w:rPr>
              <w:t>PART I. FINANCIAL INFORMATION</w:t>
            </w:r>
          </w:p>
        </w:tc>
        <w:tc>
          <w:tcPr>
            <w:tcW w:w="7240" w:type="dxa"/>
            <w:vAlign w:val="bottom"/>
            <w:gridSpan w:val="19"/>
            <w:vMerge w:val="restart"/>
          </w:tcPr>
          <w:p>
            <w:pPr>
              <w:spacing w:after="0"/>
              <w:rPr>
                <w:sz w:val="18"/>
                <w:szCs w:val="18"/>
                <w:color w:val="auto"/>
              </w:rPr>
            </w:pPr>
          </w:p>
        </w:tc>
        <w:tc>
          <w:tcPr>
            <w:tcW w:w="380" w:type="dxa"/>
            <w:vAlign w:val="bottom"/>
            <w:tcBorders>
              <w:bottom w:val="single" w:sz="8" w:color="auto"/>
            </w:tcBorders>
            <w:gridSpan w:val="3"/>
          </w:tcPr>
          <w:p>
            <w:pPr>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4"/>
        </w:trPr>
        <w:tc>
          <w:tcPr>
            <w:tcW w:w="3060" w:type="dxa"/>
            <w:vAlign w:val="bottom"/>
            <w:tcBorders>
              <w:bottom w:val="single" w:sz="8" w:color="0000FF"/>
            </w:tcBorders>
            <w:gridSpan w:val="4"/>
            <w:vMerge w:val="continue"/>
          </w:tcPr>
          <w:p>
            <w:pPr>
              <w:spacing w:after="0"/>
              <w:rPr>
                <w:sz w:val="18"/>
                <w:szCs w:val="18"/>
                <w:color w:val="auto"/>
              </w:rPr>
            </w:pPr>
          </w:p>
        </w:tc>
        <w:tc>
          <w:tcPr>
            <w:tcW w:w="7240" w:type="dxa"/>
            <w:vAlign w:val="bottom"/>
            <w:gridSpan w:val="19"/>
            <w:vMerge w:val="continue"/>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rPr>
              <w:t>FINANCIAL STATEMENTS (UNAUDITED)</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w w:val="96"/>
              </w:rPr>
              <w:t>Condensed Consolidated Statements of Income for the Three and Six Months ended June 30,</w:t>
            </w:r>
          </w:p>
        </w:tc>
        <w:tc>
          <w:tcPr>
            <w:tcW w:w="24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0000FF"/>
                <w:w w:val="99"/>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120" w:type="dxa"/>
            <w:vAlign w:val="bottom"/>
            <w:tcBorders>
              <w:top w:val="single" w:sz="8" w:color="0000FF"/>
            </w:tcBorders>
            <w:gridSpan w:val="20"/>
          </w:tcPr>
          <w:p>
            <w:pPr>
              <w:spacing w:after="0" w:line="156" w:lineRule="exact"/>
              <w:rPr>
                <w:sz w:val="20"/>
                <w:szCs w:val="20"/>
                <w:color w:val="auto"/>
              </w:rPr>
            </w:pPr>
            <w:r>
              <w:rPr>
                <w:rFonts w:ascii="Arial" w:cs="Arial" w:eastAsia="Arial" w:hAnsi="Arial"/>
                <w:sz w:val="18"/>
                <w:szCs w:val="18"/>
                <w:b w:val="1"/>
                <w:bCs w:val="1"/>
                <w:color w:val="0000FF"/>
              </w:rPr>
              <w:t>2023 and 2022</w:t>
            </w:r>
          </w:p>
        </w:tc>
        <w:tc>
          <w:tcPr>
            <w:tcW w:w="600" w:type="dxa"/>
            <w:vAlign w:val="bottom"/>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rPr>
              <w:t>Condensed Consolidated Statements of Comprehensive Income for the Three and Six</w:t>
            </w:r>
          </w:p>
        </w:tc>
        <w:tc>
          <w:tcPr>
            <w:tcW w:w="140" w:type="dxa"/>
            <w:vAlign w:val="bottom"/>
            <w:vMerge w:val="restart"/>
          </w:tcPr>
          <w:p>
            <w:pPr>
              <w:spacing w:after="0"/>
              <w:rPr>
                <w:sz w:val="19"/>
                <w:szCs w:val="19"/>
                <w:color w:val="auto"/>
              </w:rPr>
            </w:pPr>
          </w:p>
        </w:tc>
        <w:tc>
          <w:tcPr>
            <w:tcW w:w="100" w:type="dxa"/>
            <w:vAlign w:val="bottom"/>
            <w:vMerge w:val="restart"/>
          </w:tcPr>
          <w:p>
            <w:pPr>
              <w:jc w:val="center"/>
              <w:spacing w:after="0"/>
              <w:rPr>
                <w:sz w:val="20"/>
                <w:szCs w:val="20"/>
                <w:color w:val="auto"/>
              </w:rPr>
            </w:pPr>
            <w:r>
              <w:rPr>
                <w:rFonts w:ascii="Arial" w:cs="Arial" w:eastAsia="Arial" w:hAnsi="Arial"/>
                <w:sz w:val="18"/>
                <w:szCs w:val="18"/>
                <w:b w:val="1"/>
                <w:bCs w:val="1"/>
                <w:color w:val="0000FF"/>
                <w:w w:val="99"/>
              </w:rPr>
              <w:t>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940" w:type="dxa"/>
            <w:vAlign w:val="bottom"/>
            <w:tcBorders>
              <w:top w:val="single" w:sz="8" w:color="0000FF"/>
              <w:bottom w:val="single" w:sz="8" w:color="0000FF"/>
            </w:tcBorders>
            <w:gridSpan w:val="11"/>
          </w:tcPr>
          <w:p>
            <w:pPr>
              <w:spacing w:after="0" w:line="156" w:lineRule="exact"/>
              <w:rPr>
                <w:sz w:val="20"/>
                <w:szCs w:val="20"/>
                <w:color w:val="auto"/>
              </w:rPr>
            </w:pPr>
            <w:r>
              <w:rPr>
                <w:rFonts w:ascii="Arial" w:cs="Arial" w:eastAsia="Arial" w:hAnsi="Arial"/>
                <w:sz w:val="18"/>
                <w:szCs w:val="18"/>
                <w:b w:val="1"/>
                <w:bCs w:val="1"/>
                <w:color w:val="0000FF"/>
                <w:w w:val="89"/>
              </w:rPr>
              <w:t>Months ended June 30, 2023 and 2022</w:t>
            </w:r>
          </w:p>
        </w:tc>
        <w:tc>
          <w:tcPr>
            <w:tcW w:w="3600" w:type="dxa"/>
            <w:vAlign w:val="bottom"/>
            <w:tcBorders>
              <w:top w:val="single" w:sz="8" w:color="0000FF"/>
            </w:tcBorders>
            <w:gridSpan w:val="6"/>
          </w:tcPr>
          <w:p>
            <w:pPr>
              <w:spacing w:after="0"/>
              <w:rPr>
                <w:sz w:val="13"/>
                <w:szCs w:val="13"/>
                <w:color w:val="auto"/>
              </w:rPr>
            </w:pPr>
          </w:p>
        </w:tc>
        <w:tc>
          <w:tcPr>
            <w:tcW w:w="3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gridSpan w:val="2"/>
          </w:tcPr>
          <w:p>
            <w:pPr>
              <w:spacing w:after="0"/>
              <w:rPr>
                <w:sz w:val="13"/>
                <w:szCs w:val="13"/>
                <w:color w:val="auto"/>
              </w:rPr>
            </w:pPr>
          </w:p>
        </w:tc>
        <w:tc>
          <w:tcPr>
            <w:tcW w:w="140" w:type="dxa"/>
            <w:vAlign w:val="bottom"/>
            <w:vMerge w:val="continue"/>
          </w:tcPr>
          <w:p>
            <w:pPr>
              <w:spacing w:after="0"/>
              <w:rPr>
                <w:sz w:val="13"/>
                <w:szCs w:val="13"/>
                <w:color w:val="auto"/>
              </w:rPr>
            </w:pPr>
          </w:p>
        </w:tc>
        <w:tc>
          <w:tcPr>
            <w:tcW w:w="100" w:type="dxa"/>
            <w:vAlign w:val="bottom"/>
            <w:tcBorders>
              <w:bottom w:val="single" w:sz="8" w:color="0000FF"/>
            </w:tcBorders>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6220" w:type="dxa"/>
            <w:vAlign w:val="bottom"/>
            <w:tcBorders>
              <w:bottom w:val="single" w:sz="8" w:color="0000FF"/>
            </w:tcBorders>
            <w:gridSpan w:val="14"/>
          </w:tcPr>
          <w:p>
            <w:pPr>
              <w:spacing w:after="0"/>
              <w:rPr>
                <w:sz w:val="20"/>
                <w:szCs w:val="20"/>
                <w:color w:val="auto"/>
              </w:rPr>
            </w:pPr>
            <w:r>
              <w:rPr>
                <w:rFonts w:ascii="Arial" w:cs="Arial" w:eastAsia="Arial" w:hAnsi="Arial"/>
                <w:sz w:val="18"/>
                <w:szCs w:val="18"/>
                <w:b w:val="1"/>
                <w:bCs w:val="1"/>
                <w:color w:val="0000FF"/>
                <w:w w:val="88"/>
              </w:rPr>
              <w:t>Condensed Consolidated Balance Sheets at June 30, 2023 and December 31, 2022</w:t>
            </w:r>
          </w:p>
        </w:tc>
        <w:tc>
          <w:tcPr>
            <w:tcW w:w="1500" w:type="dxa"/>
            <w:vAlign w:val="bottom"/>
            <w:gridSpan w:val="7"/>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Borders>
              <w:bottom w:val="single" w:sz="8" w:color="0000FF"/>
            </w:tcBorders>
          </w:tcPr>
          <w:p>
            <w:pPr>
              <w:jc w:val="center"/>
              <w:spacing w:after="0"/>
              <w:rPr>
                <w:sz w:val="20"/>
                <w:szCs w:val="20"/>
                <w:color w:val="auto"/>
              </w:rPr>
            </w:pPr>
            <w:r>
              <w:rPr>
                <w:rFonts w:ascii="Arial" w:cs="Arial" w:eastAsia="Arial" w:hAnsi="Arial"/>
                <w:sz w:val="18"/>
                <w:szCs w:val="18"/>
                <w:b w:val="1"/>
                <w:bCs w:val="1"/>
                <w:color w:val="0000FF"/>
                <w:w w:val="99"/>
              </w:rPr>
              <w:t>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10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w w:val="97"/>
              </w:rPr>
              <w:t>Condensed Consolidated Statements of Cash Flows for the Six Months ended June 30, 2023</w:t>
            </w:r>
          </w:p>
        </w:tc>
        <w:tc>
          <w:tcPr>
            <w:tcW w:w="240" w:type="dxa"/>
            <w:vAlign w:val="bottom"/>
            <w:gridSpan w:val="2"/>
            <w:vMerge w:val="restart"/>
          </w:tcPr>
          <w:p>
            <w:pPr>
              <w:jc w:val="center"/>
              <w:ind w:left="50"/>
              <w:spacing w:after="0"/>
              <w:rPr>
                <w:sz w:val="20"/>
                <w:szCs w:val="20"/>
                <w:color w:val="auto"/>
              </w:rPr>
            </w:pPr>
            <w:r>
              <w:rPr>
                <w:rFonts w:ascii="Arial" w:cs="Arial" w:eastAsia="Arial" w:hAnsi="Arial"/>
                <w:sz w:val="18"/>
                <w:szCs w:val="18"/>
                <w:b w:val="1"/>
                <w:bCs w:val="1"/>
                <w:color w:val="0000FF"/>
                <w:w w:val="99"/>
              </w:rPr>
              <w:t>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7000" w:type="dxa"/>
            <w:vAlign w:val="bottom"/>
            <w:tcBorders>
              <w:top w:val="single" w:sz="8" w:color="0000FF"/>
            </w:tcBorders>
            <w:gridSpan w:val="19"/>
          </w:tcPr>
          <w:p>
            <w:pPr>
              <w:spacing w:after="0" w:line="156" w:lineRule="exact"/>
              <w:rPr>
                <w:sz w:val="20"/>
                <w:szCs w:val="20"/>
                <w:color w:val="auto"/>
              </w:rPr>
            </w:pPr>
            <w:r>
              <w:rPr>
                <w:rFonts w:ascii="Arial" w:cs="Arial" w:eastAsia="Arial" w:hAnsi="Arial"/>
                <w:sz w:val="18"/>
                <w:szCs w:val="18"/>
                <w:b w:val="1"/>
                <w:bCs w:val="1"/>
                <w:color w:val="0000FF"/>
              </w:rPr>
              <w:t>and 2022</w:t>
            </w:r>
          </w:p>
        </w:tc>
        <w:tc>
          <w:tcPr>
            <w:tcW w:w="720" w:type="dxa"/>
            <w:vAlign w:val="bottom"/>
            <w:gridSpan w:val="2"/>
          </w:tcPr>
          <w:p>
            <w:pPr>
              <w:spacing w:after="0"/>
              <w:rPr>
                <w:sz w:val="13"/>
                <w:szCs w:val="13"/>
                <w:color w:val="auto"/>
              </w:rPr>
            </w:pPr>
          </w:p>
        </w:tc>
        <w:tc>
          <w:tcPr>
            <w:tcW w:w="240" w:type="dxa"/>
            <w:vAlign w:val="bottom"/>
            <w:gridSpan w:val="2"/>
            <w:vMerge w:val="continue"/>
          </w:tcPr>
          <w:p>
            <w:pPr>
              <w:spacing w:after="0"/>
              <w:rPr>
                <w:sz w:val="13"/>
                <w:szCs w:val="13"/>
                <w:color w:val="auto"/>
              </w:rPr>
            </w:pPr>
          </w:p>
        </w:tc>
        <w:tc>
          <w:tcPr>
            <w:tcW w:w="1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0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rPr>
              <w:t>Notes to Condensed Consolidated Financial Statements</w:t>
            </w:r>
          </w:p>
        </w:tc>
        <w:tc>
          <w:tcPr>
            <w:tcW w:w="240" w:type="dxa"/>
            <w:vAlign w:val="bottom"/>
            <w:gridSpan w:val="2"/>
          </w:tcPr>
          <w:p>
            <w:pPr>
              <w:jc w:val="center"/>
              <w:ind w:left="50"/>
              <w:spacing w:after="0"/>
              <w:rPr>
                <w:sz w:val="20"/>
                <w:szCs w:val="20"/>
                <w:color w:val="auto"/>
              </w:rPr>
            </w:pPr>
            <w:r>
              <w:rPr>
                <w:rFonts w:ascii="Arial" w:cs="Arial" w:eastAsia="Arial" w:hAnsi="Arial"/>
                <w:sz w:val="18"/>
                <w:szCs w:val="18"/>
                <w:b w:val="1"/>
                <w:bCs w:val="1"/>
                <w:color w:val="0000FF"/>
                <w:w w:val="99"/>
              </w:rPr>
              <w:t>7</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520" w:type="dxa"/>
            <w:vAlign w:val="bottom"/>
            <w:gridSpan w:val="3"/>
            <w:shd w:val="clear" w:color="auto" w:fill="0000FF"/>
          </w:tcPr>
          <w:p>
            <w:pPr>
              <w:spacing w:after="0" w:line="20" w:lineRule="exact"/>
              <w:rPr>
                <w:sz w:val="1"/>
                <w:szCs w:val="1"/>
                <w:color w:val="auto"/>
              </w:rPr>
            </w:pPr>
          </w:p>
        </w:tc>
        <w:tc>
          <w:tcPr>
            <w:tcW w:w="2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rPr>
              <w:t>MANAGEMENT’S DISCUSSION AND ANALYSIS OF FINANCIAL CONDITION AND</w:t>
            </w:r>
          </w:p>
        </w:tc>
        <w:tc>
          <w:tcPr>
            <w:tcW w:w="380" w:type="dxa"/>
            <w:vAlign w:val="bottom"/>
            <w:gridSpan w:val="3"/>
            <w:vMerge w:val="restart"/>
          </w:tcPr>
          <w:p>
            <w:pPr>
              <w:jc w:val="center"/>
              <w:spacing w:after="0"/>
              <w:rPr>
                <w:sz w:val="20"/>
                <w:szCs w:val="20"/>
                <w:color w:val="auto"/>
              </w:rPr>
            </w:pPr>
            <w:r>
              <w:rPr>
                <w:rFonts w:ascii="Arial" w:cs="Arial" w:eastAsia="Arial" w:hAnsi="Arial"/>
                <w:sz w:val="18"/>
                <w:szCs w:val="18"/>
                <w:b w:val="1"/>
                <w:bCs w:val="1"/>
                <w:color w:val="0000FF"/>
                <w:w w:val="89"/>
              </w:rPr>
              <w:t>27</w:t>
            </w:r>
          </w:p>
        </w:tc>
        <w:tc>
          <w:tcPr>
            <w:tcW w:w="0" w:type="dxa"/>
            <w:vAlign w:val="bottom"/>
          </w:tcPr>
          <w:p>
            <w:pPr>
              <w:spacing w:after="0"/>
              <w:rPr>
                <w:sz w:val="1"/>
                <w:szCs w:val="1"/>
                <w:color w:val="auto"/>
              </w:rPr>
            </w:pPr>
          </w:p>
        </w:tc>
      </w:tr>
      <w:tr>
        <w:trPr>
          <w:trHeight w:val="156"/>
        </w:trPr>
        <w:tc>
          <w:tcPr>
            <w:tcW w:w="106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6900" w:type="dxa"/>
            <w:vAlign w:val="bottom"/>
            <w:tcBorders>
              <w:top w:val="single" w:sz="8" w:color="0000FF"/>
            </w:tcBorders>
            <w:gridSpan w:val="18"/>
          </w:tcPr>
          <w:p>
            <w:pPr>
              <w:spacing w:after="0" w:line="156" w:lineRule="exact"/>
              <w:rPr>
                <w:sz w:val="20"/>
                <w:szCs w:val="20"/>
                <w:color w:val="auto"/>
              </w:rPr>
            </w:pPr>
            <w:r>
              <w:rPr>
                <w:rFonts w:ascii="Arial" w:cs="Arial" w:eastAsia="Arial" w:hAnsi="Arial"/>
                <w:sz w:val="18"/>
                <w:szCs w:val="18"/>
                <w:b w:val="1"/>
                <w:bCs w:val="1"/>
                <w:color w:val="0000FF"/>
              </w:rPr>
              <w:t>RESULTS OF OPERATIONS</w:t>
            </w:r>
          </w:p>
        </w:tc>
        <w:tc>
          <w:tcPr>
            <w:tcW w:w="820" w:type="dxa"/>
            <w:vAlign w:val="bottom"/>
            <w:gridSpan w:val="3"/>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3.</w:t>
            </w:r>
          </w:p>
        </w:tc>
        <w:tc>
          <w:tcPr>
            <w:tcW w:w="6440" w:type="dxa"/>
            <w:vAlign w:val="bottom"/>
            <w:gridSpan w:val="16"/>
          </w:tcPr>
          <w:p>
            <w:pPr>
              <w:spacing w:after="0"/>
              <w:rPr>
                <w:sz w:val="20"/>
                <w:szCs w:val="20"/>
                <w:color w:val="auto"/>
              </w:rPr>
            </w:pPr>
            <w:r>
              <w:rPr>
                <w:rFonts w:ascii="Arial" w:cs="Arial" w:eastAsia="Arial" w:hAnsi="Arial"/>
                <w:sz w:val="18"/>
                <w:szCs w:val="18"/>
                <w:b w:val="1"/>
                <w:bCs w:val="1"/>
                <w:color w:val="0000FF"/>
              </w:rPr>
              <w:t>QUANTITATIVE AND QUALITATIVE DISCLOSURES ABOUT MARKET RISK</w:t>
            </w:r>
          </w:p>
        </w:tc>
        <w:tc>
          <w:tcPr>
            <w:tcW w:w="1280" w:type="dxa"/>
            <w:vAlign w:val="bottom"/>
            <w:gridSpan w:val="5"/>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40" w:type="dxa"/>
            <w:vAlign w:val="bottom"/>
            <w:gridSpan w:val="5"/>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80" w:type="dxa"/>
            <w:vAlign w:val="bottom"/>
            <w:gridSpan w:val="5"/>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4.</w:t>
            </w:r>
          </w:p>
        </w:tc>
        <w:tc>
          <w:tcPr>
            <w:tcW w:w="6440" w:type="dxa"/>
            <w:vAlign w:val="bottom"/>
            <w:gridSpan w:val="16"/>
          </w:tcPr>
          <w:p>
            <w:pPr>
              <w:spacing w:after="0"/>
              <w:rPr>
                <w:sz w:val="20"/>
                <w:szCs w:val="20"/>
                <w:color w:val="auto"/>
              </w:rPr>
            </w:pPr>
            <w:r>
              <w:rPr>
                <w:rFonts w:ascii="Arial" w:cs="Arial" w:eastAsia="Arial" w:hAnsi="Arial"/>
                <w:sz w:val="18"/>
                <w:szCs w:val="18"/>
                <w:b w:val="1"/>
                <w:bCs w:val="1"/>
                <w:color w:val="0000FF"/>
              </w:rPr>
              <w:t>CONTROLS AND PROCEDURES</w:t>
            </w:r>
          </w:p>
        </w:tc>
        <w:tc>
          <w:tcPr>
            <w:tcW w:w="1280" w:type="dxa"/>
            <w:vAlign w:val="bottom"/>
            <w:gridSpan w:val="5"/>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41</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640" w:type="dxa"/>
            <w:vAlign w:val="bottom"/>
            <w:gridSpan w:val="5"/>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9"/>
        </w:trPr>
        <w:tc>
          <w:tcPr>
            <w:tcW w:w="10300" w:type="dxa"/>
            <w:vAlign w:val="bottom"/>
            <w:gridSpan w:val="23"/>
          </w:tcPr>
          <w:p>
            <w:pPr>
              <w:spacing w:after="0"/>
              <w:rPr>
                <w:sz w:val="20"/>
                <w:szCs w:val="20"/>
                <w:color w:val="auto"/>
              </w:rPr>
            </w:pPr>
            <w:r>
              <w:rPr>
                <w:rFonts w:ascii="Arial" w:cs="Arial" w:eastAsia="Arial" w:hAnsi="Arial"/>
                <w:sz w:val="18"/>
                <w:szCs w:val="18"/>
                <w:b w:val="1"/>
                <w:bCs w:val="1"/>
                <w:color w:val="0000FF"/>
              </w:rPr>
              <w:t>PART II. OTHER INFORMATION</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w:t>
            </w:r>
          </w:p>
        </w:tc>
        <w:tc>
          <w:tcPr>
            <w:tcW w:w="2000" w:type="dxa"/>
            <w:vAlign w:val="bottom"/>
            <w:gridSpan w:val="7"/>
          </w:tcPr>
          <w:p>
            <w:pPr>
              <w:spacing w:after="0"/>
              <w:rPr>
                <w:sz w:val="20"/>
                <w:szCs w:val="20"/>
                <w:color w:val="auto"/>
              </w:rPr>
            </w:pPr>
            <w:r>
              <w:rPr>
                <w:rFonts w:ascii="Arial" w:cs="Arial" w:eastAsia="Arial" w:hAnsi="Arial"/>
                <w:sz w:val="18"/>
                <w:szCs w:val="18"/>
                <w:b w:val="1"/>
                <w:bCs w:val="1"/>
                <w:color w:val="0000FF"/>
                <w:w w:val="99"/>
              </w:rPr>
              <w:t>LEGAL PROCEEDINGS</w:t>
            </w:r>
          </w:p>
        </w:tc>
        <w:tc>
          <w:tcPr>
            <w:tcW w:w="5720" w:type="dxa"/>
            <w:vAlign w:val="bottom"/>
            <w:gridSpan w:val="14"/>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1A.</w:t>
            </w:r>
          </w:p>
        </w:tc>
        <w:tc>
          <w:tcPr>
            <w:tcW w:w="1340" w:type="dxa"/>
            <w:vAlign w:val="bottom"/>
            <w:gridSpan w:val="6"/>
          </w:tcPr>
          <w:p>
            <w:pPr>
              <w:spacing w:after="0"/>
              <w:rPr>
                <w:sz w:val="20"/>
                <w:szCs w:val="20"/>
                <w:color w:val="auto"/>
              </w:rPr>
            </w:pPr>
            <w:r>
              <w:rPr>
                <w:rFonts w:ascii="Arial" w:cs="Arial" w:eastAsia="Arial" w:hAnsi="Arial"/>
                <w:sz w:val="18"/>
                <w:szCs w:val="18"/>
                <w:b w:val="1"/>
                <w:bCs w:val="1"/>
                <w:color w:val="0000FF"/>
                <w:w w:val="97"/>
              </w:rPr>
              <w:t>RISK FACTORS</w:t>
            </w:r>
          </w:p>
        </w:tc>
        <w:tc>
          <w:tcPr>
            <w:tcW w:w="660" w:type="dxa"/>
            <w:vAlign w:val="bottom"/>
          </w:tcPr>
          <w:p>
            <w:pPr>
              <w:spacing w:after="0"/>
              <w:rPr>
                <w:sz w:val="18"/>
                <w:szCs w:val="18"/>
                <w:color w:val="auto"/>
              </w:rPr>
            </w:pPr>
          </w:p>
        </w:tc>
        <w:tc>
          <w:tcPr>
            <w:tcW w:w="5720" w:type="dxa"/>
            <w:vAlign w:val="bottom"/>
            <w:gridSpan w:val="14"/>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320" w:type="dxa"/>
            <w:vAlign w:val="bottom"/>
            <w:gridSpan w:val="7"/>
          </w:tcPr>
          <w:p>
            <w:pPr>
              <w:spacing w:after="0" w:line="20" w:lineRule="exact"/>
              <w:rPr>
                <w:sz w:val="1"/>
                <w:szCs w:val="1"/>
                <w:color w:val="auto"/>
              </w:rPr>
            </w:pPr>
          </w:p>
        </w:tc>
        <w:tc>
          <w:tcPr>
            <w:tcW w:w="1360" w:type="dxa"/>
            <w:vAlign w:val="bottom"/>
            <w:gridSpan w:val="6"/>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2.</w:t>
            </w:r>
          </w:p>
        </w:tc>
        <w:tc>
          <w:tcPr>
            <w:tcW w:w="7720" w:type="dxa"/>
            <w:vAlign w:val="bottom"/>
            <w:gridSpan w:val="21"/>
          </w:tcPr>
          <w:p>
            <w:pPr>
              <w:spacing w:after="0"/>
              <w:rPr>
                <w:sz w:val="20"/>
                <w:szCs w:val="20"/>
                <w:color w:val="auto"/>
              </w:rPr>
            </w:pPr>
            <w:r>
              <w:rPr>
                <w:rFonts w:ascii="Arial" w:cs="Arial" w:eastAsia="Arial" w:hAnsi="Arial"/>
                <w:sz w:val="18"/>
                <w:szCs w:val="18"/>
                <w:b w:val="1"/>
                <w:bCs w:val="1"/>
                <w:color w:val="0000FF"/>
              </w:rPr>
              <w:t>UNREGISTERED SALES OF EQUITY SECURITIES AND USE OF PROCEEDS</w:t>
            </w: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720" w:type="dxa"/>
            <w:vAlign w:val="bottom"/>
            <w:shd w:val="clear" w:color="auto" w:fill="0000FF"/>
          </w:tcPr>
          <w:p>
            <w:pPr>
              <w:spacing w:after="0" w:line="20" w:lineRule="exact"/>
              <w:rPr>
                <w:sz w:val="1"/>
                <w:szCs w:val="1"/>
                <w:color w:val="auto"/>
              </w:rPr>
            </w:pPr>
          </w:p>
        </w:tc>
        <w:tc>
          <w:tcPr>
            <w:tcW w:w="19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5.</w:t>
            </w:r>
          </w:p>
        </w:tc>
        <w:tc>
          <w:tcPr>
            <w:tcW w:w="2040" w:type="dxa"/>
            <w:vAlign w:val="bottom"/>
            <w:gridSpan w:val="8"/>
          </w:tcPr>
          <w:p>
            <w:pPr>
              <w:spacing w:after="0"/>
              <w:rPr>
                <w:sz w:val="20"/>
                <w:szCs w:val="20"/>
                <w:color w:val="auto"/>
              </w:rPr>
            </w:pPr>
            <w:r>
              <w:rPr>
                <w:rFonts w:ascii="Arial" w:cs="Arial" w:eastAsia="Arial" w:hAnsi="Arial"/>
                <w:sz w:val="18"/>
                <w:szCs w:val="18"/>
                <w:b w:val="1"/>
                <w:bCs w:val="1"/>
                <w:color w:val="0000FF"/>
              </w:rPr>
              <w:t>OTHER INFORMATION</w:t>
            </w:r>
          </w:p>
        </w:tc>
        <w:tc>
          <w:tcPr>
            <w:tcW w:w="4320" w:type="dxa"/>
            <w:vAlign w:val="bottom"/>
            <w:gridSpan w:val="7"/>
          </w:tcPr>
          <w:p>
            <w:pPr>
              <w:spacing w:after="0"/>
              <w:rPr>
                <w:sz w:val="19"/>
                <w:szCs w:val="19"/>
                <w:color w:val="auto"/>
              </w:rPr>
            </w:pPr>
          </w:p>
        </w:tc>
        <w:tc>
          <w:tcPr>
            <w:tcW w:w="1360" w:type="dxa"/>
            <w:vAlign w:val="bottom"/>
            <w:gridSpan w:val="6"/>
          </w:tcPr>
          <w:p>
            <w:pPr>
              <w:spacing w:after="0"/>
              <w:rPr>
                <w:sz w:val="19"/>
                <w:szCs w:val="19"/>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42</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1160" w:type="dxa"/>
            <w:vAlign w:val="bottom"/>
            <w:gridSpan w:val="4"/>
            <w:shd w:val="clear" w:color="auto" w:fill="0000FF"/>
          </w:tcPr>
          <w:p>
            <w:pPr>
              <w:spacing w:after="0" w:line="20" w:lineRule="exact"/>
              <w:rPr>
                <w:sz w:val="1"/>
                <w:szCs w:val="1"/>
                <w:color w:val="auto"/>
              </w:rPr>
            </w:pPr>
          </w:p>
        </w:tc>
        <w:tc>
          <w:tcPr>
            <w:tcW w:w="5680" w:type="dxa"/>
            <w:vAlign w:val="bottom"/>
            <w:gridSpan w:val="13"/>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2580" w:type="dxa"/>
            <w:vAlign w:val="bottom"/>
            <w:gridSpan w:val="2"/>
          </w:tcPr>
          <w:p>
            <w:pPr>
              <w:spacing w:after="0"/>
              <w:rPr>
                <w:sz w:val="20"/>
                <w:szCs w:val="20"/>
                <w:color w:val="auto"/>
              </w:rPr>
            </w:pPr>
            <w:r>
              <w:rPr>
                <w:rFonts w:ascii="Arial" w:cs="Arial" w:eastAsia="Arial" w:hAnsi="Arial"/>
                <w:sz w:val="18"/>
                <w:szCs w:val="18"/>
                <w:b w:val="1"/>
                <w:bCs w:val="1"/>
                <w:color w:val="auto"/>
              </w:rPr>
              <w:t>ITEM 6.</w:t>
            </w:r>
          </w:p>
        </w:tc>
        <w:tc>
          <w:tcPr>
            <w:tcW w:w="880" w:type="dxa"/>
            <w:vAlign w:val="bottom"/>
            <w:gridSpan w:val="4"/>
          </w:tcPr>
          <w:p>
            <w:pPr>
              <w:spacing w:after="0"/>
              <w:rPr>
                <w:sz w:val="20"/>
                <w:szCs w:val="20"/>
                <w:color w:val="auto"/>
              </w:rPr>
            </w:pPr>
            <w:r>
              <w:rPr>
                <w:rFonts w:ascii="Arial" w:cs="Arial" w:eastAsia="Arial" w:hAnsi="Arial"/>
                <w:sz w:val="18"/>
                <w:szCs w:val="18"/>
                <w:b w:val="1"/>
                <w:bCs w:val="1"/>
                <w:color w:val="0000FF"/>
              </w:rPr>
              <w:t>EXHIBITS</w:t>
            </w:r>
          </w:p>
        </w:tc>
        <w:tc>
          <w:tcPr>
            <w:tcW w:w="1160" w:type="dxa"/>
            <w:vAlign w:val="bottom"/>
            <w:gridSpan w:val="4"/>
          </w:tcPr>
          <w:p>
            <w:pPr>
              <w:spacing w:after="0"/>
              <w:rPr>
                <w:sz w:val="18"/>
                <w:szCs w:val="18"/>
                <w:color w:val="auto"/>
              </w:rPr>
            </w:pPr>
          </w:p>
        </w:tc>
        <w:tc>
          <w:tcPr>
            <w:tcW w:w="5680" w:type="dxa"/>
            <w:vAlign w:val="bottom"/>
            <w:gridSpan w:val="13"/>
          </w:tcPr>
          <w:p>
            <w:pPr>
              <w:spacing w:after="0"/>
              <w:rPr>
                <w:sz w:val="18"/>
                <w:szCs w:val="18"/>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43</w:t>
            </w:r>
          </w:p>
        </w:tc>
        <w:tc>
          <w:tcPr>
            <w:tcW w:w="0" w:type="dxa"/>
            <w:vAlign w:val="bottom"/>
          </w:tcPr>
          <w:p>
            <w:pPr>
              <w:spacing w:after="0"/>
              <w:rPr>
                <w:sz w:val="1"/>
                <w:szCs w:val="1"/>
                <w:color w:val="auto"/>
              </w:rPr>
            </w:pPr>
          </w:p>
        </w:tc>
      </w:tr>
      <w:tr>
        <w:trPr>
          <w:trHeight w:val="20"/>
        </w:trPr>
        <w:tc>
          <w:tcPr>
            <w:tcW w:w="10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2580" w:type="dxa"/>
            <w:vAlign w:val="bottom"/>
            <w:gridSpan w:val="2"/>
          </w:tcPr>
          <w:p>
            <w:pPr>
              <w:spacing w:after="0"/>
              <w:rPr>
                <w:sz w:val="20"/>
                <w:szCs w:val="20"/>
                <w:color w:val="auto"/>
              </w:rPr>
            </w:pPr>
            <w:r>
              <w:rPr>
                <w:rFonts w:ascii="Arial" w:cs="Arial" w:eastAsia="Arial" w:hAnsi="Arial"/>
                <w:sz w:val="18"/>
                <w:szCs w:val="18"/>
                <w:b w:val="1"/>
                <w:bCs w:val="1"/>
                <w:color w:val="0000FF"/>
              </w:rPr>
              <w:t>SIGNATURE</w:t>
            </w:r>
          </w:p>
        </w:tc>
        <w:tc>
          <w:tcPr>
            <w:tcW w:w="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80" w:type="dxa"/>
            <w:vAlign w:val="bottom"/>
            <w:gridSpan w:val="3"/>
          </w:tcPr>
          <w:p>
            <w:pPr>
              <w:jc w:val="center"/>
              <w:spacing w:after="0"/>
              <w:rPr>
                <w:sz w:val="20"/>
                <w:szCs w:val="20"/>
                <w:color w:val="auto"/>
              </w:rPr>
            </w:pPr>
            <w:r>
              <w:rPr>
                <w:rFonts w:ascii="Arial" w:cs="Arial" w:eastAsia="Arial" w:hAnsi="Arial"/>
                <w:sz w:val="18"/>
                <w:szCs w:val="18"/>
                <w:b w:val="1"/>
                <w:bCs w:val="1"/>
                <w:color w:val="0000FF"/>
                <w:w w:val="89"/>
              </w:rPr>
              <w:t>44</w:t>
            </w:r>
          </w:p>
        </w:tc>
        <w:tc>
          <w:tcPr>
            <w:tcW w:w="0" w:type="dxa"/>
            <w:vAlign w:val="bottom"/>
          </w:tcPr>
          <w:p>
            <w:pPr>
              <w:spacing w:after="0"/>
              <w:rPr>
                <w:sz w:val="1"/>
                <w:szCs w:val="1"/>
                <w:color w:val="auto"/>
              </w:rPr>
            </w:pPr>
          </w:p>
        </w:tc>
      </w:tr>
      <w:tr>
        <w:trPr>
          <w:trHeight w:val="20"/>
        </w:trPr>
        <w:tc>
          <w:tcPr>
            <w:tcW w:w="1060" w:type="dxa"/>
            <w:vAlign w:val="bottom"/>
            <w:shd w:val="clear" w:color="auto" w:fill="0000FF"/>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700"/>
          </w:cols>
          <w:pgMar w:left="320" w:top="130" w:right="879" w:bottom="1440" w:gutter="0" w:footer="0" w:header="0"/>
        </w:sectPr>
      </w:pPr>
    </w:p>
    <w:bookmarkStart w:id="2" w:name="page3"/>
    <w:bookmarkEnd w:id="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52" w:lineRule="exact"/>
        <w:rPr>
          <w:sz w:val="20"/>
          <w:szCs w:val="20"/>
          <w:color w:val="auto"/>
        </w:rPr>
      </w:pPr>
    </w:p>
    <w:p>
      <w:pPr>
        <w:ind w:right="5020"/>
        <w:spacing w:after="0" w:line="266" w:lineRule="auto"/>
        <w:rPr>
          <w:sz w:val="20"/>
          <w:szCs w:val="20"/>
          <w:color w:val="auto"/>
        </w:rPr>
      </w:pPr>
      <w:r>
        <w:rPr>
          <w:rFonts w:ascii="Arial" w:cs="Arial" w:eastAsia="Arial" w:hAnsi="Arial"/>
          <w:sz w:val="18"/>
          <w:szCs w:val="18"/>
          <w:b w:val="1"/>
          <w:bCs w:val="1"/>
          <w:color w:val="auto"/>
        </w:rPr>
        <w:t xml:space="preserve">CONDENSED CONSOLIDATED STATEMENTS OF INCOME (UNAUDITED) </w:t>
      </w:r>
      <w:r>
        <w:rPr>
          <w:rFonts w:ascii="Arial" w:cs="Arial" w:eastAsia="Arial" w:hAnsi="Arial"/>
          <w:sz w:val="18"/>
          <w:szCs w:val="18"/>
          <w:color w:val="auto"/>
        </w:rPr>
        <w:t>West Pharmaceutical Services, Inc. and Subsidiaries (in millions, except per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40" w:type="dxa"/>
            <w:vAlign w:val="bottom"/>
          </w:tcPr>
          <w:p>
            <w:pPr>
              <w:spacing w:after="0"/>
              <w:rPr>
                <w:sz w:val="17"/>
                <w:szCs w:val="17"/>
                <w:color w:val="auto"/>
              </w:rPr>
            </w:pPr>
          </w:p>
        </w:tc>
        <w:tc>
          <w:tcPr>
            <w:tcW w:w="2400" w:type="dxa"/>
            <w:vAlign w:val="bottom"/>
            <w:gridSpan w:val="4"/>
          </w:tcPr>
          <w:p>
            <w:pPr>
              <w:jc w:val="right"/>
              <w:ind w:right="11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34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3"/>
          </w:tcPr>
          <w:p>
            <w:pPr>
              <w:jc w:val="right"/>
              <w:ind w:right="57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53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753.8</w:t>
            </w:r>
          </w:p>
        </w:tc>
        <w:tc>
          <w:tcPr>
            <w:tcW w:w="100" w:type="dxa"/>
            <w:vAlign w:val="bottom"/>
            <w:tcBorders>
              <w:top w:val="single" w:sz="8" w:color="CCEEFF"/>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771.3</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1,491.3</w:t>
            </w:r>
          </w:p>
        </w:tc>
        <w:tc>
          <w:tcPr>
            <w:tcW w:w="0" w:type="dxa"/>
            <w:vAlign w:val="bottom"/>
          </w:tcPr>
          <w:p>
            <w:pPr>
              <w:spacing w:after="0"/>
              <w:rPr>
                <w:sz w:val="1"/>
                <w:szCs w:val="1"/>
                <w:color w:val="auto"/>
              </w:rPr>
            </w:pPr>
          </w:p>
        </w:tc>
      </w:tr>
      <w:tr>
        <w:trPr>
          <w:trHeight w:val="243"/>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goods and services sold</w:t>
            </w:r>
          </w:p>
        </w:tc>
        <w:tc>
          <w:tcPr>
            <w:tcW w:w="90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462.4</w:t>
            </w:r>
          </w:p>
        </w:tc>
        <w:tc>
          <w:tcPr>
            <w:tcW w:w="10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8"/>
              </w:rPr>
              <w:t>449.8</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907.7</w:t>
            </w:r>
          </w:p>
        </w:tc>
        <w:tc>
          <w:tcPr>
            <w:tcW w:w="12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Gross profit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291.4</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321.5</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562.7</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606.1</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43"/>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90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88.4</w:t>
            </w:r>
          </w:p>
        </w:tc>
        <w:tc>
          <w:tcPr>
            <w:tcW w:w="100" w:type="dxa"/>
            <w:vAlign w:val="bottom"/>
            <w:shd w:val="clear" w:color="auto" w:fill="CCEEFF"/>
          </w:tcPr>
          <w:p>
            <w:pPr>
              <w:spacing w:after="0"/>
              <w:rPr>
                <w:sz w:val="21"/>
                <w:szCs w:val="21"/>
                <w:color w:val="auto"/>
              </w:rPr>
            </w:pPr>
          </w:p>
        </w:tc>
        <w:tc>
          <w:tcPr>
            <w:tcW w:w="900" w:type="dxa"/>
            <w:vAlign w:val="bottom"/>
            <w:shd w:val="clear" w:color="auto" w:fill="CCEEFF"/>
          </w:tcPr>
          <w:p>
            <w:pPr>
              <w:spacing w:after="0"/>
              <w:rPr>
                <w:sz w:val="21"/>
                <w:szCs w:val="21"/>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81.5</w:t>
            </w: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0" w:type="dxa"/>
            <w:vAlign w:val="bottom"/>
          </w:tcPr>
          <w:p>
            <w:pPr>
              <w:spacing w:after="0"/>
              <w:rPr>
                <w:sz w:val="1"/>
                <w:szCs w:val="1"/>
                <w:color w:val="auto"/>
              </w:rPr>
            </w:pPr>
          </w:p>
        </w:tc>
      </w:tr>
      <w:tr>
        <w:trPr>
          <w:trHeight w:val="230"/>
        </w:trPr>
        <w:tc>
          <w:tcPr>
            <w:tcW w:w="5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 (Note 15)</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3"/>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Operating profit</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182.5</w:t>
            </w: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228.4</w:t>
            </w: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36"/>
        </w:trPr>
        <w:tc>
          <w:tcPr>
            <w:tcW w:w="5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0" w:type="dxa"/>
            <w:vAlign w:val="bottom"/>
          </w:tcPr>
          <w:p>
            <w:pPr>
              <w:spacing w:after="0"/>
              <w:rPr>
                <w:sz w:val="1"/>
                <w:szCs w:val="1"/>
                <w:color w:val="auto"/>
              </w:rPr>
            </w:pPr>
          </w:p>
        </w:tc>
      </w:tr>
      <w:tr>
        <w:trPr>
          <w:trHeight w:val="230"/>
        </w:trPr>
        <w:tc>
          <w:tcPr>
            <w:tcW w:w="5340" w:type="dxa"/>
            <w:vAlign w:val="bottom"/>
          </w:tcPr>
          <w:p>
            <w:pPr>
              <w:ind w:left="20"/>
              <w:spacing w:after="0"/>
              <w:rPr>
                <w:sz w:val="20"/>
                <w:szCs w:val="20"/>
                <w:color w:val="auto"/>
              </w:rPr>
            </w:pPr>
            <w:r>
              <w:rPr>
                <w:rFonts w:ascii="Arial" w:cs="Arial" w:eastAsia="Arial" w:hAnsi="Arial"/>
                <w:sz w:val="18"/>
                <w:szCs w:val="18"/>
                <w:color w:val="auto"/>
              </w:rPr>
              <w:t>Other nonoperating (income) expense</w:t>
            </w:r>
          </w:p>
        </w:tc>
        <w:tc>
          <w:tcPr>
            <w:tcW w:w="90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169"/>
        </w:trPr>
        <w:tc>
          <w:tcPr>
            <w:tcW w:w="5340" w:type="dxa"/>
            <w:vAlign w:val="bottom"/>
            <w:shd w:val="clear" w:color="auto" w:fill="CCEEFF"/>
          </w:tcPr>
          <w:p>
            <w:pPr>
              <w:ind w:left="360"/>
              <w:spacing w:after="0" w:line="169" w:lineRule="exact"/>
              <w:rPr>
                <w:sz w:val="20"/>
                <w:szCs w:val="20"/>
                <w:color w:val="auto"/>
              </w:rPr>
            </w:pPr>
            <w:r>
              <w:rPr>
                <w:rFonts w:ascii="Arial" w:cs="Arial" w:eastAsia="Arial" w:hAnsi="Arial"/>
                <w:sz w:val="18"/>
                <w:szCs w:val="18"/>
                <w:color w:val="auto"/>
                <w:w w:val="95"/>
              </w:rPr>
              <w:t>Income before income taxes and equity in net income of affiliated</w:t>
            </w:r>
          </w:p>
        </w:tc>
        <w:tc>
          <w:tcPr>
            <w:tcW w:w="900" w:type="dxa"/>
            <w:vAlign w:val="bottom"/>
            <w:shd w:val="clear" w:color="auto" w:fill="CCEEFF"/>
          </w:tcPr>
          <w:p>
            <w:pPr>
              <w:spacing w:after="0"/>
              <w:rPr>
                <w:sz w:val="14"/>
                <w:szCs w:val="14"/>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184.9</w:t>
            </w: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88"/>
              </w:rPr>
              <w:t>227.2</w:t>
            </w:r>
          </w:p>
        </w:tc>
        <w:tc>
          <w:tcPr>
            <w:tcW w:w="14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12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30"/>
        </w:trPr>
        <w:tc>
          <w:tcPr>
            <w:tcW w:w="53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companies</w:t>
            </w:r>
          </w:p>
        </w:tc>
        <w:tc>
          <w:tcPr>
            <w:tcW w:w="90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Income tax expense</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44.2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36"/>
        </w:trPr>
        <w:tc>
          <w:tcPr>
            <w:tcW w:w="5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Equity in net income of affiliated companies</w:t>
            </w:r>
          </w:p>
        </w:tc>
        <w:tc>
          <w:tcPr>
            <w:tcW w:w="90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4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0" w:type="dxa"/>
            <w:vAlign w:val="bottom"/>
          </w:tcPr>
          <w:p>
            <w:pPr>
              <w:spacing w:after="0"/>
              <w:rPr>
                <w:sz w:val="1"/>
                <w:szCs w:val="1"/>
                <w:color w:val="auto"/>
              </w:rPr>
            </w:pPr>
          </w:p>
        </w:tc>
      </w:tr>
      <w:tr>
        <w:trPr>
          <w:trHeight w:val="223"/>
        </w:trPr>
        <w:tc>
          <w:tcPr>
            <w:tcW w:w="5340" w:type="dxa"/>
            <w:vAlign w:val="bottom"/>
          </w:tcPr>
          <w:p>
            <w:pPr>
              <w:ind w:left="360"/>
              <w:spacing w:after="0"/>
              <w:rPr>
                <w:sz w:val="20"/>
                <w:szCs w:val="20"/>
                <w:color w:val="auto"/>
              </w:rPr>
            </w:pPr>
            <w:r>
              <w:rPr>
                <w:rFonts w:ascii="Arial" w:cs="Arial" w:eastAsia="Arial" w:hAnsi="Arial"/>
                <w:sz w:val="18"/>
                <w:szCs w:val="18"/>
                <w:color w:val="auto"/>
              </w:rPr>
              <w:t>Net income</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155.1</w:t>
            </w:r>
          </w:p>
        </w:tc>
        <w:tc>
          <w:tcPr>
            <w:tcW w:w="10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188.5</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295.1</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Net income per share:</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4.87</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900" w:type="dxa"/>
            <w:vAlign w:val="bottom"/>
            <w:tcBorders>
              <w:top w:val="single" w:sz="8" w:color="auto"/>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2.06</w:t>
            </w:r>
          </w:p>
        </w:tc>
        <w:tc>
          <w:tcPr>
            <w:tcW w:w="100" w:type="dxa"/>
            <w:vAlign w:val="bottom"/>
          </w:tcPr>
          <w:p>
            <w:pPr>
              <w:spacing w:after="0"/>
              <w:rPr>
                <w:sz w:val="17"/>
                <w:szCs w:val="17"/>
                <w:color w:val="auto"/>
              </w:rPr>
            </w:pPr>
          </w:p>
        </w:tc>
        <w:tc>
          <w:tcPr>
            <w:tcW w:w="900" w:type="dxa"/>
            <w:vAlign w:val="bottom"/>
            <w:tcBorders>
              <w:top w:val="single" w:sz="8" w:color="auto"/>
              <w:bottom w:val="single" w:sz="8" w:color="auto"/>
            </w:tcBorders>
          </w:tcPr>
          <w:p>
            <w:pPr>
              <w:jc w:val="right"/>
              <w:ind w:right="690"/>
              <w:spacing w:after="0" w:line="203"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2.48</w:t>
            </w:r>
          </w:p>
        </w:tc>
        <w:tc>
          <w:tcPr>
            <w:tcW w:w="14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3.91</w:t>
            </w:r>
          </w:p>
        </w:tc>
        <w:tc>
          <w:tcPr>
            <w:tcW w:w="120" w:type="dxa"/>
            <w:vAlign w:val="bottom"/>
          </w:tcPr>
          <w:p>
            <w:pPr>
              <w:spacing w:after="0"/>
              <w:rPr>
                <w:sz w:val="17"/>
                <w:szCs w:val="17"/>
                <w:color w:val="auto"/>
              </w:rPr>
            </w:pPr>
          </w:p>
        </w:tc>
        <w:tc>
          <w:tcPr>
            <w:tcW w:w="400" w:type="dxa"/>
            <w:vAlign w:val="bottom"/>
            <w:tcBorders>
              <w:top w:val="single" w:sz="8" w:color="auto"/>
              <w:bottom w:val="single" w:sz="8" w:color="auto"/>
            </w:tcBorders>
          </w:tcPr>
          <w:p>
            <w:pPr>
              <w:jc w:val="right"/>
              <w:ind w:right="190"/>
              <w:spacing w:after="0" w:line="203" w:lineRule="exact"/>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4.77</w:t>
            </w:r>
          </w:p>
        </w:tc>
        <w:tc>
          <w:tcPr>
            <w:tcW w:w="0" w:type="dxa"/>
            <w:vAlign w:val="bottom"/>
          </w:tcPr>
          <w:p>
            <w:pPr>
              <w:spacing w:after="0"/>
              <w:rPr>
                <w:sz w:val="1"/>
                <w:szCs w:val="1"/>
                <w:color w:val="auto"/>
              </w:rPr>
            </w:pPr>
          </w:p>
        </w:tc>
      </w:tr>
      <w:tr>
        <w:trPr>
          <w:trHeight w:val="20"/>
        </w:trPr>
        <w:tc>
          <w:tcPr>
            <w:tcW w:w="534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3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340" w:type="dxa"/>
            <w:vAlign w:val="bottom"/>
          </w:tcPr>
          <w:p>
            <w:pPr>
              <w:ind w:left="20"/>
              <w:spacing w:after="0"/>
              <w:rPr>
                <w:sz w:val="20"/>
                <w:szCs w:val="20"/>
                <w:color w:val="auto"/>
              </w:rPr>
            </w:pPr>
            <w:r>
              <w:rPr>
                <w:rFonts w:ascii="Arial" w:cs="Arial" w:eastAsia="Arial" w:hAnsi="Arial"/>
                <w:sz w:val="18"/>
                <w:szCs w:val="18"/>
                <w:color w:val="auto"/>
              </w:rPr>
              <w:t>Weighted average shares outstanding:</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1"/>
        </w:trPr>
        <w:tc>
          <w:tcPr>
            <w:tcW w:w="534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Basic</w:t>
            </w:r>
          </w:p>
        </w:tc>
        <w:tc>
          <w:tcPr>
            <w:tcW w:w="900" w:type="dxa"/>
            <w:vAlign w:val="bottom"/>
            <w:tcBorders>
              <w:bottom w:val="single" w:sz="8" w:color="auto"/>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74.3</w:t>
            </w:r>
          </w:p>
        </w:tc>
        <w:tc>
          <w:tcPr>
            <w:tcW w:w="10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auto"/>
            </w:tcBorders>
            <w:shd w:val="clear" w:color="auto" w:fill="CCEEFF"/>
          </w:tcPr>
          <w:p>
            <w:pPr>
              <w:spacing w:after="0"/>
              <w:rPr>
                <w:sz w:val="22"/>
                <w:szCs w:val="22"/>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340" w:type="dxa"/>
            <w:vAlign w:val="bottom"/>
          </w:tcPr>
          <w:p>
            <w:pPr>
              <w:ind w:left="360"/>
              <w:spacing w:after="0" w:line="203" w:lineRule="exact"/>
              <w:rPr>
                <w:sz w:val="20"/>
                <w:szCs w:val="20"/>
                <w:color w:val="auto"/>
              </w:rPr>
            </w:pPr>
            <w:r>
              <w:rPr>
                <w:rFonts w:ascii="Arial" w:cs="Arial" w:eastAsia="Arial" w:hAnsi="Arial"/>
                <w:sz w:val="18"/>
                <w:szCs w:val="18"/>
                <w:color w:val="auto"/>
              </w:rPr>
              <w:t>Diluted</w:t>
            </w:r>
          </w:p>
        </w:tc>
        <w:tc>
          <w:tcPr>
            <w:tcW w:w="90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75.4</w:t>
            </w:r>
          </w:p>
        </w:tc>
        <w:tc>
          <w:tcPr>
            <w:tcW w:w="100" w:type="dxa"/>
            <w:vAlign w:val="bottom"/>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75.8</w:t>
            </w:r>
          </w:p>
        </w:tc>
        <w:tc>
          <w:tcPr>
            <w:tcW w:w="14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75.5</w:t>
            </w:r>
          </w:p>
        </w:tc>
        <w:tc>
          <w:tcPr>
            <w:tcW w:w="12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 w:name="page4"/>
    <w:bookmarkEnd w:id="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COMPREHENSIVE INCOME (UNAUDITED)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 and Subsidiaries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 millions)</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360" w:type="dxa"/>
            <w:vAlign w:val="bottom"/>
            <w:shd w:val="clear" w:color="auto" w:fill="CCEEFF"/>
          </w:tcPr>
          <w:p>
            <w:pPr>
              <w:spacing w:after="0"/>
              <w:rPr>
                <w:sz w:val="17"/>
                <w:szCs w:val="17"/>
                <w:color w:val="auto"/>
              </w:rPr>
            </w:pPr>
          </w:p>
        </w:tc>
        <w:tc>
          <w:tcPr>
            <w:tcW w:w="2380" w:type="dxa"/>
            <w:vAlign w:val="bottom"/>
            <w:gridSpan w:val="4"/>
            <w:shd w:val="clear" w:color="auto" w:fill="CCEEFF"/>
          </w:tcPr>
          <w:p>
            <w:pPr>
              <w:jc w:val="right"/>
              <w:ind w:right="110"/>
              <w:spacing w:after="0"/>
              <w:rPr>
                <w:sz w:val="20"/>
                <w:szCs w:val="20"/>
                <w:color w:val="auto"/>
              </w:rPr>
            </w:pPr>
            <w:r>
              <w:rPr>
                <w:rFonts w:ascii="Arial" w:cs="Arial" w:eastAsia="Arial" w:hAnsi="Arial"/>
                <w:sz w:val="18"/>
                <w:szCs w:val="18"/>
                <w:color w:val="auto"/>
              </w:rPr>
              <w:t>Three Months Ended</w:t>
            </w:r>
          </w:p>
        </w:tc>
        <w:tc>
          <w:tcPr>
            <w:tcW w:w="4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580" w:type="dxa"/>
            <w:vAlign w:val="bottom"/>
            <w:gridSpan w:val="4"/>
            <w:shd w:val="clear" w:color="auto" w:fill="CCEEFF"/>
          </w:tcPr>
          <w:p>
            <w:pPr>
              <w:jc w:val="right"/>
              <w:ind w:right="6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7"/>
        </w:trPr>
        <w:tc>
          <w:tcPr>
            <w:tcW w:w="5360" w:type="dxa"/>
            <w:vAlign w:val="bottom"/>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gridSpan w:val="3"/>
            <w:shd w:val="clear" w:color="auto" w:fill="CCEEFF"/>
          </w:tcPr>
          <w:p>
            <w:pPr>
              <w:jc w:val="right"/>
              <w:ind w:right="55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580" w:type="dxa"/>
            <w:vAlign w:val="bottom"/>
            <w:tcBorders>
              <w:bottom w:val="single" w:sz="8" w:color="auto"/>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3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155.1</w:t>
            </w:r>
          </w:p>
        </w:tc>
        <w:tc>
          <w:tcPr>
            <w:tcW w:w="12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188.5</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37"/>
        </w:trPr>
        <w:tc>
          <w:tcPr>
            <w:tcW w:w="5360" w:type="dxa"/>
            <w:vAlign w:val="bottom"/>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2"/>
        </w:trPr>
        <w:tc>
          <w:tcPr>
            <w:tcW w:w="5360" w:type="dxa"/>
            <w:vAlign w:val="bottom"/>
            <w:shd w:val="clear" w:color="auto" w:fill="CCEEFF"/>
          </w:tcPr>
          <w:p>
            <w:pPr>
              <w:ind w:left="220"/>
              <w:spacing w:after="0" w:line="182" w:lineRule="exact"/>
              <w:rPr>
                <w:sz w:val="20"/>
                <w:szCs w:val="20"/>
                <w:color w:val="auto"/>
              </w:rPr>
            </w:pPr>
            <w:r>
              <w:rPr>
                <w:rFonts w:ascii="Arial" w:cs="Arial" w:eastAsia="Arial" w:hAnsi="Arial"/>
                <w:sz w:val="18"/>
                <w:szCs w:val="18"/>
                <w:color w:val="auto"/>
                <w:w w:val="91"/>
              </w:rPr>
              <w:t>Foreign currency translation adjustments, net of tax of $1.3, $1.7, $1.5</w:t>
            </w:r>
          </w:p>
        </w:tc>
        <w:tc>
          <w:tcPr>
            <w:tcW w:w="8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(11.3)</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3"/>
              </w:rPr>
              <w:t>(64.4)</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(86.5)</w:t>
            </w:r>
          </w:p>
        </w:tc>
        <w:tc>
          <w:tcPr>
            <w:tcW w:w="0" w:type="dxa"/>
            <w:vAlign w:val="bottom"/>
          </w:tcPr>
          <w:p>
            <w:pPr>
              <w:spacing w:after="0"/>
              <w:rPr>
                <w:sz w:val="1"/>
                <w:szCs w:val="1"/>
                <w:color w:val="auto"/>
              </w:rPr>
            </w:pPr>
          </w:p>
        </w:tc>
      </w:tr>
      <w:tr>
        <w:trPr>
          <w:trHeight w:val="229"/>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$2.7, respectively</w:t>
            </w:r>
          </w:p>
        </w:tc>
        <w:tc>
          <w:tcPr>
            <w:tcW w:w="880" w:type="dxa"/>
            <w:vAlign w:val="bottom"/>
            <w:shd w:val="clear" w:color="auto" w:fill="CCEEFF"/>
          </w:tcPr>
          <w:p>
            <w:pPr>
              <w:spacing w:after="0"/>
              <w:rPr>
                <w:sz w:val="19"/>
                <w:szCs w:val="19"/>
                <w:color w:val="auto"/>
              </w:rPr>
            </w:pPr>
          </w:p>
        </w:tc>
        <w:tc>
          <w:tcPr>
            <w:tcW w:w="5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5360" w:type="dxa"/>
            <w:vAlign w:val="bottom"/>
          </w:tcPr>
          <w:p>
            <w:pPr>
              <w:ind w:left="220"/>
              <w:spacing w:after="0" w:line="189" w:lineRule="exact"/>
              <w:rPr>
                <w:sz w:val="20"/>
                <w:szCs w:val="20"/>
                <w:color w:val="auto"/>
              </w:rPr>
            </w:pPr>
            <w:r>
              <w:rPr>
                <w:rFonts w:ascii="Arial" w:cs="Arial" w:eastAsia="Arial" w:hAnsi="Arial"/>
                <w:sz w:val="18"/>
                <w:szCs w:val="18"/>
                <w:color w:val="auto"/>
                <w:w w:val="90"/>
              </w:rPr>
              <w:t>Defined benefit pension and other postretirement plan adjustments, net</w:t>
            </w:r>
          </w:p>
        </w:tc>
        <w:tc>
          <w:tcPr>
            <w:tcW w:w="8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5360" w:type="dxa"/>
            <w:vAlign w:val="bottom"/>
          </w:tcPr>
          <w:p>
            <w:pPr>
              <w:ind w:left="220"/>
              <w:spacing w:after="0"/>
              <w:rPr>
                <w:sz w:val="20"/>
                <w:szCs w:val="20"/>
                <w:color w:val="auto"/>
              </w:rPr>
            </w:pPr>
            <w:r>
              <w:rPr>
                <w:rFonts w:ascii="Arial" w:cs="Arial" w:eastAsia="Arial" w:hAnsi="Arial"/>
                <w:sz w:val="18"/>
                <w:szCs w:val="18"/>
                <w:color w:val="auto"/>
              </w:rPr>
              <w:t>of tax of $(0.3), $0.6, $(0.5), and $0.9, respectively</w:t>
            </w:r>
          </w:p>
        </w:tc>
        <w:tc>
          <w:tcPr>
            <w:tcW w:w="8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1.9</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75"/>
        </w:trPr>
        <w:tc>
          <w:tcPr>
            <w:tcW w:w="5360" w:type="dxa"/>
            <w:vAlign w:val="bottom"/>
            <w:shd w:val="clear" w:color="auto" w:fill="CCEEFF"/>
          </w:tcPr>
          <w:p>
            <w:pPr>
              <w:ind w:left="220"/>
              <w:spacing w:after="0" w:line="176" w:lineRule="exact"/>
              <w:rPr>
                <w:sz w:val="20"/>
                <w:szCs w:val="20"/>
                <w:color w:val="auto"/>
              </w:rPr>
            </w:pPr>
            <w:r>
              <w:rPr>
                <w:rFonts w:ascii="Arial" w:cs="Arial" w:eastAsia="Arial" w:hAnsi="Arial"/>
                <w:sz w:val="18"/>
                <w:szCs w:val="18"/>
                <w:color w:val="auto"/>
                <w:w w:val="92"/>
              </w:rPr>
              <w:t>Net loss on equity affiliate accumulated other comprehensive income,</w:t>
            </w:r>
          </w:p>
        </w:tc>
        <w:tc>
          <w:tcPr>
            <w:tcW w:w="880" w:type="dxa"/>
            <w:vAlign w:val="bottom"/>
            <w:shd w:val="clear" w:color="auto" w:fill="CCEEFF"/>
          </w:tcPr>
          <w:p>
            <w:pPr>
              <w:spacing w:after="0"/>
              <w:rPr>
                <w:sz w:val="15"/>
                <w:szCs w:val="15"/>
                <w:color w:val="auto"/>
              </w:rPr>
            </w:pPr>
          </w:p>
        </w:tc>
        <w:tc>
          <w:tcPr>
            <w:tcW w:w="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53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of tax of $0.0, $0.0, $0.0 and $0.0, respectively</w:t>
            </w:r>
          </w:p>
        </w:tc>
        <w:tc>
          <w:tcPr>
            <w:tcW w:w="880" w:type="dxa"/>
            <w:vAlign w:val="bottom"/>
            <w:shd w:val="clear" w:color="auto" w:fill="CCEEFF"/>
          </w:tcPr>
          <w:p>
            <w:pPr>
              <w:spacing w:after="0"/>
              <w:rPr>
                <w:sz w:val="21"/>
                <w:szCs w:val="21"/>
                <w:color w:val="auto"/>
              </w:rPr>
            </w:pPr>
          </w:p>
        </w:tc>
        <w:tc>
          <w:tcPr>
            <w:tcW w:w="500" w:type="dxa"/>
            <w:vAlign w:val="bottom"/>
            <w:vMerge w:val="continue"/>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480" w:type="dxa"/>
            <w:vAlign w:val="bottom"/>
            <w:vMerge w:val="continue"/>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80" w:type="dxa"/>
            <w:vAlign w:val="bottom"/>
            <w:vMerge w:val="continue"/>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vMerge w:val="continue"/>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5"/>
        </w:trPr>
        <w:tc>
          <w:tcPr>
            <w:tcW w:w="5360" w:type="dxa"/>
            <w:vAlign w:val="bottom"/>
          </w:tcPr>
          <w:p>
            <w:pPr>
              <w:ind w:left="220"/>
              <w:spacing w:after="0" w:line="176" w:lineRule="exact"/>
              <w:rPr>
                <w:sz w:val="20"/>
                <w:szCs w:val="20"/>
                <w:color w:val="auto"/>
              </w:rPr>
            </w:pPr>
            <w:r>
              <w:rPr>
                <w:rFonts w:ascii="Arial" w:cs="Arial" w:eastAsia="Arial" w:hAnsi="Arial"/>
                <w:sz w:val="18"/>
                <w:szCs w:val="18"/>
                <w:color w:val="auto"/>
                <w:w w:val="96"/>
              </w:rPr>
              <w:t>Net loss on derivatives, net of tax of $(1.0), $0.0, $(1.1) and $(0.8),</w:t>
            </w:r>
          </w:p>
        </w:tc>
        <w:tc>
          <w:tcPr>
            <w:tcW w:w="880" w:type="dxa"/>
            <w:vAlign w:val="bottom"/>
          </w:tcPr>
          <w:p>
            <w:pPr>
              <w:spacing w:after="0"/>
              <w:rPr>
                <w:sz w:val="15"/>
                <w:szCs w:val="15"/>
                <w:color w:val="auto"/>
              </w:rPr>
            </w:pP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(0.9)</w:t>
            </w: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30"/>
        </w:trPr>
        <w:tc>
          <w:tcPr>
            <w:tcW w:w="53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respectively</w:t>
            </w:r>
          </w:p>
        </w:tc>
        <w:tc>
          <w:tcPr>
            <w:tcW w:w="88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vMerge w:val="continue"/>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vMerge w:val="continue"/>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 income, net of tax</w:t>
            </w:r>
          </w:p>
        </w:tc>
        <w:tc>
          <w:tcPr>
            <w:tcW w:w="88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(15.1)</w:t>
            </w:r>
          </w:p>
        </w:tc>
        <w:tc>
          <w:tcPr>
            <w:tcW w:w="12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(63.5)</w:t>
            </w:r>
          </w:p>
        </w:tc>
        <w:tc>
          <w:tcPr>
            <w:tcW w:w="14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23"/>
        </w:trPr>
        <w:tc>
          <w:tcPr>
            <w:tcW w:w="536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880" w:type="dxa"/>
            <w:vAlign w:val="bottom"/>
          </w:tcPr>
          <w:p>
            <w:pPr>
              <w:jc w:val="right"/>
              <w:ind w:right="69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w w:val="88"/>
              </w:rPr>
              <w:t>140.0</w:t>
            </w:r>
          </w:p>
        </w:tc>
        <w:tc>
          <w:tcPr>
            <w:tcW w:w="1000" w:type="dxa"/>
            <w:vAlign w:val="bottom"/>
            <w:gridSpan w:val="2"/>
          </w:tcPr>
          <w:p>
            <w:pPr>
              <w:jc w:val="right"/>
              <w:ind w:right="690"/>
              <w:spacing w:after="0"/>
              <w:rPr>
                <w:sz w:val="20"/>
                <w:szCs w:val="20"/>
                <w:color w:val="auto"/>
              </w:rPr>
            </w:pPr>
            <w:r>
              <w:rPr>
                <w:rFonts w:ascii="Arial" w:cs="Arial" w:eastAsia="Arial" w:hAnsi="Arial"/>
                <w:sz w:val="18"/>
                <w:szCs w:val="18"/>
                <w:color w:val="auto"/>
              </w:rPr>
              <w:t>$</w:t>
            </w:r>
          </w:p>
        </w:tc>
        <w:tc>
          <w:tcPr>
            <w:tcW w:w="480" w:type="dxa"/>
            <w:vAlign w:val="bottom"/>
          </w:tcPr>
          <w:p>
            <w:pPr>
              <w:jc w:val="right"/>
              <w:spacing w:after="0"/>
              <w:rPr>
                <w:sz w:val="20"/>
                <w:szCs w:val="20"/>
                <w:color w:val="auto"/>
              </w:rPr>
            </w:pPr>
            <w:r>
              <w:rPr>
                <w:rFonts w:ascii="Arial" w:cs="Arial" w:eastAsia="Arial" w:hAnsi="Arial"/>
                <w:sz w:val="18"/>
                <w:szCs w:val="18"/>
                <w:color w:val="auto"/>
                <w:w w:val="88"/>
              </w:rPr>
              <w:t>125.0</w:t>
            </w:r>
          </w:p>
        </w:tc>
        <w:tc>
          <w:tcPr>
            <w:tcW w:w="44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294.6</w:t>
            </w:r>
          </w:p>
        </w:tc>
        <w:tc>
          <w:tcPr>
            <w:tcW w:w="50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276.0</w:t>
            </w:r>
          </w:p>
        </w:tc>
        <w:tc>
          <w:tcPr>
            <w:tcW w:w="0" w:type="dxa"/>
            <w:vAlign w:val="bottom"/>
          </w:tcPr>
          <w:p>
            <w:pPr>
              <w:spacing w:after="0"/>
              <w:rPr>
                <w:sz w:val="1"/>
                <w:szCs w:val="1"/>
                <w:color w:val="auto"/>
              </w:rPr>
            </w:pPr>
          </w:p>
        </w:tc>
      </w:tr>
      <w:tr>
        <w:trPr>
          <w:trHeight w:val="21"/>
        </w:trPr>
        <w:tc>
          <w:tcPr>
            <w:tcW w:w="53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4" w:name="page5"/>
    <w:bookmarkEnd w:id="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CONDENSED CONSOLIDATED BALANCE SHEETS (UNAUDITED)</w:t>
      </w: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color w:val="auto"/>
        </w:rPr>
        <w:t>West Pharmaceutical Services, Inc. and Subsidiaries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415"/>
              <w:spacing w:after="0"/>
              <w:rPr>
                <w:sz w:val="20"/>
                <w:szCs w:val="20"/>
                <w:color w:val="auto"/>
              </w:rPr>
            </w:pPr>
            <w:r>
              <w:rPr>
                <w:rFonts w:ascii="Arial" w:cs="Arial" w:eastAsia="Arial" w:hAnsi="Arial"/>
                <w:sz w:val="17"/>
                <w:szCs w:val="17"/>
                <w:color w:val="auto"/>
              </w:rPr>
              <w:t>June 30,</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ind w:right="215"/>
              <w:spacing w:after="0"/>
              <w:rPr>
                <w:sz w:val="20"/>
                <w:szCs w:val="20"/>
                <w:color w:val="auto"/>
              </w:rPr>
            </w:pPr>
            <w:r>
              <w:rPr>
                <w:rFonts w:ascii="Arial" w:cs="Arial" w:eastAsia="Arial" w:hAnsi="Arial"/>
                <w:sz w:val="17"/>
                <w:szCs w:val="17"/>
                <w:color w:val="auto"/>
                <w:w w:val="97"/>
              </w:rPr>
              <w:t>December 31,</w:t>
            </w:r>
          </w:p>
        </w:tc>
      </w:tr>
      <w:tr>
        <w:trPr>
          <w:trHeight w:val="232"/>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(in millions, except per share data)</w:t>
            </w: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2023</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535"/>
              <w:spacing w:after="0"/>
              <w:rPr>
                <w:sz w:val="20"/>
                <w:szCs w:val="20"/>
                <w:color w:val="auto"/>
              </w:rPr>
            </w:pPr>
            <w:r>
              <w:rPr>
                <w:rFonts w:ascii="Arial" w:cs="Arial" w:eastAsia="Arial" w:hAnsi="Arial"/>
                <w:sz w:val="17"/>
                <w:szCs w:val="17"/>
                <w:color w:val="auto"/>
              </w:rPr>
              <w:t>2022</w:t>
            </w:r>
          </w:p>
        </w:tc>
      </w:tr>
      <w:tr>
        <w:trPr>
          <w:trHeight w:val="211"/>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ASSETS</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assets: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Cash and cash equivalents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796.3</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894.3</w:t>
            </w: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Accounts receivable,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534.4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507.4</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Inventories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449.4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414.8</w:t>
            </w:r>
          </w:p>
        </w:tc>
      </w:tr>
      <w:tr>
        <w:trPr>
          <w:trHeight w:val="22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assets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94.1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103.0</w:t>
            </w:r>
          </w:p>
        </w:tc>
      </w:tr>
      <w:tr>
        <w:trPr>
          <w:trHeight w:val="216"/>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assets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1,874.2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1,919.5</w:t>
            </w: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2,543.3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2,386.6</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Less: accumulated depreciation and amortization</w:t>
            </w:r>
          </w:p>
        </w:tc>
        <w:tc>
          <w:tcPr>
            <w:tcW w:w="300" w:type="dxa"/>
            <w:vAlign w:val="bottom"/>
            <w:tcBorders>
              <w:bottom w:val="single" w:sz="8" w:color="auto"/>
            </w:tcBorders>
            <w:shd w:val="clear" w:color="auto" w:fill="CCEEFF"/>
          </w:tcPr>
          <w:p>
            <w:pPr>
              <w:spacing w:after="0"/>
              <w:rPr>
                <w:sz w:val="20"/>
                <w:szCs w:val="20"/>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1,282.0</w:t>
            </w:r>
          </w:p>
        </w:tc>
        <w:tc>
          <w:tcPr>
            <w:tcW w:w="12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1,228.3</w:t>
            </w:r>
          </w:p>
        </w:tc>
      </w:tr>
      <w:tr>
        <w:trPr>
          <w:trHeight w:val="210"/>
        </w:trPr>
        <w:tc>
          <w:tcPr>
            <w:tcW w:w="7980" w:type="dxa"/>
            <w:vAlign w:val="bottom"/>
          </w:tcPr>
          <w:p>
            <w:pPr>
              <w:ind w:left="20"/>
              <w:spacing w:after="0"/>
              <w:rPr>
                <w:sz w:val="20"/>
                <w:szCs w:val="20"/>
                <w:color w:val="auto"/>
              </w:rPr>
            </w:pPr>
            <w:r>
              <w:rPr>
                <w:rFonts w:ascii="Arial" w:cs="Arial" w:eastAsia="Arial" w:hAnsi="Arial"/>
                <w:sz w:val="17"/>
                <w:szCs w:val="17"/>
                <w:color w:val="auto"/>
              </w:rPr>
              <w:t>Property, plant and equipment, net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1,261.3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1,158.3</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right-of-use assets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104.4</w:t>
            </w: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Investments in affiliated companies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202.8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204.9</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Goodwill</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108.0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107.3</w:t>
            </w: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Intangible assets, net</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16.8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18.4</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67.0</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65.6</w:t>
            </w: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Other noncurrent assets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40.3</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38.4</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Total Assets</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3,669.6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3,616.8</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42"/>
        </w:trPr>
        <w:tc>
          <w:tcPr>
            <w:tcW w:w="79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360" w:type="dxa"/>
            <w:vAlign w:val="bottom"/>
          </w:tcPr>
          <w:p>
            <w:pPr>
              <w:spacing w:after="0"/>
              <w:rPr>
                <w:sz w:val="3"/>
                <w:szCs w:val="3"/>
                <w:color w:val="auto"/>
              </w:rPr>
            </w:pPr>
          </w:p>
        </w:tc>
      </w:tr>
      <w:tr>
        <w:trPr>
          <w:trHeight w:val="21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LIABILITIES AND EQUITY</w:t>
            </w:r>
          </w:p>
        </w:tc>
        <w:tc>
          <w:tcPr>
            <w:tcW w:w="3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Current liabilities:</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Notes payable and other current debt</w:t>
            </w:r>
          </w:p>
        </w:tc>
        <w:tc>
          <w:tcPr>
            <w:tcW w:w="300" w:type="dxa"/>
            <w:vAlign w:val="bottom"/>
            <w:shd w:val="clear" w:color="auto" w:fill="CCEEFF"/>
          </w:tcPr>
          <w:p>
            <w:pPr>
              <w:jc w:val="right"/>
              <w:ind w:right="115"/>
              <w:spacing w:after="0"/>
              <w:rPr>
                <w:sz w:val="20"/>
                <w:szCs w:val="20"/>
                <w:color w:val="auto"/>
              </w:rPr>
            </w:pPr>
            <w:r>
              <w:rPr>
                <w:rFonts w:ascii="Arial" w:cs="Arial" w:eastAsia="Arial" w:hAnsi="Arial"/>
                <w:sz w:val="17"/>
                <w:szCs w:val="17"/>
                <w:color w:val="auto"/>
                <w:w w:val="84"/>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2.2</w:t>
            </w: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Accounts payable</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218.0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215.4</w:t>
            </w: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Accrued salaries, wages and benefits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76.8</w:t>
            </w: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Income taxes payable</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26.7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24.8</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16.0</w:t>
            </w:r>
          </w:p>
        </w:tc>
      </w:tr>
      <w:tr>
        <w:trPr>
          <w:trHeight w:val="227"/>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7"/>
                <w:szCs w:val="17"/>
                <w:color w:val="auto"/>
              </w:rPr>
              <w:t>Other current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163.1</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183.8</w:t>
            </w:r>
          </w:p>
        </w:tc>
      </w:tr>
      <w:tr>
        <w:trPr>
          <w:trHeight w:val="212"/>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current liabilities</w:t>
            </w:r>
          </w:p>
        </w:tc>
        <w:tc>
          <w:tcPr>
            <w:tcW w:w="3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511.6</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519.0</w:t>
            </w: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Long-term debt</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205.6</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206.7</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Deferred income taxes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14.3</w:t>
            </w: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Pension and other postretirement benefits</w:t>
            </w:r>
          </w:p>
        </w:tc>
        <w:tc>
          <w:tcPr>
            <w:tcW w:w="3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27.3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28.2</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7"/>
                <w:szCs w:val="17"/>
                <w:color w:val="auto"/>
              </w:rPr>
              <w:t>Operating lease liabilities</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93.0</w:t>
            </w: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Deferred compensation benefits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20.6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19.1</w:t>
            </w: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Other long-term liabilities</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55.1</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51.6</w:t>
            </w:r>
          </w:p>
        </w:tc>
      </w:tr>
      <w:tr>
        <w:trPr>
          <w:trHeight w:val="221"/>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w:t>
            </w:r>
          </w:p>
        </w:tc>
        <w:tc>
          <w:tcPr>
            <w:tcW w:w="3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922.9</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931.9</w:t>
            </w:r>
          </w:p>
        </w:tc>
      </w:tr>
      <w:tr>
        <w:trPr>
          <w:trHeight w:val="103"/>
        </w:trPr>
        <w:tc>
          <w:tcPr>
            <w:tcW w:w="79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r>
      <w:tr>
        <w:trPr>
          <w:trHeight w:val="216"/>
        </w:trPr>
        <w:tc>
          <w:tcPr>
            <w:tcW w:w="7980" w:type="dxa"/>
            <w:vAlign w:val="bottom"/>
          </w:tcPr>
          <w:p>
            <w:pPr>
              <w:ind w:left="20"/>
              <w:spacing w:after="0"/>
              <w:rPr>
                <w:sz w:val="20"/>
                <w:szCs w:val="20"/>
                <w:color w:val="auto"/>
              </w:rPr>
            </w:pPr>
            <w:r>
              <w:rPr>
                <w:rFonts w:ascii="Arial" w:cs="Arial" w:eastAsia="Arial" w:hAnsi="Arial"/>
                <w:sz w:val="17"/>
                <w:szCs w:val="17"/>
                <w:color w:val="auto"/>
              </w:rPr>
              <w:t>Commitments and contingencies (Note 17)</w:t>
            </w: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108"/>
        </w:trPr>
        <w:tc>
          <w:tcPr>
            <w:tcW w:w="7980" w:type="dxa"/>
            <w:vAlign w:val="bottom"/>
            <w:shd w:val="clear" w:color="auto" w:fill="CCEEFF"/>
          </w:tcPr>
          <w:p>
            <w:pPr>
              <w:spacing w:after="0"/>
              <w:rPr>
                <w:sz w:val="9"/>
                <w:szCs w:val="9"/>
                <w:color w:val="auto"/>
              </w:rPr>
            </w:pPr>
          </w:p>
        </w:tc>
        <w:tc>
          <w:tcPr>
            <w:tcW w:w="300" w:type="dxa"/>
            <w:vAlign w:val="bottom"/>
            <w:shd w:val="clear" w:color="auto" w:fill="CCEEFF"/>
          </w:tcPr>
          <w:p>
            <w:pPr>
              <w:spacing w:after="0"/>
              <w:rPr>
                <w:sz w:val="9"/>
                <w:szCs w:val="9"/>
                <w:color w:val="auto"/>
              </w:rPr>
            </w:pPr>
          </w:p>
        </w:tc>
        <w:tc>
          <w:tcPr>
            <w:tcW w:w="126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220" w:type="dxa"/>
            <w:vAlign w:val="bottom"/>
            <w:shd w:val="clear" w:color="auto" w:fill="CCEEFF"/>
          </w:tcPr>
          <w:p>
            <w:pPr>
              <w:spacing w:after="0"/>
              <w:rPr>
                <w:sz w:val="9"/>
                <w:szCs w:val="9"/>
                <w:color w:val="auto"/>
              </w:rPr>
            </w:pPr>
          </w:p>
        </w:tc>
        <w:tc>
          <w:tcPr>
            <w:tcW w:w="1360" w:type="dxa"/>
            <w:vAlign w:val="bottom"/>
            <w:shd w:val="clear" w:color="auto" w:fill="CCEEFF"/>
          </w:tcPr>
          <w:p>
            <w:pPr>
              <w:spacing w:after="0"/>
              <w:rPr>
                <w:sz w:val="9"/>
                <w:szCs w:val="9"/>
                <w:color w:val="auto"/>
              </w:rPr>
            </w:pPr>
          </w:p>
        </w:tc>
      </w:tr>
      <w:tr>
        <w:trPr>
          <w:trHeight w:val="223"/>
        </w:trPr>
        <w:tc>
          <w:tcPr>
            <w:tcW w:w="7980" w:type="dxa"/>
            <w:vAlign w:val="bottom"/>
          </w:tcPr>
          <w:p>
            <w:pPr>
              <w:ind w:left="20"/>
              <w:spacing w:after="0"/>
              <w:rPr>
                <w:sz w:val="20"/>
                <w:szCs w:val="20"/>
                <w:color w:val="auto"/>
              </w:rPr>
            </w:pPr>
            <w:r>
              <w:rPr>
                <w:rFonts w:ascii="Arial" w:cs="Arial" w:eastAsia="Arial" w:hAnsi="Arial"/>
                <w:sz w:val="17"/>
                <w:szCs w:val="17"/>
                <w:color w:val="auto"/>
              </w:rPr>
              <w:t>Equity:</w:t>
            </w:r>
          </w:p>
        </w:tc>
        <w:tc>
          <w:tcPr>
            <w:tcW w:w="3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23"/>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Preferred stock, 3.0 million shares authorized; 0 shares issued and outstanding</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r>
      <w:tr>
        <w:trPr>
          <w:trHeight w:val="171"/>
        </w:trPr>
        <w:tc>
          <w:tcPr>
            <w:tcW w:w="7980" w:type="dxa"/>
            <w:vAlign w:val="bottom"/>
          </w:tcPr>
          <w:p>
            <w:pPr>
              <w:ind w:left="220"/>
              <w:spacing w:after="0" w:line="172" w:lineRule="exact"/>
              <w:rPr>
                <w:sz w:val="20"/>
                <w:szCs w:val="20"/>
                <w:color w:val="auto"/>
              </w:rPr>
            </w:pPr>
            <w:r>
              <w:rPr>
                <w:rFonts w:ascii="Arial" w:cs="Arial" w:eastAsia="Arial" w:hAnsi="Arial"/>
                <w:sz w:val="17"/>
                <w:szCs w:val="17"/>
                <w:color w:val="auto"/>
                <w:w w:val="91"/>
              </w:rPr>
              <w:t>Common stock, par value $0.25 per share; 200.0 million shares authorized; shares issued: 75.3 million and 75.3</w:t>
            </w:r>
          </w:p>
        </w:tc>
        <w:tc>
          <w:tcPr>
            <w:tcW w:w="3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225"/>
        </w:trPr>
        <w:tc>
          <w:tcPr>
            <w:tcW w:w="7980" w:type="dxa"/>
            <w:vAlign w:val="bottom"/>
          </w:tcPr>
          <w:p>
            <w:pPr>
              <w:ind w:left="400"/>
              <w:spacing w:after="0"/>
              <w:rPr>
                <w:sz w:val="20"/>
                <w:szCs w:val="20"/>
                <w:color w:val="auto"/>
              </w:rPr>
            </w:pPr>
            <w:r>
              <w:rPr>
                <w:rFonts w:ascii="Arial" w:cs="Arial" w:eastAsia="Arial" w:hAnsi="Arial"/>
                <w:sz w:val="17"/>
                <w:szCs w:val="17"/>
                <w:color w:val="auto"/>
              </w:rPr>
              <w:t>million; shares outstanding: 73.9 million and 74.1 million</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18.8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18.8</w:t>
            </w:r>
          </w:p>
        </w:tc>
      </w:tr>
      <w:tr>
        <w:trPr>
          <w:trHeight w:val="225"/>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Capital in excess of par value</w:t>
            </w:r>
          </w:p>
        </w:tc>
        <w:tc>
          <w:tcPr>
            <w:tcW w:w="3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158.2</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232.2</w:t>
            </w:r>
          </w:p>
        </w:tc>
      </w:tr>
      <w:tr>
        <w:trPr>
          <w:trHeight w:val="223"/>
        </w:trPr>
        <w:tc>
          <w:tcPr>
            <w:tcW w:w="7980" w:type="dxa"/>
            <w:vAlign w:val="bottom"/>
          </w:tcPr>
          <w:p>
            <w:pPr>
              <w:ind w:left="220"/>
              <w:spacing w:after="0"/>
              <w:rPr>
                <w:sz w:val="20"/>
                <w:szCs w:val="20"/>
                <w:color w:val="auto"/>
              </w:rPr>
            </w:pPr>
            <w:r>
              <w:rPr>
                <w:rFonts w:ascii="Arial" w:cs="Arial" w:eastAsia="Arial" w:hAnsi="Arial"/>
                <w:sz w:val="17"/>
                <w:szCs w:val="17"/>
                <w:color w:val="auto"/>
              </w:rPr>
              <w:t>Retained earnings</w:t>
            </w:r>
          </w:p>
        </w:tc>
        <w:tc>
          <w:tcPr>
            <w:tcW w:w="3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7"/>
                <w:szCs w:val="17"/>
                <w:color w:val="auto"/>
              </w:rPr>
              <w:t>3,254.6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7"/>
                <w:szCs w:val="17"/>
                <w:color w:val="auto"/>
              </w:rPr>
              <w:t>2,987.8</w:t>
            </w: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7"/>
                <w:szCs w:val="17"/>
                <w:color w:val="auto"/>
              </w:rPr>
              <w:t>Accumulated other comprehensive loss</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(183.5)</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(183.0)</w:t>
            </w:r>
          </w:p>
        </w:tc>
      </w:tr>
      <w:tr>
        <w:trPr>
          <w:trHeight w:val="216"/>
        </w:trPr>
        <w:tc>
          <w:tcPr>
            <w:tcW w:w="7980" w:type="dxa"/>
            <w:vAlign w:val="bottom"/>
          </w:tcPr>
          <w:p>
            <w:pPr>
              <w:ind w:left="220"/>
              <w:spacing w:after="0"/>
              <w:rPr>
                <w:sz w:val="20"/>
                <w:szCs w:val="20"/>
                <w:color w:val="auto"/>
              </w:rPr>
            </w:pPr>
            <w:r>
              <w:rPr>
                <w:rFonts w:ascii="Arial" w:cs="Arial" w:eastAsia="Arial" w:hAnsi="Arial"/>
                <w:sz w:val="17"/>
                <w:szCs w:val="17"/>
                <w:color w:val="auto"/>
              </w:rPr>
              <w:t>Treasury stock, at cost (1.4 million and 1.2 million shares)</w:t>
            </w:r>
          </w:p>
        </w:tc>
        <w:tc>
          <w:tcPr>
            <w:tcW w:w="3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(501.4)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(370.9)</w:t>
            </w:r>
          </w:p>
        </w:tc>
      </w:tr>
      <w:tr>
        <w:trPr>
          <w:trHeight w:val="221"/>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Total Equity</w:t>
            </w:r>
          </w:p>
        </w:tc>
        <w:tc>
          <w:tcPr>
            <w:tcW w:w="3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2,746.7</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2,684.9</w:t>
            </w:r>
          </w:p>
        </w:tc>
      </w:tr>
      <w:tr>
        <w:trPr>
          <w:trHeight w:val="225"/>
        </w:trPr>
        <w:tc>
          <w:tcPr>
            <w:tcW w:w="7980" w:type="dxa"/>
            <w:vAlign w:val="bottom"/>
          </w:tcPr>
          <w:p>
            <w:pPr>
              <w:ind w:left="20"/>
              <w:spacing w:after="0"/>
              <w:rPr>
                <w:sz w:val="20"/>
                <w:szCs w:val="20"/>
                <w:color w:val="auto"/>
              </w:rPr>
            </w:pPr>
            <w:r>
              <w:rPr>
                <w:rFonts w:ascii="Arial" w:cs="Arial" w:eastAsia="Arial" w:hAnsi="Arial"/>
                <w:sz w:val="17"/>
                <w:szCs w:val="17"/>
                <w:color w:val="auto"/>
              </w:rPr>
              <w:t>Total Liabilities and Equity</w:t>
            </w:r>
          </w:p>
        </w:tc>
        <w:tc>
          <w:tcPr>
            <w:tcW w:w="300" w:type="dxa"/>
            <w:vAlign w:val="bottom"/>
          </w:tcPr>
          <w:p>
            <w:pPr>
              <w:jc w:val="right"/>
              <w:ind w:right="115"/>
              <w:spacing w:after="0"/>
              <w:rPr>
                <w:sz w:val="20"/>
                <w:szCs w:val="20"/>
                <w:color w:val="auto"/>
              </w:rPr>
            </w:pPr>
            <w:r>
              <w:rPr>
                <w:rFonts w:ascii="Arial" w:cs="Arial" w:eastAsia="Arial" w:hAnsi="Arial"/>
                <w:sz w:val="17"/>
                <w:szCs w:val="17"/>
                <w:color w:val="auto"/>
                <w:w w:val="84"/>
              </w:rPr>
              <w:t>$</w:t>
            </w:r>
          </w:p>
        </w:tc>
        <w:tc>
          <w:tcPr>
            <w:tcW w:w="1260" w:type="dxa"/>
            <w:vAlign w:val="bottom"/>
          </w:tcPr>
          <w:p>
            <w:pPr>
              <w:jc w:val="right"/>
              <w:spacing w:after="0"/>
              <w:rPr>
                <w:sz w:val="20"/>
                <w:szCs w:val="20"/>
                <w:color w:val="auto"/>
              </w:rPr>
            </w:pPr>
            <w:r>
              <w:rPr>
                <w:rFonts w:ascii="Arial" w:cs="Arial" w:eastAsia="Arial" w:hAnsi="Arial"/>
                <w:sz w:val="17"/>
                <w:szCs w:val="17"/>
                <w:color w:val="auto"/>
              </w:rPr>
              <w:t>3,669.6</w:t>
            </w:r>
          </w:p>
        </w:tc>
        <w:tc>
          <w:tcPr>
            <w:tcW w:w="340" w:type="dxa"/>
            <w:vAlign w:val="bottom"/>
            <w:gridSpan w:val="2"/>
          </w:tcPr>
          <w:p>
            <w:pPr>
              <w:jc w:val="right"/>
              <w:ind w:right="120"/>
              <w:spacing w:after="0"/>
              <w:rPr>
                <w:sz w:val="20"/>
                <w:szCs w:val="20"/>
                <w:color w:val="auto"/>
              </w:rPr>
            </w:pPr>
            <w:r>
              <w:rPr>
                <w:rFonts w:ascii="Arial" w:cs="Arial" w:eastAsia="Arial" w:hAnsi="Arial"/>
                <w:sz w:val="17"/>
                <w:szCs w:val="17"/>
                <w:color w:val="auto"/>
              </w:rPr>
              <w:t>$</w:t>
            </w:r>
          </w:p>
        </w:tc>
        <w:tc>
          <w:tcPr>
            <w:tcW w:w="1360" w:type="dxa"/>
            <w:vAlign w:val="bottom"/>
          </w:tcPr>
          <w:p>
            <w:pPr>
              <w:jc w:val="right"/>
              <w:spacing w:after="0"/>
              <w:rPr>
                <w:sz w:val="20"/>
                <w:szCs w:val="20"/>
                <w:color w:val="auto"/>
              </w:rPr>
            </w:pPr>
            <w:r>
              <w:rPr>
                <w:rFonts w:ascii="Arial" w:cs="Arial" w:eastAsia="Arial" w:hAnsi="Arial"/>
                <w:sz w:val="17"/>
                <w:szCs w:val="17"/>
                <w:color w:val="auto"/>
              </w:rPr>
              <w:t>3,616.8</w:t>
            </w:r>
          </w:p>
        </w:tc>
      </w:tr>
      <w:tr>
        <w:trPr>
          <w:trHeight w:val="21"/>
        </w:trPr>
        <w:tc>
          <w:tcPr>
            <w:tcW w:w="79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bl>
    <w:p>
      <w:pPr>
        <w:spacing w:after="0" w:line="6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See accompanying notes to condensed consolidated financial statements.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4580"/>
        <w:spacing w:after="0" w:line="275" w:lineRule="auto"/>
        <w:rPr>
          <w:sz w:val="20"/>
          <w:szCs w:val="20"/>
          <w:color w:val="auto"/>
        </w:rPr>
      </w:pPr>
      <w:r>
        <w:rPr>
          <w:rFonts w:ascii="Arial" w:cs="Arial" w:eastAsia="Arial" w:hAnsi="Arial"/>
          <w:sz w:val="18"/>
          <w:szCs w:val="18"/>
          <w:b w:val="1"/>
          <w:bCs w:val="1"/>
          <w:color w:val="auto"/>
        </w:rPr>
        <w:t xml:space="preserve">CONDENSED CONSOLIDATED STATEMENTS OF CASH FLOWS (UNAUDITED) </w:t>
      </w:r>
      <w:r>
        <w:rPr>
          <w:rFonts w:ascii="Arial" w:cs="Arial" w:eastAsia="Arial" w:hAnsi="Arial"/>
          <w:sz w:val="18"/>
          <w:szCs w:val="18"/>
          <w:color w:val="auto"/>
        </w:rPr>
        <w:t>West Pharmaceutical Services, Inc. and Subsidiaries (in millions)</w:t>
      </w:r>
    </w:p>
    <w:p>
      <w:pPr>
        <w:spacing w:after="0" w:line="203" w:lineRule="exact"/>
        <w:rPr>
          <w:sz w:val="20"/>
          <w:szCs w:val="20"/>
          <w:color w:val="auto"/>
        </w:rPr>
      </w:pPr>
    </w:p>
    <w:p>
      <w:pPr>
        <w:jc w:val="center"/>
        <w:ind w:left="7960"/>
        <w:spacing w:after="0"/>
        <w:rPr>
          <w:sz w:val="20"/>
          <w:szCs w:val="20"/>
          <w:color w:val="auto"/>
        </w:rPr>
      </w:pPr>
      <w:r>
        <w:rPr>
          <w:rFonts w:ascii="Arial" w:cs="Arial" w:eastAsia="Arial" w:hAnsi="Arial"/>
          <w:sz w:val="18"/>
          <w:szCs w:val="18"/>
          <w:color w:val="auto"/>
        </w:rPr>
        <w:t>Six Months Ended</w:t>
      </w:r>
    </w:p>
    <w:p>
      <w:pPr>
        <w:jc w:val="center"/>
        <w:ind w:left="7960"/>
        <w:spacing w:after="0"/>
        <w:rPr>
          <w:sz w:val="20"/>
          <w:szCs w:val="20"/>
          <w:color w:val="auto"/>
        </w:rPr>
      </w:pPr>
      <w:r>
        <w:rPr>
          <w:rFonts w:ascii="Arial" w:cs="Arial" w:eastAsia="Arial" w:hAnsi="Arial"/>
          <w:sz w:val="18"/>
          <w:szCs w:val="18"/>
          <w:color w:val="auto"/>
        </w:rPr>
        <w:t>June 30,</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36"/>
        </w:trPr>
        <w:tc>
          <w:tcPr>
            <w:tcW w:w="7980" w:type="dxa"/>
            <w:vAlign w:val="bottom"/>
            <w:tcBorders>
              <w:bottom w:val="single" w:sz="8" w:color="CCEEFF"/>
            </w:tcBorders>
          </w:tcPr>
          <w:p>
            <w:pPr>
              <w:spacing w:after="0"/>
              <w:rPr>
                <w:sz w:val="20"/>
                <w:szCs w:val="20"/>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600" w:type="dxa"/>
            <w:vAlign w:val="bottom"/>
            <w:tcBorders>
              <w:top w:val="single" w:sz="8" w:color="auto"/>
              <w:bottom w:val="single" w:sz="8" w:color="auto"/>
            </w:tcBorders>
          </w:tcPr>
          <w:p>
            <w:pPr>
              <w:spacing w:after="0"/>
              <w:rPr>
                <w:sz w:val="20"/>
                <w:szCs w:val="20"/>
                <w:color w:val="auto"/>
              </w:rPr>
            </w:pPr>
          </w:p>
        </w:tc>
        <w:tc>
          <w:tcPr>
            <w:tcW w:w="120" w:type="dxa"/>
            <w:vAlign w:val="bottom"/>
            <w:tcBorders>
              <w:top w:val="single" w:sz="8" w:color="auto"/>
              <w:bottom w:val="single" w:sz="8" w:color="CCEEFF"/>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22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operating activities: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r>
      <w:tr>
        <w:trPr>
          <w:trHeight w:val="237"/>
        </w:trPr>
        <w:tc>
          <w:tcPr>
            <w:tcW w:w="7980" w:type="dxa"/>
            <w:vAlign w:val="bottom"/>
          </w:tcPr>
          <w:p>
            <w:pPr>
              <w:ind w:left="220"/>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295.1</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362.3</w:t>
            </w: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64.3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57.9</w:t>
            </w:r>
          </w:p>
        </w:tc>
      </w:tr>
      <w:tr>
        <w:trPr>
          <w:trHeight w:val="243"/>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Stock-based compensation</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30"/>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Loss on disposal of plant</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7980" w:type="dxa"/>
            <w:vAlign w:val="bottom"/>
          </w:tcPr>
          <w:p>
            <w:pPr>
              <w:ind w:left="400"/>
              <w:spacing w:after="0"/>
              <w:rPr>
                <w:sz w:val="20"/>
                <w:szCs w:val="20"/>
                <w:color w:val="auto"/>
              </w:rPr>
            </w:pPr>
            <w:r>
              <w:rPr>
                <w:rFonts w:ascii="Arial" w:cs="Arial" w:eastAsia="Arial" w:hAnsi="Arial"/>
                <w:sz w:val="18"/>
                <w:szCs w:val="18"/>
                <w:color w:val="auto"/>
              </w:rPr>
              <w:t>Asset impairments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6"/>
        </w:trPr>
        <w:tc>
          <w:tcPr>
            <w:tcW w:w="79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Pension settlement charge</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9"/>
        </w:trPr>
        <w:tc>
          <w:tcPr>
            <w:tcW w:w="7980" w:type="dxa"/>
            <w:vAlign w:val="bottom"/>
          </w:tcPr>
          <w:p>
            <w:pPr>
              <w:ind w:left="400"/>
              <w:spacing w:after="0"/>
              <w:rPr>
                <w:sz w:val="20"/>
                <w:szCs w:val="20"/>
                <w:color w:val="auto"/>
              </w:rPr>
            </w:pPr>
            <w:r>
              <w:rPr>
                <w:rFonts w:ascii="Arial" w:cs="Arial" w:eastAsia="Arial" w:hAnsi="Arial"/>
                <w:sz w:val="18"/>
                <w:szCs w:val="18"/>
                <w:color w:val="auto"/>
              </w:rPr>
              <w:t>Other non-cash items, net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(12.4)</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43"/>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Changes in assets and liabilities</w:t>
            </w:r>
          </w:p>
        </w:tc>
        <w:tc>
          <w:tcPr>
            <w:tcW w:w="980" w:type="dxa"/>
            <w:vAlign w:val="bottom"/>
            <w:tcBorders>
              <w:bottom w:val="single" w:sz="8" w:color="auto"/>
            </w:tcBorders>
            <w:shd w:val="clear" w:color="auto" w:fill="CCEEFF"/>
          </w:tcPr>
          <w:p>
            <w:pPr>
              <w:spacing w:after="0"/>
              <w:rPr>
                <w:sz w:val="21"/>
                <w:szCs w:val="21"/>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(98.5)</w:t>
            </w:r>
          </w:p>
        </w:tc>
      </w:tr>
      <w:tr>
        <w:trPr>
          <w:trHeight w:val="22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307.3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324.3</w:t>
            </w:r>
          </w:p>
        </w:tc>
      </w:tr>
      <w:tr>
        <w:trPr>
          <w:trHeight w:val="142"/>
        </w:trPr>
        <w:tc>
          <w:tcPr>
            <w:tcW w:w="798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Cash flows from investing activities:</w:t>
            </w:r>
          </w:p>
        </w:tc>
        <w:tc>
          <w:tcPr>
            <w:tcW w:w="9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Capital expenditures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(157.5)</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(131.9)</w:t>
            </w: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Other, net</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investing activities</w:t>
            </w:r>
          </w:p>
        </w:tc>
        <w:tc>
          <w:tcPr>
            <w:tcW w:w="980" w:type="dxa"/>
            <w:vAlign w:val="bottom"/>
            <w:tcBorders>
              <w:bottom w:val="single" w:sz="8" w:color="auto"/>
            </w:tcBorders>
            <w:shd w:val="clear" w:color="auto" w:fill="CCEEFF"/>
          </w:tcPr>
          <w:p>
            <w:pPr>
              <w:spacing w:after="0"/>
              <w:rPr>
                <w:sz w:val="20"/>
                <w:szCs w:val="20"/>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(164.2)</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(134.3)</w:t>
            </w:r>
          </w:p>
        </w:tc>
      </w:tr>
      <w:tr>
        <w:trPr>
          <w:trHeight w:val="142"/>
        </w:trPr>
        <w:tc>
          <w:tcPr>
            <w:tcW w:w="79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flows from financing activities:</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spacing w:after="0"/>
              <w:rPr>
                <w:sz w:val="21"/>
                <w:szCs w:val="21"/>
                <w:color w:val="auto"/>
              </w:rPr>
            </w:pPr>
          </w:p>
        </w:tc>
      </w:tr>
      <w:tr>
        <w:trPr>
          <w:trHeight w:val="229"/>
        </w:trPr>
        <w:tc>
          <w:tcPr>
            <w:tcW w:w="7980" w:type="dxa"/>
            <w:vAlign w:val="bottom"/>
          </w:tcPr>
          <w:p>
            <w:pPr>
              <w:ind w:left="220"/>
              <w:spacing w:after="0"/>
              <w:rPr>
                <w:sz w:val="20"/>
                <w:szCs w:val="20"/>
                <w:color w:val="auto"/>
              </w:rPr>
            </w:pPr>
            <w:r>
              <w:rPr>
                <w:rFonts w:ascii="Arial" w:cs="Arial" w:eastAsia="Arial" w:hAnsi="Arial"/>
                <w:sz w:val="18"/>
                <w:szCs w:val="18"/>
                <w:color w:val="auto"/>
              </w:rPr>
              <w:t>Repayments of long-term debt</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Debt issuance costs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37"/>
        </w:trPr>
        <w:tc>
          <w:tcPr>
            <w:tcW w:w="7980" w:type="dxa"/>
            <w:vAlign w:val="bottom"/>
          </w:tcPr>
          <w:p>
            <w:pPr>
              <w:ind w:left="220"/>
              <w:spacing w:after="0"/>
              <w:rPr>
                <w:sz w:val="20"/>
                <w:szCs w:val="20"/>
                <w:color w:val="auto"/>
              </w:rPr>
            </w:pPr>
            <w:r>
              <w:rPr>
                <w:rFonts w:ascii="Arial" w:cs="Arial" w:eastAsia="Arial" w:hAnsi="Arial"/>
                <w:sz w:val="18"/>
                <w:szCs w:val="18"/>
                <w:color w:val="auto"/>
              </w:rPr>
              <w:t>Dividend payments</w:t>
            </w:r>
          </w:p>
        </w:tc>
        <w:tc>
          <w:tcPr>
            <w:tcW w:w="9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(28.2)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(26.5)</w:t>
            </w:r>
          </w:p>
        </w:tc>
      </w:tr>
      <w:tr>
        <w:trPr>
          <w:trHeight w:val="236"/>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Proceeds from stock-based compensation awards</w:t>
            </w:r>
          </w:p>
        </w:tc>
        <w:tc>
          <w:tcPr>
            <w:tcW w:w="9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r>
      <w:tr>
        <w:trPr>
          <w:trHeight w:val="230"/>
        </w:trPr>
        <w:tc>
          <w:tcPr>
            <w:tcW w:w="7980" w:type="dxa"/>
            <w:vAlign w:val="bottom"/>
          </w:tcPr>
          <w:p>
            <w:pPr>
              <w:ind w:left="220"/>
              <w:spacing w:after="0"/>
              <w:rPr>
                <w:sz w:val="20"/>
                <w:szCs w:val="20"/>
                <w:color w:val="auto"/>
              </w:rPr>
            </w:pPr>
            <w:r>
              <w:rPr>
                <w:rFonts w:ascii="Arial" w:cs="Arial" w:eastAsia="Arial" w:hAnsi="Arial"/>
                <w:sz w:val="18"/>
                <w:szCs w:val="18"/>
                <w:color w:val="auto"/>
              </w:rPr>
              <w:t>Employee stock purchase plan contributions</w:t>
            </w:r>
          </w:p>
        </w:tc>
        <w:tc>
          <w:tcPr>
            <w:tcW w:w="9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43"/>
        </w:trPr>
        <w:tc>
          <w:tcPr>
            <w:tcW w:w="7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Shares purchased under share repurchase programs</w:t>
            </w:r>
          </w:p>
        </w:tc>
        <w:tc>
          <w:tcPr>
            <w:tcW w:w="980" w:type="dxa"/>
            <w:vAlign w:val="bottom"/>
            <w:shd w:val="clear" w:color="auto" w:fill="CCEEFF"/>
          </w:tcPr>
          <w:p>
            <w:pPr>
              <w:spacing w:after="0"/>
              <w:rPr>
                <w:sz w:val="21"/>
                <w:szCs w:val="21"/>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(233.5)</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(175.7)</w:t>
            </w:r>
          </w:p>
        </w:tc>
      </w:tr>
      <w:tr>
        <w:trPr>
          <w:trHeight w:val="230"/>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Shares repurchased for employee tax withholdings</w:t>
            </w:r>
          </w:p>
        </w:tc>
        <w:tc>
          <w:tcPr>
            <w:tcW w:w="98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r>
      <w:tr>
        <w:trPr>
          <w:trHeight w:val="223"/>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(247.8)</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37"/>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Effect of exchange rates on cash</w:t>
            </w:r>
          </w:p>
        </w:tc>
        <w:tc>
          <w:tcPr>
            <w:tcW w:w="98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(decrease) increase in cash and cash equivalents</w:t>
            </w:r>
          </w:p>
        </w:tc>
        <w:tc>
          <w:tcPr>
            <w:tcW w:w="980" w:type="dxa"/>
            <w:vAlign w:val="bottom"/>
            <w:shd w:val="clear" w:color="auto" w:fill="CCEEFF"/>
          </w:tcPr>
          <w:p>
            <w:pPr>
              <w:spacing w:after="0"/>
              <w:rPr>
                <w:sz w:val="19"/>
                <w:szCs w:val="19"/>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(44.1)</w:t>
            </w:r>
          </w:p>
        </w:tc>
      </w:tr>
      <w:tr>
        <w:trPr>
          <w:trHeight w:val="162"/>
        </w:trPr>
        <w:tc>
          <w:tcPr>
            <w:tcW w:w="79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29"/>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including cash equivalents at beginning of period</w:t>
            </w:r>
          </w:p>
        </w:tc>
        <w:tc>
          <w:tcPr>
            <w:tcW w:w="980" w:type="dxa"/>
            <w:vAlign w:val="bottom"/>
            <w:tcBorders>
              <w:bottom w:val="single" w:sz="8" w:color="auto"/>
            </w:tcBorders>
            <w:shd w:val="clear" w:color="auto" w:fill="CCEEFF"/>
          </w:tcPr>
          <w:p>
            <w:pPr>
              <w:spacing w:after="0"/>
              <w:rPr>
                <w:sz w:val="19"/>
                <w:szCs w:val="19"/>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894.3</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762.6</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Cash, including cash equivalents at end of period</w:t>
            </w:r>
          </w:p>
        </w:tc>
        <w:tc>
          <w:tcPr>
            <w:tcW w:w="980" w:type="dxa"/>
            <w:vAlign w:val="bottom"/>
          </w:tcPr>
          <w:p>
            <w:pPr>
              <w:jc w:val="right"/>
              <w:ind w:right="790"/>
              <w:spacing w:after="0"/>
              <w:rPr>
                <w:sz w:val="20"/>
                <w:szCs w:val="20"/>
                <w:color w:val="auto"/>
              </w:rPr>
            </w:pPr>
            <w:r>
              <w:rPr>
                <w:rFonts w:ascii="Arial" w:cs="Arial" w:eastAsia="Arial" w:hAnsi="Arial"/>
                <w:sz w:val="18"/>
                <w:szCs w:val="18"/>
                <w:color w:val="auto"/>
                <w:w w:val="79"/>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796.3</w:t>
            </w:r>
          </w:p>
        </w:tc>
        <w:tc>
          <w:tcPr>
            <w:tcW w:w="4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718.5</w:t>
            </w:r>
          </w:p>
        </w:tc>
      </w:tr>
      <w:tr>
        <w:trPr>
          <w:trHeight w:val="20"/>
        </w:trPr>
        <w:tc>
          <w:tcPr>
            <w:tcW w:w="798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6" w:name="page7"/>
    <w:bookmarkEnd w:id="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NOTES TO CONDENSED CONSOLIDATED FINANCIAL STATEMENTS (UNAUDITED)</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Basis of Presentation and Summary of Significant Accounting Policies</w:t>
      </w:r>
    </w:p>
    <w:p>
      <w:pPr>
        <w:spacing w:after="0" w:line="252" w:lineRule="exact"/>
        <w:rPr>
          <w:sz w:val="20"/>
          <w:szCs w:val="20"/>
          <w:color w:val="auto"/>
        </w:rPr>
      </w:pPr>
    </w:p>
    <w:p>
      <w:pPr>
        <w:ind w:right="20"/>
        <w:spacing w:after="0" w:line="289" w:lineRule="auto"/>
        <w:rPr>
          <w:rFonts w:ascii="Arial" w:cs="Arial" w:eastAsia="Arial" w:hAnsi="Arial"/>
          <w:sz w:val="16"/>
          <w:szCs w:val="16"/>
          <w:color w:val="0000FF"/>
        </w:rPr>
      </w:pPr>
      <w:r>
        <w:rPr>
          <w:rFonts w:ascii="Arial" w:cs="Arial" w:eastAsia="Arial" w:hAnsi="Arial"/>
          <w:sz w:val="16"/>
          <w:szCs w:val="16"/>
          <w:b w:val="1"/>
          <w:bCs w:val="1"/>
          <w:color w:val="auto"/>
        </w:rPr>
        <w:t>Basis of Presentation</w:t>
      </w:r>
      <w:r>
        <w:rPr>
          <w:rFonts w:ascii="Arial" w:cs="Arial" w:eastAsia="Arial" w:hAnsi="Arial"/>
          <w:sz w:val="16"/>
          <w:szCs w:val="16"/>
          <w:color w:val="auto"/>
        </w:rPr>
        <w:t>: The condensed consolidated financial statements included in this report are unaudited and have been prepared in accordance with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United States (“U.S.”) generally accepted accounting principles (“U.S. GAAP”) for interim financial reporting and U.S. Securities and Exchange Commission (“SEC”) regulations. The year-end condensed consolidated balance sheet data was derived from audited financial statements, but does not include all disclosures required by U.S. GAAP. Certain information and footnote disclosures normally included in annual financial statements prepared in accordance with U.S. GAAP have been condensed or omitted. In the opinion of management, these financial statements include all adjustments, which are of a normal recurring nature, necessary for a fair statement of the financial position, results of operations, cash flows and the change in equity for the periods presented. The condensed consolidated financial statements for the three and six months ended June 30, 2023, should be read in conjunction with the consolidated financial statements and notes thereto of West Pharmaceutical Services, Inc. and its majority-owned subsidiaries (which may be referred to </w:t>
      </w:r>
      <w:hyperlink r:id="rId16">
        <w:r>
          <w:rPr>
            <w:rFonts w:ascii="Arial" w:cs="Arial" w:eastAsia="Arial" w:hAnsi="Arial"/>
            <w:sz w:val="16"/>
            <w:szCs w:val="16"/>
            <w:color w:val="auto"/>
          </w:rPr>
          <w:t>as “West”, the “Company”, “we”, “us” or “our”) appearing in our Annual Report on Form 10-K for the year ended December 31, 2022 (the “</w:t>
        </w:r>
        <w:r>
          <w:rPr>
            <w:rFonts w:ascii="Arial" w:cs="Arial" w:eastAsia="Arial" w:hAnsi="Arial"/>
            <w:sz w:val="16"/>
            <w:szCs w:val="16"/>
            <w:u w:val="single" w:color="auto"/>
            <w:color w:val="0000FF"/>
          </w:rPr>
          <w:t>2022 Annual</w:t>
        </w:r>
      </w:hyperlink>
      <w:r>
        <w:rPr>
          <w:rFonts w:ascii="Arial" w:cs="Arial" w:eastAsia="Arial" w:hAnsi="Arial"/>
          <w:sz w:val="16"/>
          <w:szCs w:val="16"/>
          <w:color w:val="auto"/>
        </w:rPr>
        <w:t xml:space="preserve"> </w:t>
      </w:r>
      <w:hyperlink r:id="rId16">
        <w:r>
          <w:rPr>
            <w:rFonts w:ascii="Arial" w:cs="Arial" w:eastAsia="Arial" w:hAnsi="Arial"/>
            <w:sz w:val="16"/>
            <w:szCs w:val="16"/>
            <w:u w:val="single" w:color="auto"/>
            <w:color w:val="0000FF"/>
          </w:rPr>
          <w:t>Report</w:t>
        </w:r>
        <w:r>
          <w:rPr>
            <w:rFonts w:ascii="Arial" w:cs="Arial" w:eastAsia="Arial" w:hAnsi="Arial"/>
            <w:sz w:val="16"/>
            <w:szCs w:val="16"/>
            <w:color w:val="000000"/>
          </w:rPr>
          <w:t>”). The results of operations for any interim period are not necessarily indicative of results for the full year.</w:t>
        </w:r>
      </w:hyperlink>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New Accounting Standards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Standards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September 2022, the Financial Accounting Standards Board ("FASB") issued guidance that seeks to enhance transparency around entities' use of supplier finance programs. The amendment requires the buyer in a supplier finance program to disclose information about the key terms of the program, outstanding confirmed amounts as of the end of the period, a rollforward of such amounts during each annual period, and a description of where in the financial statements outstanding amounts are presented. This guidance is effective for fiscal years beginning after December 15, 2022. We adopted this guidance as of January 1, 2023, on a prospective basis. The adoption did not have a material impact on our financial statements, as supplier finance programs are not material to the Company as of June 30, 2023.</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w:t>
      </w:r>
    </w:p>
    <w:p>
      <w:pPr>
        <w:spacing w:after="0" w:line="29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Our revenue results from the sale of goods or services and reflects the consideration to which we expect to be entitled in exchange for those goods or services. We record revenue based on a five-step model, in accordance with Accounting Standards Codification (“ASC”) 606. Following the identification of a contract with a customer, we identify the performance obligations (goods or services) in the contract, determine the transaction price, allocate the transaction price to the performance obligations in the contract, and recognize the revenue when (or as) we satisfy the performance obligations by transferring the promised goods or services to our customers. A good or service is transferred when (or as) the customer obtains control of that good or service.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spacing w:after="0"/>
              <w:rPr>
                <w:sz w:val="20"/>
                <w:szCs w:val="20"/>
                <w:color w:val="auto"/>
              </w:rPr>
            </w:pPr>
            <w:r>
              <w:rPr>
                <w:rFonts w:ascii="Arial" w:cs="Arial" w:eastAsia="Arial" w:hAnsi="Arial"/>
                <w:sz w:val="18"/>
                <w:szCs w:val="18"/>
                <w:color w:val="auto"/>
              </w:rPr>
              <w:t>The following table presents the approximate percentage of our net sales by market group:</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15"/>
        </w:trPr>
        <w:tc>
          <w:tcPr>
            <w:tcW w:w="4980" w:type="dxa"/>
            <w:vAlign w:val="bottom"/>
          </w:tcPr>
          <w:p>
            <w:pPr>
              <w:spacing w:after="0"/>
              <w:rPr>
                <w:sz w:val="18"/>
                <w:szCs w:val="18"/>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80" w:type="dxa"/>
            <w:vAlign w:val="bottom"/>
            <w:gridSpan w:val="4"/>
          </w:tcPr>
          <w:p>
            <w:pPr>
              <w:jc w:val="center"/>
              <w:spacing w:after="0"/>
              <w:rPr>
                <w:sz w:val="20"/>
                <w:szCs w:val="20"/>
                <w:color w:val="auto"/>
              </w:rPr>
            </w:pPr>
            <w:r>
              <w:rPr>
                <w:rFonts w:ascii="Arial" w:cs="Arial" w:eastAsia="Arial" w:hAnsi="Arial"/>
                <w:sz w:val="18"/>
                <w:szCs w:val="18"/>
                <w:color w:val="auto"/>
                <w:w w:val="91"/>
              </w:rPr>
              <w:t>Six Months Ended</w:t>
            </w:r>
          </w:p>
        </w:tc>
      </w:tr>
      <w:tr>
        <w:trPr>
          <w:trHeight w:val="230"/>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6"/>
              </w:rPr>
              <w:t>June 30,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color w:val="auto"/>
                <w:w w:val="86"/>
              </w:rPr>
              <w:t>June 30,</w:t>
            </w:r>
          </w:p>
        </w:tc>
        <w:tc>
          <w:tcPr>
            <w:tcW w:w="1000" w:type="dxa"/>
            <w:vAlign w:val="bottom"/>
            <w:tcBorders>
              <w:bottom w:val="single" w:sz="8" w:color="auto"/>
            </w:tcBorders>
          </w:tcPr>
          <w:p>
            <w:pPr>
              <w:spacing w:after="0"/>
              <w:rPr>
                <w:sz w:val="20"/>
                <w:szCs w:val="20"/>
                <w:color w:val="auto"/>
              </w:rPr>
            </w:pPr>
          </w:p>
        </w:tc>
      </w:tr>
      <w:tr>
        <w:trPr>
          <w:trHeight w:val="223"/>
        </w:trPr>
        <w:tc>
          <w:tcPr>
            <w:tcW w:w="4980" w:type="dxa"/>
            <w:vAlign w:val="bottom"/>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3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Biologics</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43 %</w:t>
            </w:r>
          </w:p>
        </w:tc>
      </w:tr>
      <w:tr>
        <w:trPr>
          <w:trHeight w:val="230"/>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Generics</w:t>
            </w:r>
          </w:p>
        </w:tc>
        <w:tc>
          <w:tcPr>
            <w:tcW w:w="540" w:type="dxa"/>
            <w:vAlign w:val="bottom"/>
          </w:tcPr>
          <w:p>
            <w:pPr>
              <w:jc w:val="right"/>
              <w:spacing w:after="0"/>
              <w:rPr>
                <w:sz w:val="20"/>
                <w:szCs w:val="20"/>
                <w:color w:val="auto"/>
              </w:rPr>
            </w:pPr>
            <w:r>
              <w:rPr>
                <w:rFonts w:ascii="Arial" w:cs="Arial" w:eastAsia="Arial" w:hAnsi="Arial"/>
                <w:sz w:val="18"/>
                <w:szCs w:val="18"/>
                <w:color w:val="auto"/>
              </w:rPr>
              <w:t>20 %</w:t>
            </w: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18 %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20 %</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17 %</w:t>
            </w:r>
          </w:p>
        </w:tc>
      </w:tr>
      <w:tr>
        <w:trPr>
          <w:trHeight w:val="230"/>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25 %</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26 %</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Contract-Manufactured Products</w:t>
            </w:r>
          </w:p>
        </w:tc>
        <w:tc>
          <w:tcPr>
            <w:tcW w:w="540" w:type="dxa"/>
            <w:vAlign w:val="bottom"/>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15 %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16 %</w:t>
            </w:r>
          </w:p>
        </w:tc>
      </w:tr>
      <w:tr>
        <w:trPr>
          <w:trHeight w:val="248"/>
        </w:trPr>
        <w:tc>
          <w:tcPr>
            <w:tcW w:w="4980" w:type="dxa"/>
            <w:vAlign w:val="bottom"/>
            <w:tcBorders>
              <w:top w:val="single" w:sz="8" w:color="CCEEFF"/>
              <w:bottom w:val="single" w:sz="8" w:color="CCEEFF"/>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spacing w:after="0"/>
              <w:rPr>
                <w:sz w:val="21"/>
                <w:szCs w:val="21"/>
                <w:color w:val="auto"/>
              </w:rPr>
            </w:pP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7" w:name="page8"/>
    <w:bookmarkEnd w:id="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spacing w:after="0"/>
              <w:rPr>
                <w:sz w:val="20"/>
                <w:szCs w:val="20"/>
                <w:color w:val="auto"/>
              </w:rPr>
            </w:pPr>
            <w:r>
              <w:rPr>
                <w:rFonts w:ascii="Arial" w:cs="Arial" w:eastAsia="Arial" w:hAnsi="Arial"/>
                <w:sz w:val="18"/>
                <w:szCs w:val="18"/>
                <w:color w:val="auto"/>
              </w:rPr>
              <w:t>The following table presents the approximate percentage of our net sales by product category:</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5000" w:type="dxa"/>
            <w:vAlign w:val="bottom"/>
          </w:tcPr>
          <w:p>
            <w:pPr>
              <w:spacing w:after="0"/>
              <w:rPr>
                <w:sz w:val="17"/>
                <w:szCs w:val="17"/>
                <w:color w:val="auto"/>
              </w:rPr>
            </w:pPr>
          </w:p>
        </w:tc>
        <w:tc>
          <w:tcPr>
            <w:tcW w:w="2700" w:type="dxa"/>
            <w:vAlign w:val="bottom"/>
            <w:gridSpan w:val="4"/>
          </w:tcPr>
          <w:p>
            <w:pPr>
              <w:jc w:val="center"/>
              <w:ind w:left="450"/>
              <w:spacing w:after="0" w:line="202" w:lineRule="exact"/>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1"/>
              </w:rPr>
              <w:t>Six Months Ended</w:t>
            </w:r>
          </w:p>
        </w:tc>
      </w:tr>
      <w:tr>
        <w:trPr>
          <w:trHeight w:val="237"/>
        </w:trPr>
        <w:tc>
          <w:tcPr>
            <w:tcW w:w="5000" w:type="dxa"/>
            <w:vAlign w:val="bottom"/>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480"/>
              <w:spacing w:after="0"/>
              <w:rPr>
                <w:sz w:val="20"/>
                <w:szCs w:val="20"/>
                <w:color w:val="auto"/>
              </w:rPr>
            </w:pPr>
            <w:r>
              <w:rPr>
                <w:rFonts w:ascii="Arial" w:cs="Arial" w:eastAsia="Arial" w:hAnsi="Arial"/>
                <w:sz w:val="18"/>
                <w:szCs w:val="18"/>
                <w:color w:val="auto"/>
                <w:w w:val="86"/>
              </w:rPr>
              <w:t>June 30,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1880" w:type="dxa"/>
            <w:vAlign w:val="bottom"/>
            <w:tcBorders>
              <w:bottom w:val="single" w:sz="8" w:color="auto"/>
            </w:tcBorders>
            <w:gridSpan w:val="3"/>
          </w:tcPr>
          <w:p>
            <w:pPr>
              <w:jc w:val="center"/>
              <w:ind w:left="910"/>
              <w:spacing w:after="0"/>
              <w:rPr>
                <w:sz w:val="20"/>
                <w:szCs w:val="20"/>
                <w:color w:val="auto"/>
              </w:rPr>
            </w:pPr>
            <w:r>
              <w:rPr>
                <w:rFonts w:ascii="Arial" w:cs="Arial" w:eastAsia="Arial" w:hAnsi="Arial"/>
                <w:sz w:val="18"/>
                <w:szCs w:val="18"/>
                <w:color w:val="auto"/>
                <w:w w:val="86"/>
              </w:rPr>
              <w:t>June 30,</w:t>
            </w:r>
          </w:p>
        </w:tc>
        <w:tc>
          <w:tcPr>
            <w:tcW w:w="1000" w:type="dxa"/>
            <w:vAlign w:val="bottom"/>
            <w:tcBorders>
              <w:bottom w:val="single" w:sz="8" w:color="auto"/>
            </w:tcBorders>
          </w:tcPr>
          <w:p>
            <w:pPr>
              <w:spacing w:after="0"/>
              <w:rPr>
                <w:sz w:val="20"/>
                <w:szCs w:val="20"/>
                <w:color w:val="auto"/>
              </w:rPr>
            </w:pPr>
          </w:p>
        </w:tc>
      </w:tr>
      <w:tr>
        <w:trPr>
          <w:trHeight w:val="229"/>
        </w:trPr>
        <w:tc>
          <w:tcPr>
            <w:tcW w:w="50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2023</w:t>
            </w:r>
          </w:p>
        </w:tc>
        <w:tc>
          <w:tcPr>
            <w:tcW w:w="1680" w:type="dxa"/>
            <w:vAlign w:val="bottom"/>
            <w:gridSpan w:val="3"/>
          </w:tcPr>
          <w:p>
            <w:pPr>
              <w:jc w:val="right"/>
              <w:ind w:right="6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High-Value Product Components</w:t>
            </w:r>
          </w:p>
        </w:tc>
        <w:tc>
          <w:tcPr>
            <w:tcW w:w="102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1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57 %</w:t>
            </w:r>
          </w:p>
        </w:tc>
        <w:tc>
          <w:tcPr>
            <w:tcW w:w="140" w:type="dxa"/>
            <w:vAlign w:val="bottom"/>
            <w:tcBorders>
              <w:top w:val="single" w:sz="8" w:color="CCEEFF"/>
            </w:tcBorders>
            <w:shd w:val="clear" w:color="auto" w:fill="CCEEFF"/>
          </w:tcPr>
          <w:p>
            <w:pPr>
              <w:spacing w:after="0"/>
              <w:rPr>
                <w:sz w:val="19"/>
                <w:szCs w:val="19"/>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56 %</w:t>
            </w:r>
          </w:p>
        </w:tc>
      </w:tr>
      <w:tr>
        <w:trPr>
          <w:trHeight w:val="237"/>
        </w:trPr>
        <w:tc>
          <w:tcPr>
            <w:tcW w:w="6020" w:type="dxa"/>
            <w:vAlign w:val="bottom"/>
            <w:gridSpan w:val="2"/>
          </w:tcPr>
          <w:p>
            <w:pPr>
              <w:ind w:left="20"/>
              <w:spacing w:after="0"/>
              <w:rPr>
                <w:sz w:val="20"/>
                <w:szCs w:val="20"/>
                <w:color w:val="auto"/>
              </w:rPr>
            </w:pPr>
            <w:r>
              <w:rPr>
                <w:rFonts w:ascii="Arial" w:cs="Arial" w:eastAsia="Arial" w:hAnsi="Arial"/>
                <w:sz w:val="18"/>
                <w:szCs w:val="18"/>
                <w:color w:val="auto"/>
              </w:rPr>
              <w:t>High-Value Product Delivery Devices</w:t>
            </w:r>
          </w:p>
        </w:tc>
        <w:tc>
          <w:tcPr>
            <w:tcW w:w="540" w:type="dxa"/>
            <w:vAlign w:val="bottom"/>
          </w:tcPr>
          <w:p>
            <w:pPr>
              <w:jc w:val="right"/>
              <w:spacing w:after="0"/>
              <w:rPr>
                <w:sz w:val="20"/>
                <w:szCs w:val="20"/>
                <w:color w:val="auto"/>
              </w:rPr>
            </w:pPr>
            <w:r>
              <w:rPr>
                <w:rFonts w:ascii="Arial" w:cs="Arial" w:eastAsia="Arial" w:hAnsi="Arial"/>
                <w:sz w:val="18"/>
                <w:szCs w:val="18"/>
                <w:color w:val="auto"/>
              </w:rPr>
              <w:t>12 %</w:t>
            </w:r>
          </w:p>
        </w:tc>
        <w:tc>
          <w:tcPr>
            <w:tcW w:w="1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5 %</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5 %</w:t>
            </w:r>
          </w:p>
        </w:tc>
      </w:tr>
      <w:tr>
        <w:trPr>
          <w:trHeight w:val="236"/>
        </w:trPr>
        <w:tc>
          <w:tcPr>
            <w:tcW w:w="6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Standard Packaging</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21 %</w:t>
            </w:r>
          </w:p>
        </w:tc>
        <w:tc>
          <w:tcPr>
            <w:tcW w:w="1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22 %</w:t>
            </w: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23 %</w:t>
            </w:r>
          </w:p>
        </w:tc>
      </w:tr>
      <w:tr>
        <w:trPr>
          <w:trHeight w:val="229"/>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2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15 %</w:t>
            </w:r>
          </w:p>
        </w:tc>
        <w:tc>
          <w:tcPr>
            <w:tcW w:w="140" w:type="dxa"/>
            <w:vAlign w:val="bottom"/>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18 %</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16 %</w:t>
            </w:r>
          </w:p>
        </w:tc>
      </w:tr>
      <w:tr>
        <w:trPr>
          <w:trHeight w:val="250"/>
        </w:trPr>
        <w:tc>
          <w:tcPr>
            <w:tcW w:w="500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2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100 %</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100 %</w:t>
            </w:r>
          </w:p>
        </w:tc>
        <w:tc>
          <w:tcPr>
            <w:tcW w:w="10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100 %</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Due to the Company's reassessment of product categories, beginning in the second quarter of 2023 certain product types have been moved from High-Value Product Components to High-Value Product Delivery Devices. No adjustments were made to the product categorization prior to the second quarter of 2023.</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20" w:type="dxa"/>
            <w:vAlign w:val="bottom"/>
            <w:gridSpan w:val="4"/>
          </w:tcPr>
          <w:p>
            <w:pPr>
              <w:spacing w:after="0"/>
              <w:rPr>
                <w:sz w:val="20"/>
                <w:szCs w:val="20"/>
                <w:color w:val="auto"/>
              </w:rPr>
            </w:pPr>
            <w:r>
              <w:rPr>
                <w:rFonts w:ascii="Arial" w:cs="Arial" w:eastAsia="Arial" w:hAnsi="Arial"/>
                <w:sz w:val="18"/>
                <w:szCs w:val="18"/>
                <w:color w:val="auto"/>
                <w:w w:val="92"/>
              </w:rPr>
              <w:t>The following table presents the approximate percentage of our net sales by geographic location:</w:t>
            </w:r>
          </w:p>
        </w:tc>
        <w:tc>
          <w:tcPr>
            <w:tcW w:w="1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3"/>
        </w:trPr>
        <w:tc>
          <w:tcPr>
            <w:tcW w:w="4980" w:type="dxa"/>
            <w:vAlign w:val="bottom"/>
          </w:tcPr>
          <w:p>
            <w:pPr>
              <w:spacing w:after="0"/>
              <w:rPr>
                <w:sz w:val="17"/>
                <w:szCs w:val="17"/>
                <w:color w:val="auto"/>
              </w:rPr>
            </w:pPr>
          </w:p>
        </w:tc>
        <w:tc>
          <w:tcPr>
            <w:tcW w:w="3240" w:type="dxa"/>
            <w:vAlign w:val="bottom"/>
            <w:gridSpan w:val="4"/>
          </w:tcPr>
          <w:p>
            <w:pPr>
              <w:jc w:val="center"/>
              <w:spacing w:after="0" w:line="202" w:lineRule="exact"/>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7"/>
                <w:szCs w:val="17"/>
                <w:color w:val="auto"/>
              </w:rPr>
            </w:pPr>
          </w:p>
        </w:tc>
        <w:tc>
          <w:tcPr>
            <w:tcW w:w="2880" w:type="dxa"/>
            <w:vAlign w:val="bottom"/>
            <w:gridSpan w:val="5"/>
          </w:tcPr>
          <w:p>
            <w:pPr>
              <w:jc w:val="center"/>
              <w:spacing w:after="0" w:line="202" w:lineRule="exact"/>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29"/>
        </w:trPr>
        <w:tc>
          <w:tcPr>
            <w:tcW w:w="4980" w:type="dxa"/>
            <w:vAlign w:val="bottom"/>
          </w:tcPr>
          <w:p>
            <w:pPr>
              <w:spacing w:after="0"/>
              <w:rPr>
                <w:sz w:val="19"/>
                <w:szCs w:val="19"/>
                <w:color w:val="auto"/>
              </w:rPr>
            </w:pPr>
          </w:p>
        </w:tc>
        <w:tc>
          <w:tcPr>
            <w:tcW w:w="2140" w:type="dxa"/>
            <w:vAlign w:val="bottom"/>
            <w:tcBorders>
              <w:bottom w:val="single" w:sz="8" w:color="auto"/>
            </w:tcBorders>
            <w:gridSpan w:val="3"/>
          </w:tcPr>
          <w:p>
            <w:pPr>
              <w:jc w:val="center"/>
              <w:ind w:left="1050"/>
              <w:spacing w:after="0"/>
              <w:rPr>
                <w:sz w:val="20"/>
                <w:szCs w:val="20"/>
                <w:color w:val="auto"/>
              </w:rPr>
            </w:pPr>
            <w:r>
              <w:rPr>
                <w:rFonts w:ascii="Arial" w:cs="Arial" w:eastAsia="Arial" w:hAnsi="Arial"/>
                <w:sz w:val="18"/>
                <w:szCs w:val="18"/>
                <w:color w:val="auto"/>
                <w:w w:val="86"/>
              </w:rPr>
              <w:t>June 30,</w:t>
            </w:r>
          </w:p>
        </w:tc>
        <w:tc>
          <w:tcPr>
            <w:tcW w:w="110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1760" w:type="dxa"/>
            <w:vAlign w:val="bottom"/>
            <w:tcBorders>
              <w:bottom w:val="single" w:sz="8" w:color="auto"/>
            </w:tcBorders>
            <w:gridSpan w:val="4"/>
          </w:tcPr>
          <w:p>
            <w:pPr>
              <w:jc w:val="center"/>
              <w:ind w:left="1030"/>
              <w:spacing w:after="0"/>
              <w:rPr>
                <w:sz w:val="20"/>
                <w:szCs w:val="20"/>
                <w:color w:val="auto"/>
              </w:rPr>
            </w:pPr>
            <w:r>
              <w:rPr>
                <w:rFonts w:ascii="Arial" w:cs="Arial" w:eastAsia="Arial" w:hAnsi="Arial"/>
                <w:sz w:val="18"/>
                <w:szCs w:val="18"/>
                <w:color w:val="auto"/>
                <w:w w:val="86"/>
              </w:rPr>
              <w:t>June 30,</w:t>
            </w:r>
          </w:p>
        </w:tc>
        <w:tc>
          <w:tcPr>
            <w:tcW w:w="11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ind w:left="24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Americas</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14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shd w:val="clear" w:color="auto" w:fill="CCEEFF"/>
          </w:tcPr>
          <w:p>
            <w:pPr>
              <w:ind w:left="720"/>
              <w:spacing w:after="0"/>
              <w:rPr>
                <w:sz w:val="20"/>
                <w:szCs w:val="20"/>
                <w:color w:val="auto"/>
              </w:rPr>
            </w:pPr>
            <w:r>
              <w:rPr>
                <w:rFonts w:ascii="Arial" w:cs="Arial" w:eastAsia="Arial" w:hAnsi="Arial"/>
                <w:sz w:val="18"/>
                <w:szCs w:val="18"/>
                <w:color w:val="auto"/>
                <w:w w:val="92"/>
              </w:rPr>
              <w:t>46 %</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Europe, Middle East, Africa</w:t>
            </w:r>
          </w:p>
        </w:tc>
        <w:tc>
          <w:tcPr>
            <w:tcW w:w="1580" w:type="dxa"/>
            <w:vAlign w:val="bottom"/>
          </w:tcPr>
          <w:p>
            <w:pPr>
              <w:jc w:val="right"/>
              <w:spacing w:after="0"/>
              <w:rPr>
                <w:sz w:val="20"/>
                <w:szCs w:val="20"/>
                <w:color w:val="auto"/>
              </w:rPr>
            </w:pPr>
            <w:r>
              <w:rPr>
                <w:rFonts w:ascii="Arial" w:cs="Arial" w:eastAsia="Arial" w:hAnsi="Arial"/>
                <w:sz w:val="18"/>
                <w:szCs w:val="18"/>
                <w:color w:val="auto"/>
              </w:rPr>
              <w:t>46 %</w:t>
            </w: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45 %</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47 %</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tcPr>
          <w:p>
            <w:pPr>
              <w:ind w:left="720"/>
              <w:spacing w:after="0"/>
              <w:rPr>
                <w:sz w:val="20"/>
                <w:szCs w:val="20"/>
                <w:color w:val="auto"/>
              </w:rPr>
            </w:pPr>
            <w:r>
              <w:rPr>
                <w:rFonts w:ascii="Arial" w:cs="Arial" w:eastAsia="Arial" w:hAnsi="Arial"/>
                <w:sz w:val="18"/>
                <w:szCs w:val="18"/>
                <w:color w:val="auto"/>
                <w:w w:val="92"/>
              </w:rPr>
              <w:t>45 %</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8 %</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9 %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ind w:left="820"/>
              <w:spacing w:after="0"/>
              <w:rPr>
                <w:sz w:val="20"/>
                <w:szCs w:val="20"/>
                <w:color w:val="auto"/>
              </w:rPr>
            </w:pPr>
            <w:r>
              <w:rPr>
                <w:rFonts w:ascii="Arial" w:cs="Arial" w:eastAsia="Arial" w:hAnsi="Arial"/>
                <w:sz w:val="18"/>
                <w:szCs w:val="18"/>
                <w:color w:val="auto"/>
                <w:w w:val="90"/>
              </w:rPr>
              <w:t>9 %</w:t>
            </w:r>
          </w:p>
        </w:tc>
        <w:tc>
          <w:tcPr>
            <w:tcW w:w="0" w:type="dxa"/>
            <w:vAlign w:val="bottom"/>
          </w:tcPr>
          <w:p>
            <w:pPr>
              <w:spacing w:after="0"/>
              <w:rPr>
                <w:sz w:val="1"/>
                <w:szCs w:val="1"/>
                <w:color w:val="auto"/>
              </w:rPr>
            </w:pPr>
          </w:p>
        </w:tc>
      </w:tr>
      <w:tr>
        <w:trPr>
          <w:trHeight w:val="223"/>
        </w:trPr>
        <w:tc>
          <w:tcPr>
            <w:tcW w:w="4980" w:type="dxa"/>
            <w:vAlign w:val="bottom"/>
          </w:tcPr>
          <w:p>
            <w:pPr>
              <w:spacing w:after="0"/>
              <w:rPr>
                <w:sz w:val="19"/>
                <w:szCs w:val="19"/>
                <w:color w:val="auto"/>
              </w:rPr>
            </w:pPr>
          </w:p>
        </w:tc>
        <w:tc>
          <w:tcPr>
            <w:tcW w:w="1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20" w:type="dxa"/>
            <w:vAlign w:val="bottom"/>
          </w:tcPr>
          <w:p>
            <w:pPr>
              <w:spacing w:after="0"/>
              <w:rPr>
                <w:sz w:val="19"/>
                <w:szCs w:val="19"/>
                <w:color w:val="auto"/>
              </w:rPr>
            </w:pPr>
          </w:p>
        </w:tc>
        <w:tc>
          <w:tcPr>
            <w:tcW w:w="4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40" w:type="dxa"/>
            <w:vAlign w:val="bottom"/>
          </w:tcPr>
          <w:p>
            <w:pPr>
              <w:spacing w:after="0"/>
              <w:rPr>
                <w:sz w:val="19"/>
                <w:szCs w:val="19"/>
                <w:color w:val="auto"/>
              </w:rPr>
            </w:pPr>
          </w:p>
        </w:tc>
        <w:tc>
          <w:tcPr>
            <w:tcW w:w="13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640"/>
              <w:spacing w:after="0"/>
              <w:rPr>
                <w:sz w:val="20"/>
                <w:szCs w:val="20"/>
                <w:color w:val="auto"/>
              </w:rPr>
            </w:pPr>
            <w:r>
              <w:rPr>
                <w:rFonts w:ascii="Arial" w:cs="Arial" w:eastAsia="Arial" w:hAnsi="Arial"/>
                <w:sz w:val="18"/>
                <w:szCs w:val="18"/>
                <w:color w:val="auto"/>
                <w:w w:val="90"/>
              </w:rPr>
              <w:t>100 %</w:t>
            </w:r>
          </w:p>
        </w:tc>
        <w:tc>
          <w:tcPr>
            <w:tcW w:w="0" w:type="dxa"/>
            <w:vAlign w:val="bottom"/>
          </w:tcPr>
          <w:p>
            <w:pPr>
              <w:spacing w:after="0"/>
              <w:rPr>
                <w:sz w:val="1"/>
                <w:szCs w:val="1"/>
                <w:color w:val="auto"/>
              </w:rPr>
            </w:pPr>
          </w:p>
        </w:tc>
      </w:tr>
      <w:tr>
        <w:trPr>
          <w:trHeight w:val="21"/>
        </w:trPr>
        <w:tc>
          <w:tcPr>
            <w:tcW w:w="4980" w:type="dxa"/>
            <w:vAlign w:val="bottom"/>
            <w:vMerge w:val="restart"/>
          </w:tcPr>
          <w:p>
            <w:pPr>
              <w:spacing w:after="0"/>
              <w:rPr>
                <w:sz w:val="20"/>
                <w:szCs w:val="20"/>
                <w:color w:val="auto"/>
              </w:rPr>
            </w:pPr>
            <w:r>
              <w:rPr>
                <w:rFonts w:ascii="Arial" w:cs="Arial" w:eastAsia="Arial" w:hAnsi="Arial"/>
                <w:sz w:val="18"/>
                <w:szCs w:val="18"/>
                <w:b w:val="1"/>
                <w:bCs w:val="1"/>
                <w:color w:val="auto"/>
              </w:rPr>
              <w:t>Contract Assets and Liabilities</w:t>
            </w: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74"/>
        </w:trPr>
        <w:tc>
          <w:tcPr>
            <w:tcW w:w="4980" w:type="dxa"/>
            <w:vAlign w:val="bottom"/>
            <w:vMerge w:val="continue"/>
          </w:tcPr>
          <w:p>
            <w:pPr>
              <w:spacing w:after="0"/>
              <w:rPr>
                <w:sz w:val="24"/>
                <w:szCs w:val="24"/>
                <w:color w:val="auto"/>
              </w:rPr>
            </w:pP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0"/>
        </w:trPr>
        <w:tc>
          <w:tcPr>
            <w:tcW w:w="4980" w:type="dxa"/>
            <w:vAlign w:val="bottom"/>
          </w:tcPr>
          <w:p>
            <w:pPr>
              <w:spacing w:after="0"/>
              <w:rPr>
                <w:sz w:val="20"/>
                <w:szCs w:val="20"/>
                <w:color w:val="auto"/>
              </w:rPr>
            </w:pPr>
            <w:r>
              <w:rPr>
                <w:rFonts w:ascii="Arial" w:cs="Arial" w:eastAsia="Arial" w:hAnsi="Arial"/>
                <w:sz w:val="18"/>
                <w:szCs w:val="18"/>
                <w:color w:val="auto"/>
                <w:w w:val="94"/>
              </w:rPr>
              <w:t>The following table summarizes our contract assets and liabilities:</w:t>
            </w:r>
          </w:p>
        </w:tc>
        <w:tc>
          <w:tcPr>
            <w:tcW w:w="15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9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440" w:type="dxa"/>
            <w:vAlign w:val="bottom"/>
            <w:gridSpan w:val="2"/>
          </w:tcPr>
          <w:p>
            <w:pPr>
              <w:spacing w:after="0"/>
              <w:rPr>
                <w:sz w:val="22"/>
                <w:szCs w:val="22"/>
                <w:color w:val="auto"/>
              </w:rPr>
            </w:pPr>
          </w:p>
        </w:tc>
        <w:tc>
          <w:tcPr>
            <w:tcW w:w="4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in millions)</w:t>
            </w:r>
          </w:p>
        </w:tc>
        <w:tc>
          <w:tcPr>
            <w:tcW w:w="0" w:type="dxa"/>
            <w:vAlign w:val="bottom"/>
          </w:tcPr>
          <w:p>
            <w:pPr>
              <w:spacing w:after="0"/>
              <w:rPr>
                <w:sz w:val="1"/>
                <w:szCs w:val="1"/>
                <w:color w:val="auto"/>
              </w:rPr>
            </w:pPr>
          </w:p>
        </w:tc>
      </w:tr>
      <w:tr>
        <w:trPr>
          <w:trHeight w:val="23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Contract assets, December 31, 2022</w:t>
            </w:r>
          </w:p>
        </w:tc>
        <w:tc>
          <w:tcPr>
            <w:tcW w:w="15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0"/>
                <w:szCs w:val="20"/>
                <w:color w:val="auto"/>
              </w:rPr>
            </w:pPr>
          </w:p>
        </w:tc>
        <w:tc>
          <w:tcPr>
            <w:tcW w:w="1120" w:type="dxa"/>
            <w:vAlign w:val="bottom"/>
            <w:shd w:val="clear" w:color="auto" w:fill="CCEEFF"/>
          </w:tcPr>
          <w:p>
            <w:pPr>
              <w:ind w:left="740"/>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Contract assets, June 30, 2023</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contract assets - increase (decrease)</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bottom w:val="single" w:sz="8" w:color="auto"/>
            </w:tcBorders>
            <w:gridSpan w:val="2"/>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9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December 31, 2022</w:t>
            </w:r>
          </w:p>
        </w:tc>
        <w:tc>
          <w:tcPr>
            <w:tcW w:w="15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620" w:type="dxa"/>
            <w:vAlign w:val="bottom"/>
            <w:gridSpan w:val="4"/>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21"/>
                <w:szCs w:val="21"/>
                <w:color w:val="auto"/>
              </w:rPr>
            </w:pPr>
          </w:p>
        </w:tc>
        <w:tc>
          <w:tcPr>
            <w:tcW w:w="1120" w:type="dxa"/>
            <w:vAlign w:val="bottom"/>
            <w:shd w:val="clear" w:color="auto" w:fill="CCEEFF"/>
          </w:tcPr>
          <w:p>
            <w:pPr>
              <w:ind w:left="660"/>
              <w:spacing w:after="0"/>
              <w:rPr>
                <w:sz w:val="20"/>
                <w:szCs w:val="20"/>
                <w:color w:val="auto"/>
              </w:rPr>
            </w:pPr>
            <w:r>
              <w:rPr>
                <w:rFonts w:ascii="Arial" w:cs="Arial" w:eastAsia="Arial" w:hAnsi="Arial"/>
                <w:sz w:val="18"/>
                <w:szCs w:val="18"/>
                <w:color w:val="auto"/>
                <w:w w:val="93"/>
              </w:rPr>
              <w:t>(68.2)</w:t>
            </w:r>
          </w:p>
        </w:tc>
        <w:tc>
          <w:tcPr>
            <w:tcW w:w="0" w:type="dxa"/>
            <w:vAlign w:val="bottom"/>
          </w:tcPr>
          <w:p>
            <w:pPr>
              <w:spacing w:after="0"/>
              <w:rPr>
                <w:sz w:val="1"/>
                <w:szCs w:val="1"/>
                <w:color w:val="auto"/>
              </w:rPr>
            </w:pPr>
          </w:p>
        </w:tc>
      </w:tr>
      <w:tr>
        <w:trPr>
          <w:trHeight w:val="229"/>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Deferred income, June 30, 2023</w:t>
            </w:r>
          </w:p>
        </w:tc>
        <w:tc>
          <w:tcPr>
            <w:tcW w:w="15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4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300" w:type="dxa"/>
            <w:vAlign w:val="bottom"/>
            <w:tcBorders>
              <w:bottom w:val="single" w:sz="8" w:color="CCEEFF"/>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w w:val="93"/>
              </w:rPr>
              <w:t>(56.7)</w:t>
            </w:r>
          </w:p>
        </w:tc>
        <w:tc>
          <w:tcPr>
            <w:tcW w:w="0" w:type="dxa"/>
            <w:vAlign w:val="bottom"/>
          </w:tcPr>
          <w:p>
            <w:pPr>
              <w:spacing w:after="0"/>
              <w:rPr>
                <w:sz w:val="1"/>
                <w:szCs w:val="1"/>
                <w:color w:val="auto"/>
              </w:rPr>
            </w:pP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Change in deferred income - decrease (increase)</w:t>
            </w:r>
          </w:p>
        </w:tc>
        <w:tc>
          <w:tcPr>
            <w:tcW w:w="1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gridSpan w:val="2"/>
            <w:shd w:val="clear" w:color="auto" w:fill="CCEEFF"/>
          </w:tcPr>
          <w:p>
            <w:pPr>
              <w:spacing w:after="0"/>
              <w:rPr>
                <w:sz w:val="21"/>
                <w:szCs w:val="21"/>
                <w:color w:val="auto"/>
              </w:rPr>
            </w:pPr>
          </w:p>
        </w:tc>
        <w:tc>
          <w:tcPr>
            <w:tcW w:w="18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8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7"/>
          <w:szCs w:val="17"/>
          <w:color w:val="auto"/>
        </w:rPr>
        <w:t>Contract assets are included within other current assets and deferred income is included within other current liabilities and other long-term liabilities.</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During the six months ended June 30, 2023, $27.4 million of revenue was recognized that was included in deferred income at the beginning of the year.</w:t>
      </w:r>
    </w:p>
    <w:p>
      <w:pPr>
        <w:spacing w:after="0" w:line="288" w:lineRule="exact"/>
        <w:rPr>
          <w:sz w:val="20"/>
          <w:szCs w:val="20"/>
          <w:color w:val="auto"/>
        </w:rPr>
      </w:pPr>
    </w:p>
    <w:p>
      <w:pPr>
        <w:ind w:right="40"/>
        <w:spacing w:after="0" w:line="242" w:lineRule="auto"/>
        <w:rPr>
          <w:sz w:val="20"/>
          <w:szCs w:val="20"/>
          <w:color w:val="auto"/>
        </w:rPr>
      </w:pPr>
      <w:r>
        <w:rPr>
          <w:rFonts w:ascii="Arial" w:cs="Arial" w:eastAsia="Arial" w:hAnsi="Arial"/>
          <w:sz w:val="18"/>
          <w:szCs w:val="18"/>
          <w:color w:val="auto"/>
        </w:rPr>
        <w:t>The majority of the performance obligations within our contracts are satisfied within one year or less. Performance obligations satisfied beyond one year include those relating to a nonrefundable customer payment of $20.0 million received in June 2013 in return for the exclusive use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technology platform within a specific therapeutic area. As of June 30, 2023, there was $2.6 million of deferred income related to this payment, of which $0.9 million was included in other current liabilities and $1.7 million was included in other long-term liabilities. The deferred income is being recognized as income on a straight-line basis over the remaining term of the agreement. The agreement does not include a future minimum purchase commitment from the customer.</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107315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8" w:name="page9"/>
    <w:bookmarkEnd w:id="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Net Income Per Share</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reconciles the shares used in the calculation of basic net income per share to those used for diluted net income per share:</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7"/>
                <w:szCs w:val="17"/>
                <w:color w:val="auto"/>
              </w:rPr>
            </w:pPr>
          </w:p>
        </w:tc>
        <w:tc>
          <w:tcPr>
            <w:tcW w:w="2720" w:type="dxa"/>
            <w:vAlign w:val="bottom"/>
            <w:gridSpan w:val="4"/>
          </w:tcPr>
          <w:p>
            <w:pPr>
              <w:jc w:val="center"/>
              <w:ind w:left="470"/>
              <w:spacing w:after="0"/>
              <w:rPr>
                <w:sz w:val="20"/>
                <w:szCs w:val="20"/>
                <w:color w:val="auto"/>
              </w:rPr>
            </w:pPr>
            <w:r>
              <w:rPr>
                <w:rFonts w:ascii="Arial" w:cs="Arial" w:eastAsia="Arial" w:hAnsi="Arial"/>
                <w:sz w:val="18"/>
                <w:szCs w:val="18"/>
                <w:color w:val="auto"/>
                <w:w w:val="90"/>
              </w:rPr>
              <w:t>Three Months Ended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center"/>
              <w:ind w:right="230"/>
              <w:spacing w:after="0"/>
              <w:rPr>
                <w:sz w:val="20"/>
                <w:szCs w:val="20"/>
                <w:color w:val="auto"/>
              </w:rPr>
            </w:pPr>
            <w:r>
              <w:rPr>
                <w:rFonts w:ascii="Arial" w:cs="Arial" w:eastAsia="Arial" w:hAnsi="Arial"/>
                <w:sz w:val="18"/>
                <w:szCs w:val="18"/>
                <w:color w:val="auto"/>
                <w:w w:val="91"/>
              </w:rPr>
              <w:t>Six Months Ended</w:t>
            </w:r>
          </w:p>
        </w:tc>
        <w:tc>
          <w:tcPr>
            <w:tcW w:w="0" w:type="dxa"/>
            <w:vAlign w:val="bottom"/>
          </w:tcPr>
          <w:p>
            <w:pPr>
              <w:spacing w:after="0"/>
              <w:rPr>
                <w:sz w:val="1"/>
                <w:szCs w:val="1"/>
                <w:color w:val="auto"/>
              </w:rPr>
            </w:pPr>
          </w:p>
        </w:tc>
      </w:tr>
      <w:tr>
        <w:trPr>
          <w:trHeight w:val="236"/>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color w:val="auto"/>
                <w:w w:val="86"/>
              </w:rPr>
              <w:t>June 30,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10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48"/>
        </w:trPr>
        <w:tc>
          <w:tcPr>
            <w:tcW w:w="49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104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155.1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188.5</w:t>
            </w:r>
          </w:p>
        </w:tc>
        <w:tc>
          <w:tcPr>
            <w:tcW w:w="140" w:type="dxa"/>
            <w:vAlign w:val="bottom"/>
            <w:tcBorders>
              <w:top w:val="single" w:sz="8" w:color="CCEEFF"/>
              <w:bottom w:val="single" w:sz="8" w:color="CCEEFF"/>
            </w:tcBorders>
            <w:shd w:val="clear" w:color="auto" w:fill="CCEEFF"/>
          </w:tcPr>
          <w:p>
            <w:pPr>
              <w:spacing w:after="0"/>
              <w:rPr>
                <w:sz w:val="21"/>
                <w:szCs w:val="21"/>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Weighted average common shares outstanding</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4980" w:type="dxa"/>
            <w:vAlign w:val="bottom"/>
            <w:vMerge w:val="continue"/>
          </w:tcPr>
          <w:p>
            <w:pPr>
              <w:spacing w:after="0"/>
              <w:rPr>
                <w:sz w:val="18"/>
                <w:szCs w:val="18"/>
                <w:color w:val="auto"/>
              </w:rPr>
            </w:pPr>
          </w:p>
        </w:tc>
        <w:tc>
          <w:tcPr>
            <w:tcW w:w="10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74.3</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74.4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74.4</w:t>
            </w: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74.4</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Dilutive effect of equity awards, based on the treasury stock method</w:t>
            </w:r>
          </w:p>
        </w:tc>
        <w:tc>
          <w:tcPr>
            <w:tcW w:w="1040" w:type="dxa"/>
            <w:vAlign w:val="bottom"/>
            <w:tcBorders>
              <w:bottom w:val="single" w:sz="8" w:color="auto"/>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Weighted average shares assuming dilution</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75.4</w:t>
            </w:r>
          </w:p>
        </w:tc>
        <w:tc>
          <w:tcPr>
            <w:tcW w:w="120" w:type="dxa"/>
            <w:vAlign w:val="bottom"/>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75.5</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75.9</w:t>
            </w:r>
          </w:p>
        </w:tc>
        <w:tc>
          <w:tcPr>
            <w:tcW w:w="0" w:type="dxa"/>
            <w:vAlign w:val="bottom"/>
          </w:tcPr>
          <w:p>
            <w:pPr>
              <w:spacing w:after="0"/>
              <w:rPr>
                <w:sz w:val="1"/>
                <w:szCs w:val="1"/>
                <w:color w:val="auto"/>
              </w:rPr>
            </w:pPr>
          </w:p>
        </w:tc>
      </w:tr>
      <w:tr>
        <w:trPr>
          <w:trHeight w:val="20"/>
        </w:trPr>
        <w:tc>
          <w:tcPr>
            <w:tcW w:w="4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right="180"/>
        <w:spacing w:after="0" w:line="263" w:lineRule="auto"/>
        <w:rPr>
          <w:sz w:val="20"/>
          <w:szCs w:val="20"/>
          <w:color w:val="auto"/>
        </w:rPr>
      </w:pPr>
      <w:r>
        <w:rPr>
          <w:rFonts w:ascii="Arial" w:cs="Arial" w:eastAsia="Arial" w:hAnsi="Arial"/>
          <w:sz w:val="18"/>
          <w:szCs w:val="18"/>
          <w:color w:val="auto"/>
        </w:rPr>
        <w:t>During the three months ended June 30, 2023 and 2022, there were 0.1 million and 0.1 million shares, respectively, from stock-based compensation plans not included in the computation of diluted net income per share because their impact was antidilutive. There were 0.1 million and 0.1 million antidilutive shares outstanding during the six months ended June 30, 2023 and 2022, respectively.</w:t>
      </w:r>
    </w:p>
    <w:p>
      <w:pPr>
        <w:spacing w:after="0" w:line="211" w:lineRule="exact"/>
        <w:rPr>
          <w:sz w:val="20"/>
          <w:szCs w:val="20"/>
          <w:color w:val="auto"/>
        </w:rPr>
      </w:pPr>
    </w:p>
    <w:p>
      <w:pPr>
        <w:spacing w:after="0" w:line="273" w:lineRule="auto"/>
        <w:rPr>
          <w:sz w:val="20"/>
          <w:szCs w:val="20"/>
          <w:color w:val="auto"/>
        </w:rPr>
      </w:pPr>
      <w:r>
        <w:rPr>
          <w:rFonts w:ascii="Arial" w:cs="Arial" w:eastAsia="Arial" w:hAnsi="Arial"/>
          <w:sz w:val="17"/>
          <w:szCs w:val="17"/>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 During the three months ended June 30, 2023, we purchased 492,710 shares of our common stock under the program at a cost of $173.4 million, or an average price of $351.82 per share. During the six months ended June 30, 2023, we purchased 676,070 shares of our common stock under the program at a cost of $233.5 million, or an average price of $345.33 per share.</w:t>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In December 2021, our Board of Directors approved a share repurchase program for calendar-year 2022 authorizing the repurchase of up to 650,000 shares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of our common stock from time to time on the open market or in privately-negotiated transactions. The number of shares to be repurchased and the timing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such transactions was dependent on a variety of factors, including market conditions. This share repurchase program was completed by December 2022.</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During the three months ended June 30, 2022, we purchased 86,667 shares of our common stock under the calendar-year 2022 program at a cost of</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$28.6 million, or an average price of $329.40 per share. During the six months ended June 30, 2022, we purchased 476,667 shares of our common stock</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under the calendar-year 2022 program at a cost of $175.7 million, or an average price of $368.54 per share.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660" w:type="dxa"/>
            <w:vAlign w:val="bottom"/>
          </w:tcPr>
          <w:p>
            <w:pPr>
              <w:spacing w:after="0"/>
              <w:rPr>
                <w:sz w:val="20"/>
                <w:szCs w:val="20"/>
                <w:color w:val="auto"/>
              </w:rPr>
            </w:pPr>
            <w:r>
              <w:rPr>
                <w:rFonts w:ascii="Arial" w:cs="Arial" w:eastAsia="Arial" w:hAnsi="Arial"/>
                <w:sz w:val="18"/>
                <w:szCs w:val="18"/>
                <w:b w:val="1"/>
                <w:bCs w:val="1"/>
                <w:color w:val="auto"/>
              </w:rPr>
              <w:t>Note 5: Inventories</w:t>
            </w:r>
          </w:p>
        </w:tc>
        <w:tc>
          <w:tcPr>
            <w:tcW w:w="440" w:type="dxa"/>
            <w:vAlign w:val="bottom"/>
          </w:tcPr>
          <w:p>
            <w:pPr>
              <w:spacing w:after="0"/>
              <w:rPr>
                <w:sz w:val="20"/>
                <w:szCs w:val="20"/>
                <w:color w:val="auto"/>
              </w:rPr>
            </w:pPr>
          </w:p>
        </w:tc>
        <w:tc>
          <w:tcPr>
            <w:tcW w:w="1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720" w:type="dxa"/>
            <w:vAlign w:val="bottom"/>
          </w:tcPr>
          <w:p>
            <w:pPr>
              <w:spacing w:after="0"/>
              <w:rPr>
                <w:sz w:val="20"/>
                <w:szCs w:val="20"/>
                <w:color w:val="auto"/>
              </w:rPr>
            </w:pPr>
          </w:p>
        </w:tc>
      </w:tr>
      <w:tr>
        <w:trPr>
          <w:trHeight w:val="459"/>
        </w:trPr>
        <w:tc>
          <w:tcPr>
            <w:tcW w:w="9520" w:type="dxa"/>
            <w:vAlign w:val="bottom"/>
            <w:gridSpan w:val="5"/>
          </w:tcPr>
          <w:p>
            <w:pPr>
              <w:spacing w:after="0"/>
              <w:rPr>
                <w:sz w:val="20"/>
                <w:szCs w:val="20"/>
                <w:color w:val="auto"/>
              </w:rPr>
            </w:pPr>
            <w:r>
              <w:rPr>
                <w:rFonts w:ascii="Arial" w:cs="Arial" w:eastAsia="Arial" w:hAnsi="Arial"/>
                <w:sz w:val="18"/>
                <w:szCs w:val="18"/>
                <w:color w:val="auto"/>
                <w:w w:val="92"/>
              </w:rPr>
              <w:t>Inventories are valued at the lower of cost (on a first-in, first-out basis) or net realizable value. Inventory balances were as follows:</w:t>
            </w:r>
          </w:p>
        </w:tc>
        <w:tc>
          <w:tcPr>
            <w:tcW w:w="1720" w:type="dxa"/>
            <w:vAlign w:val="bottom"/>
          </w:tcPr>
          <w:p>
            <w:pPr>
              <w:spacing w:after="0"/>
              <w:rPr>
                <w:sz w:val="24"/>
                <w:szCs w:val="24"/>
                <w:color w:val="auto"/>
              </w:rPr>
            </w:pPr>
          </w:p>
        </w:tc>
      </w:tr>
      <w:tr>
        <w:trPr>
          <w:trHeight w:val="202"/>
        </w:trPr>
        <w:tc>
          <w:tcPr>
            <w:tcW w:w="66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760" w:type="dxa"/>
            <w:vAlign w:val="bottom"/>
          </w:tcPr>
          <w:p>
            <w:pPr>
              <w:jc w:val="right"/>
              <w:ind w:right="710"/>
              <w:spacing w:after="0" w:line="202" w:lineRule="exact"/>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720" w:type="dxa"/>
            <w:vAlign w:val="bottom"/>
          </w:tcPr>
          <w:p>
            <w:pPr>
              <w:jc w:val="right"/>
              <w:ind w:right="530"/>
              <w:spacing w:after="0" w:line="202" w:lineRule="exact"/>
              <w:rPr>
                <w:sz w:val="20"/>
                <w:szCs w:val="20"/>
                <w:color w:val="auto"/>
              </w:rPr>
            </w:pPr>
            <w:r>
              <w:rPr>
                <w:rFonts w:ascii="Arial" w:cs="Arial" w:eastAsia="Arial" w:hAnsi="Arial"/>
                <w:sz w:val="18"/>
                <w:szCs w:val="18"/>
                <w:color w:val="auto"/>
                <w:w w:val="95"/>
              </w:rPr>
              <w:t>December 31,</w:t>
            </w:r>
          </w:p>
        </w:tc>
      </w:tr>
      <w:tr>
        <w:trPr>
          <w:trHeight w:val="243"/>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440" w:type="dxa"/>
            <w:vAlign w:val="bottom"/>
            <w:tcBorders>
              <w:bottom w:val="single" w:sz="8" w:color="auto"/>
            </w:tcBorders>
          </w:tcPr>
          <w:p>
            <w:pPr>
              <w:spacing w:after="0"/>
              <w:rPr>
                <w:sz w:val="21"/>
                <w:szCs w:val="21"/>
                <w:color w:val="auto"/>
              </w:rPr>
            </w:pPr>
          </w:p>
        </w:tc>
        <w:tc>
          <w:tcPr>
            <w:tcW w:w="1760" w:type="dxa"/>
            <w:vAlign w:val="bottom"/>
            <w:tcBorders>
              <w:bottom w:val="single" w:sz="8" w:color="auto"/>
            </w:tcBorders>
          </w:tcPr>
          <w:p>
            <w:pPr>
              <w:jc w:val="right"/>
              <w:ind w:right="83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54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850"/>
              <w:spacing w:after="0"/>
              <w:rPr>
                <w:sz w:val="20"/>
                <w:szCs w:val="20"/>
                <w:color w:val="auto"/>
              </w:rPr>
            </w:pPr>
            <w:r>
              <w:rPr>
                <w:rFonts w:ascii="Arial" w:cs="Arial" w:eastAsia="Arial" w:hAnsi="Arial"/>
                <w:sz w:val="18"/>
                <w:szCs w:val="18"/>
                <w:color w:val="auto"/>
              </w:rPr>
              <w:t>2022</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12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170.7</w:t>
            </w: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4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93.8</w:t>
            </w: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79.0</w:t>
            </w:r>
          </w:p>
        </w:tc>
      </w:tr>
      <w:tr>
        <w:trPr>
          <w:trHeight w:val="24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440" w:type="dxa"/>
            <w:vAlign w:val="bottom"/>
            <w:tcBorders>
              <w:bottom w:val="single" w:sz="8" w:color="auto"/>
            </w:tcBorders>
            <w:shd w:val="clear" w:color="auto" w:fill="CCEEFF"/>
          </w:tcPr>
          <w:p>
            <w:pPr>
              <w:spacing w:after="0"/>
              <w:rPr>
                <w:sz w:val="21"/>
                <w:szCs w:val="21"/>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170.3</w:t>
            </w:r>
          </w:p>
        </w:tc>
        <w:tc>
          <w:tcPr>
            <w:tcW w:w="120" w:type="dxa"/>
            <w:vAlign w:val="bottom"/>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w:t>
            </w:r>
          </w:p>
        </w:tc>
      </w:tr>
      <w:tr>
        <w:trPr>
          <w:trHeight w:val="223"/>
        </w:trPr>
        <w:tc>
          <w:tcPr>
            <w:tcW w:w="6660" w:type="dxa"/>
            <w:vAlign w:val="bottom"/>
          </w:tcPr>
          <w:p>
            <w:pPr>
              <w:spacing w:after="0"/>
              <w:rPr>
                <w:sz w:val="19"/>
                <w:szCs w:val="19"/>
                <w:color w:val="auto"/>
              </w:rPr>
            </w:pPr>
          </w:p>
        </w:tc>
        <w:tc>
          <w:tcPr>
            <w:tcW w:w="4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449.4</w:t>
            </w:r>
          </w:p>
        </w:tc>
        <w:tc>
          <w:tcPr>
            <w:tcW w:w="120" w:type="dxa"/>
            <w:vAlign w:val="bottom"/>
          </w:tcPr>
          <w:p>
            <w:pPr>
              <w:spacing w:after="0"/>
              <w:rPr>
                <w:sz w:val="19"/>
                <w:szCs w:val="19"/>
                <w:color w:val="auto"/>
              </w:rPr>
            </w:pP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414.8</w:t>
            </w:r>
          </w:p>
        </w:tc>
      </w:tr>
      <w:tr>
        <w:trPr>
          <w:trHeight w:val="20"/>
        </w:trPr>
        <w:tc>
          <w:tcPr>
            <w:tcW w:w="666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9" w:name="page10"/>
    <w:bookmarkEnd w:id="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Leases</w:t>
      </w:r>
    </w:p>
    <w:p>
      <w:pPr>
        <w:spacing w:after="0" w:line="256" w:lineRule="exact"/>
        <w:rPr>
          <w:sz w:val="20"/>
          <w:szCs w:val="20"/>
          <w:color w:val="auto"/>
        </w:rPr>
      </w:pPr>
    </w:p>
    <w:p>
      <w:pPr>
        <w:ind w:right="340"/>
        <w:spacing w:after="0" w:line="255" w:lineRule="auto"/>
        <w:rPr>
          <w:sz w:val="20"/>
          <w:szCs w:val="20"/>
          <w:color w:val="auto"/>
        </w:rPr>
      </w:pPr>
      <w:r>
        <w:rPr>
          <w:rFonts w:ascii="Arial" w:cs="Arial" w:eastAsia="Arial" w:hAnsi="Arial"/>
          <w:sz w:val="18"/>
          <w:szCs w:val="18"/>
          <w:color w:val="auto"/>
        </w:rPr>
        <w:t>A lease exists when a contract conveys to the customer the right to control the use of identified property, plant, or equipment for a period of time in exchange for consideration. The definition of a lease embodies two conditions: 1) there is an identified asset in the contract that is land or a depreciable asset (i.e., property, plant, and equipment); and 2) the customer has the right to control the use of the identified asset. Lease payments included in the measurement of the operating lease right-of-use assets and lease liabilities are comprised of fixed payments (including in-substance fixed payments), variable payments that depend on an index or rate, and the exercise price of a lessee option to purchase the underlying asset if the lessee is reasonably certain to exercise.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280" w:type="dxa"/>
            <w:vAlign w:val="bottom"/>
          </w:tcPr>
          <w:p>
            <w:pPr>
              <w:spacing w:after="0"/>
              <w:rPr>
                <w:sz w:val="20"/>
                <w:szCs w:val="20"/>
                <w:color w:val="auto"/>
              </w:rPr>
            </w:pPr>
            <w:r>
              <w:rPr>
                <w:rFonts w:ascii="Arial" w:cs="Arial" w:eastAsia="Arial" w:hAnsi="Arial"/>
                <w:sz w:val="18"/>
                <w:szCs w:val="18"/>
                <w:color w:val="auto"/>
              </w:rPr>
              <w:t>The components of lease expense were as follows:</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spacing w:after="0"/>
              <w:rPr>
                <w:sz w:val="20"/>
                <w:szCs w:val="20"/>
                <w:color w:val="auto"/>
              </w:rPr>
            </w:pPr>
          </w:p>
        </w:tc>
      </w:tr>
      <w:tr>
        <w:trPr>
          <w:trHeight w:val="202"/>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8"/>
          </w:tcPr>
          <w:p>
            <w:pPr>
              <w:ind w:left="520"/>
              <w:spacing w:after="0" w:line="202" w:lineRule="exact"/>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960" w:type="dxa"/>
            <w:vAlign w:val="bottom"/>
            <w:gridSpan w:val="3"/>
          </w:tcPr>
          <w:p>
            <w:pPr>
              <w:jc w:val="right"/>
              <w:spacing w:after="0" w:line="202" w:lineRule="exact"/>
              <w:rPr>
                <w:sz w:val="20"/>
                <w:szCs w:val="20"/>
                <w:color w:val="auto"/>
              </w:rPr>
            </w:pPr>
            <w:r>
              <w:rPr>
                <w:rFonts w:ascii="Arial" w:cs="Arial" w:eastAsia="Arial" w:hAnsi="Arial"/>
                <w:sz w:val="18"/>
                <w:szCs w:val="18"/>
                <w:color w:val="auto"/>
              </w:rPr>
              <w:t>Six Months Ended</w:t>
            </w:r>
          </w:p>
        </w:tc>
        <w:tc>
          <w:tcPr>
            <w:tcW w:w="1040" w:type="dxa"/>
            <w:vAlign w:val="bottom"/>
          </w:tcPr>
          <w:p>
            <w:pPr>
              <w:spacing w:after="0"/>
              <w:rPr>
                <w:sz w:val="17"/>
                <w:szCs w:val="17"/>
                <w:color w:val="auto"/>
              </w:rPr>
            </w:pPr>
          </w:p>
        </w:tc>
      </w:tr>
      <w:tr>
        <w:trPr>
          <w:trHeight w:val="237"/>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840" w:type="dxa"/>
            <w:vAlign w:val="bottom"/>
            <w:gridSpan w:val="5"/>
          </w:tcPr>
          <w:p>
            <w:pPr>
              <w:jc w:val="right"/>
              <w:ind w:right="260"/>
              <w:spacing w:after="0"/>
              <w:rPr>
                <w:sz w:val="20"/>
                <w:szCs w:val="20"/>
                <w:color w:val="auto"/>
              </w:rPr>
            </w:pPr>
            <w:r>
              <w:rPr>
                <w:rFonts w:ascii="Arial" w:cs="Arial" w:eastAsia="Arial" w:hAnsi="Arial"/>
                <w:sz w:val="18"/>
                <w:szCs w:val="18"/>
                <w:color w:val="auto"/>
              </w:rPr>
              <w:t>June 30,</w:t>
            </w: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960" w:type="dxa"/>
            <w:vAlign w:val="bottom"/>
            <w:gridSpan w:val="3"/>
          </w:tcPr>
          <w:p>
            <w:pPr>
              <w:jc w:val="right"/>
              <w:ind w:right="290"/>
              <w:spacing w:after="0"/>
              <w:rPr>
                <w:sz w:val="20"/>
                <w:szCs w:val="20"/>
                <w:color w:val="auto"/>
              </w:rPr>
            </w:pPr>
            <w:r>
              <w:rPr>
                <w:rFonts w:ascii="Arial" w:cs="Arial" w:eastAsia="Arial" w:hAnsi="Arial"/>
                <w:sz w:val="18"/>
                <w:szCs w:val="18"/>
                <w:color w:val="auto"/>
              </w:rPr>
              <w:t>June 30,</w:t>
            </w:r>
          </w:p>
        </w:tc>
        <w:tc>
          <w:tcPr>
            <w:tcW w:w="1040" w:type="dxa"/>
            <w:vAlign w:val="bottom"/>
          </w:tcPr>
          <w:p>
            <w:pPr>
              <w:spacing w:after="0"/>
              <w:rPr>
                <w:sz w:val="20"/>
                <w:szCs w:val="20"/>
                <w:color w:val="auto"/>
              </w:rPr>
            </w:pPr>
          </w:p>
        </w:tc>
      </w:tr>
      <w:tr>
        <w:trPr>
          <w:trHeight w:val="229"/>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19"/>
                <w:szCs w:val="19"/>
                <w:color w:val="auto"/>
              </w:rPr>
            </w:pPr>
          </w:p>
        </w:tc>
        <w:tc>
          <w:tcPr>
            <w:tcW w:w="6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2022</w:t>
            </w:r>
          </w:p>
        </w:tc>
      </w:tr>
      <w:tr>
        <w:trPr>
          <w:trHeight w:val="223"/>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5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4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37"/>
        </w:trPr>
        <w:tc>
          <w:tcPr>
            <w:tcW w:w="4280" w:type="dxa"/>
            <w:vAlign w:val="bottom"/>
          </w:tcPr>
          <w:p>
            <w:pPr>
              <w:ind w:left="20"/>
              <w:spacing w:after="0"/>
              <w:rPr>
                <w:sz w:val="20"/>
                <w:szCs w:val="20"/>
                <w:color w:val="auto"/>
              </w:rPr>
            </w:pPr>
            <w:r>
              <w:rPr>
                <w:rFonts w:ascii="Arial" w:cs="Arial" w:eastAsia="Arial" w:hAnsi="Arial"/>
                <w:sz w:val="18"/>
                <w:szCs w:val="18"/>
                <w:color w:val="auto"/>
              </w:rPr>
              <w:t>Short-term lease cost</w:t>
            </w: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6"/>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Variable lease cost</w:t>
            </w: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tcBorders>
              <w:bottom w:val="single" w:sz="8" w:color="auto"/>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tcBorders>
              <w:bottom w:val="single" w:sz="8" w:color="auto"/>
            </w:tcBorders>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3"/>
        </w:trPr>
        <w:tc>
          <w:tcPr>
            <w:tcW w:w="4280" w:type="dxa"/>
            <w:vAlign w:val="bottom"/>
          </w:tcPr>
          <w:p>
            <w:pPr>
              <w:ind w:left="20"/>
              <w:spacing w:after="0"/>
              <w:rPr>
                <w:sz w:val="20"/>
                <w:szCs w:val="20"/>
                <w:color w:val="auto"/>
              </w:rPr>
            </w:pPr>
            <w:r>
              <w:rPr>
                <w:rFonts w:ascii="Arial" w:cs="Arial" w:eastAsia="Arial" w:hAnsi="Arial"/>
                <w:sz w:val="18"/>
                <w:szCs w:val="18"/>
                <w:color w:val="auto"/>
              </w:rPr>
              <w:t>Total lease cost</w:t>
            </w:r>
          </w:p>
        </w:tc>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Borders>
              <w:bottom w:val="single" w:sz="8" w:color="auto"/>
            </w:tcBorders>
            <w:gridSpan w:val="2"/>
          </w:tcPr>
          <w:p>
            <w:pPr>
              <w:jc w:val="right"/>
              <w:ind w:right="40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w:t>
            </w:r>
          </w:p>
        </w:tc>
        <w:tc>
          <w:tcPr>
            <w:tcW w:w="100" w:type="dxa"/>
            <w:vAlign w:val="bottom"/>
          </w:tcPr>
          <w:p>
            <w:pPr>
              <w:spacing w:after="0"/>
              <w:rPr>
                <w:sz w:val="19"/>
                <w:szCs w:val="19"/>
                <w:color w:val="auto"/>
              </w:rPr>
            </w:pPr>
          </w:p>
        </w:tc>
        <w:tc>
          <w:tcPr>
            <w:tcW w:w="6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r>
      <w:tr>
        <w:trPr>
          <w:trHeight w:val="20"/>
        </w:trPr>
        <w:tc>
          <w:tcPr>
            <w:tcW w:w="42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r>
        <w:trPr>
          <w:trHeight w:val="547"/>
        </w:trPr>
        <w:tc>
          <w:tcPr>
            <w:tcW w:w="6040" w:type="dxa"/>
            <w:vAlign w:val="bottom"/>
            <w:gridSpan w:val="6"/>
          </w:tcPr>
          <w:p>
            <w:pPr>
              <w:spacing w:after="0"/>
              <w:rPr>
                <w:sz w:val="20"/>
                <w:szCs w:val="20"/>
                <w:color w:val="auto"/>
              </w:rPr>
            </w:pPr>
            <w:r>
              <w:rPr>
                <w:rFonts w:ascii="Arial" w:cs="Arial" w:eastAsia="Arial" w:hAnsi="Arial"/>
                <w:sz w:val="18"/>
                <w:szCs w:val="18"/>
                <w:color w:val="auto"/>
              </w:rPr>
              <w:t>Supplemental cash flow information related to leases were as follows:</w:t>
            </w: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203"/>
        </w:trPr>
        <w:tc>
          <w:tcPr>
            <w:tcW w:w="4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120" w:type="dxa"/>
            <w:vAlign w:val="bottom"/>
            <w:gridSpan w:val="8"/>
          </w:tcPr>
          <w:p>
            <w:pPr>
              <w:ind w:left="620"/>
              <w:spacing w:after="0" w:line="202" w:lineRule="exact"/>
              <w:rPr>
                <w:sz w:val="20"/>
                <w:szCs w:val="20"/>
                <w:color w:val="auto"/>
              </w:rPr>
            </w:pPr>
            <w:r>
              <w:rPr>
                <w:rFonts w:ascii="Arial" w:cs="Arial" w:eastAsia="Arial" w:hAnsi="Arial"/>
                <w:sz w:val="18"/>
                <w:szCs w:val="18"/>
                <w:color w:val="auto"/>
              </w:rPr>
              <w:t>Three Months Ended</w:t>
            </w: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000" w:type="dxa"/>
            <w:vAlign w:val="bottom"/>
            <w:gridSpan w:val="4"/>
          </w:tcPr>
          <w:p>
            <w:pPr>
              <w:jc w:val="right"/>
              <w:ind w:right="910"/>
              <w:spacing w:after="0" w:line="202" w:lineRule="exact"/>
              <w:rPr>
                <w:sz w:val="20"/>
                <w:szCs w:val="20"/>
                <w:color w:val="auto"/>
              </w:rPr>
            </w:pPr>
            <w:r>
              <w:rPr>
                <w:rFonts w:ascii="Arial" w:cs="Arial" w:eastAsia="Arial" w:hAnsi="Arial"/>
                <w:sz w:val="18"/>
                <w:szCs w:val="18"/>
                <w:color w:val="auto"/>
              </w:rPr>
              <w:t>Six Months Ended</w:t>
            </w:r>
          </w:p>
        </w:tc>
      </w:tr>
      <w:tr>
        <w:trPr>
          <w:trHeight w:val="236"/>
        </w:trPr>
        <w:tc>
          <w:tcPr>
            <w:tcW w:w="4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40" w:type="dxa"/>
            <w:vAlign w:val="bottom"/>
            <w:tcBorders>
              <w:bottom w:val="single" w:sz="8" w:color="auto"/>
            </w:tcBorders>
            <w:gridSpan w:val="5"/>
          </w:tcPr>
          <w:p>
            <w:pPr>
              <w:jc w:val="right"/>
              <w:ind w:right="160"/>
              <w:spacing w:after="0"/>
              <w:rPr>
                <w:sz w:val="20"/>
                <w:szCs w:val="20"/>
                <w:color w:val="auto"/>
              </w:rPr>
            </w:pPr>
            <w:r>
              <w:rPr>
                <w:rFonts w:ascii="Arial" w:cs="Arial" w:eastAsia="Arial" w:hAnsi="Arial"/>
                <w:sz w:val="18"/>
                <w:szCs w:val="18"/>
                <w:color w:val="auto"/>
              </w:rPr>
              <w:t>June 30,</w:t>
            </w:r>
          </w:p>
        </w:tc>
        <w:tc>
          <w:tcPr>
            <w:tcW w:w="11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960" w:type="dxa"/>
            <w:vAlign w:val="bottom"/>
            <w:tcBorders>
              <w:bottom w:val="single" w:sz="8" w:color="auto"/>
            </w:tcBorders>
            <w:gridSpan w:val="3"/>
          </w:tcPr>
          <w:p>
            <w:pPr>
              <w:ind w:left="1040"/>
              <w:spacing w:after="0"/>
              <w:rPr>
                <w:sz w:val="20"/>
                <w:szCs w:val="20"/>
                <w:color w:val="auto"/>
              </w:rPr>
            </w:pPr>
            <w:r>
              <w:rPr>
                <w:rFonts w:ascii="Arial" w:cs="Arial" w:eastAsia="Arial" w:hAnsi="Arial"/>
                <w:sz w:val="18"/>
                <w:szCs w:val="18"/>
                <w:color w:val="auto"/>
              </w:rPr>
              <w:t>June 30,</w:t>
            </w:r>
          </w:p>
        </w:tc>
        <w:tc>
          <w:tcPr>
            <w:tcW w:w="1040" w:type="dxa"/>
            <w:vAlign w:val="bottom"/>
            <w:tcBorders>
              <w:bottom w:val="single" w:sz="8" w:color="auto"/>
            </w:tcBorders>
          </w:tcPr>
          <w:p>
            <w:pPr>
              <w:spacing w:after="0"/>
              <w:rPr>
                <w:sz w:val="20"/>
                <w:szCs w:val="20"/>
                <w:color w:val="auto"/>
              </w:rPr>
            </w:pPr>
          </w:p>
        </w:tc>
      </w:tr>
      <w:tr>
        <w:trPr>
          <w:trHeight w:val="230"/>
        </w:trPr>
        <w:tc>
          <w:tcPr>
            <w:tcW w:w="42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auto"/>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color w:val="auto"/>
                <w:w w:val="89"/>
              </w:rPr>
              <w:t>2022</w:t>
            </w:r>
          </w:p>
        </w:tc>
      </w:tr>
      <w:tr>
        <w:trPr>
          <w:trHeight w:val="168"/>
        </w:trPr>
        <w:tc>
          <w:tcPr>
            <w:tcW w:w="42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6"/>
              </w:rPr>
              <w:t>Cash paid for amounts included in the measurement of</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r>
        <w:trPr>
          <w:trHeight w:val="230"/>
        </w:trPr>
        <w:tc>
          <w:tcPr>
            <w:tcW w:w="4280" w:type="dxa"/>
            <w:vAlign w:val="bottom"/>
          </w:tcPr>
          <w:p>
            <w:pPr>
              <w:ind w:left="220"/>
              <w:spacing w:after="0"/>
              <w:rPr>
                <w:sz w:val="20"/>
                <w:szCs w:val="20"/>
                <w:color w:val="auto"/>
              </w:rPr>
            </w:pPr>
            <w:r>
              <w:rPr>
                <w:rFonts w:ascii="Arial" w:cs="Arial" w:eastAsia="Arial" w:hAnsi="Arial"/>
                <w:sz w:val="18"/>
                <w:szCs w:val="18"/>
                <w:color w:val="auto"/>
              </w:rPr>
              <w:t>Operating cash flows from operating leases</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9"/>
                <w:szCs w:val="19"/>
                <w:color w:val="auto"/>
              </w:rPr>
            </w:pPr>
          </w:p>
        </w:tc>
        <w:tc>
          <w:tcPr>
            <w:tcW w:w="50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80"/>
              <w:spacing w:after="0"/>
              <w:rPr>
                <w:sz w:val="20"/>
                <w:szCs w:val="20"/>
                <w:color w:val="auto"/>
              </w:rPr>
            </w:pPr>
            <w:r>
              <w:rPr>
                <w:rFonts w:ascii="Arial" w:cs="Arial" w:eastAsia="Arial" w:hAnsi="Arial"/>
                <w:sz w:val="18"/>
                <w:szCs w:val="18"/>
                <w:color w:val="auto"/>
              </w:rPr>
              <w:t>3.1</w:t>
            </w:r>
          </w:p>
        </w:tc>
        <w:tc>
          <w:tcPr>
            <w:tcW w:w="20" w:type="dxa"/>
            <w:vAlign w:val="bottom"/>
          </w:tcPr>
          <w:p>
            <w:pPr>
              <w:spacing w:after="0"/>
              <w:rPr>
                <w:sz w:val="19"/>
                <w:szCs w:val="19"/>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1040"/>
              <w:spacing w:after="0"/>
              <w:rPr>
                <w:sz w:val="20"/>
                <w:szCs w:val="20"/>
                <w:color w:val="auto"/>
              </w:rPr>
            </w:pPr>
            <w:r>
              <w:rPr>
                <w:rFonts w:ascii="Arial" w:cs="Arial" w:eastAsia="Arial" w:hAnsi="Arial"/>
                <w:sz w:val="18"/>
                <w:szCs w:val="18"/>
                <w:color w:val="auto"/>
              </w:rPr>
              <w:t>9.9</w:t>
            </w:r>
          </w:p>
        </w:tc>
        <w:tc>
          <w:tcPr>
            <w:tcW w:w="620" w:type="dxa"/>
            <w:vAlign w:val="bottom"/>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188"/>
        </w:trPr>
        <w:tc>
          <w:tcPr>
            <w:tcW w:w="4700" w:type="dxa"/>
            <w:vAlign w:val="bottom"/>
            <w:gridSpan w:val="3"/>
            <w:shd w:val="clear" w:color="auto" w:fill="CCEEFF"/>
          </w:tcPr>
          <w:p>
            <w:pPr>
              <w:ind w:left="20"/>
              <w:spacing w:after="0" w:line="189" w:lineRule="exact"/>
              <w:rPr>
                <w:sz w:val="20"/>
                <w:szCs w:val="20"/>
                <w:color w:val="auto"/>
              </w:rPr>
            </w:pPr>
            <w:r>
              <w:rPr>
                <w:rFonts w:ascii="Arial" w:cs="Arial" w:eastAsia="Arial" w:hAnsi="Arial"/>
                <w:sz w:val="18"/>
                <w:szCs w:val="18"/>
                <w:color w:val="auto"/>
                <w:w w:val="98"/>
              </w:rPr>
              <w:t>Right-of-use assets obtained in exchange for new operating</w:t>
            </w: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230"/>
        </w:trPr>
        <w:tc>
          <w:tcPr>
            <w:tcW w:w="4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liabilities</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2.9</w:t>
            </w:r>
          </w:p>
        </w:tc>
        <w:tc>
          <w:tcPr>
            <w:tcW w:w="20" w:type="dxa"/>
            <w:vAlign w:val="bottom"/>
            <w:shd w:val="clear" w:color="auto" w:fill="CCEEFF"/>
          </w:tcPr>
          <w:p>
            <w:pPr>
              <w:spacing w:after="0"/>
              <w:rPr>
                <w:sz w:val="20"/>
                <w:szCs w:val="20"/>
                <w:color w:val="auto"/>
              </w:rPr>
            </w:pPr>
          </w:p>
        </w:tc>
        <w:tc>
          <w:tcPr>
            <w:tcW w:w="5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5.8</w:t>
            </w:r>
          </w:p>
        </w:tc>
        <w:tc>
          <w:tcPr>
            <w:tcW w:w="20" w:type="dxa"/>
            <w:vAlign w:val="bottom"/>
            <w:shd w:val="clear" w:color="auto" w:fill="CCEEFF"/>
          </w:tcPr>
          <w:p>
            <w:pPr>
              <w:spacing w:after="0"/>
              <w:rPr>
                <w:sz w:val="20"/>
                <w:szCs w:val="20"/>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340" w:type="dxa"/>
            <w:vAlign w:val="bottom"/>
            <w:gridSpan w:val="2"/>
            <w:shd w:val="clear" w:color="auto" w:fill="CCEEFF"/>
          </w:tcPr>
          <w:p>
            <w:pPr>
              <w:ind w:left="1040"/>
              <w:spacing w:after="0"/>
              <w:rPr>
                <w:sz w:val="20"/>
                <w:szCs w:val="20"/>
                <w:color w:val="auto"/>
              </w:rPr>
            </w:pPr>
            <w:r>
              <w:rPr>
                <w:rFonts w:ascii="Arial" w:cs="Arial" w:eastAsia="Arial" w:hAnsi="Arial"/>
                <w:sz w:val="18"/>
                <w:szCs w:val="18"/>
                <w:color w:val="auto"/>
              </w:rPr>
              <w:t>3.5</w:t>
            </w:r>
          </w:p>
        </w:tc>
        <w:tc>
          <w:tcPr>
            <w:tcW w:w="62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As of June 30, 2023 and December 31, 2022, the weighted average remaining lease term for operating leases was 9.0 years and 9.3 years, respectively.</w:t>
      </w:r>
    </w:p>
    <w:p>
      <w:pPr>
        <w:spacing w:after="0" w:line="275" w:lineRule="exact"/>
        <w:rPr>
          <w:sz w:val="20"/>
          <w:szCs w:val="20"/>
          <w:color w:val="auto"/>
        </w:rPr>
      </w:pPr>
    </w:p>
    <w:p>
      <w:pPr>
        <w:spacing w:after="0"/>
        <w:rPr>
          <w:sz w:val="20"/>
          <w:szCs w:val="20"/>
          <w:color w:val="auto"/>
        </w:rPr>
      </w:pPr>
      <w:r>
        <w:rPr>
          <w:rFonts w:ascii="Arial" w:cs="Arial" w:eastAsia="Arial" w:hAnsi="Arial"/>
          <w:sz w:val="18"/>
          <w:szCs w:val="18"/>
          <w:color w:val="auto"/>
        </w:rPr>
        <w:t>As of June 30, 2023 and December 31, 2022, the weighted average discount rate was 3.30% and 3.25%,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0" w:name="page11"/>
    <w:bookmarkEnd w:id="1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980" w:type="dxa"/>
            <w:vAlign w:val="bottom"/>
          </w:tcPr>
          <w:p>
            <w:pPr>
              <w:spacing w:after="0"/>
              <w:rPr>
                <w:sz w:val="20"/>
                <w:szCs w:val="20"/>
                <w:color w:val="auto"/>
              </w:rPr>
            </w:pPr>
            <w:r>
              <w:rPr>
                <w:rFonts w:ascii="Arial" w:cs="Arial" w:eastAsia="Arial" w:hAnsi="Arial"/>
                <w:sz w:val="18"/>
                <w:szCs w:val="18"/>
                <w:color w:val="auto"/>
              </w:rPr>
              <w:t>Maturities of operating lease liabilities were as follows:</w:t>
            </w:r>
          </w:p>
        </w:tc>
        <w:tc>
          <w:tcPr>
            <w:tcW w:w="3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256"/>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00" w:type="dxa"/>
            <w:vAlign w:val="bottom"/>
          </w:tcPr>
          <w:p>
            <w:pPr>
              <w:spacing w:after="0"/>
              <w:rPr>
                <w:sz w:val="22"/>
                <w:szCs w:val="22"/>
                <w:color w:val="auto"/>
              </w:rPr>
            </w:pPr>
          </w:p>
        </w:tc>
        <w:tc>
          <w:tcPr>
            <w:tcW w:w="1280" w:type="dxa"/>
            <w:vAlign w:val="bottom"/>
          </w:tcPr>
          <w:p>
            <w:pPr>
              <w:jc w:val="right"/>
              <w:ind w:right="410"/>
              <w:spacing w:after="0"/>
              <w:rPr>
                <w:sz w:val="20"/>
                <w:szCs w:val="20"/>
                <w:color w:val="auto"/>
              </w:rPr>
            </w:pPr>
            <w:r>
              <w:rPr>
                <w:rFonts w:ascii="Arial" w:cs="Arial" w:eastAsia="Arial" w:hAnsi="Arial"/>
                <w:sz w:val="18"/>
                <w:szCs w:val="18"/>
                <w:color w:val="auto"/>
              </w:rPr>
              <w:t>June 30,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80" w:type="dxa"/>
            <w:vAlign w:val="bottom"/>
          </w:tcPr>
          <w:p>
            <w:pPr>
              <w:jc w:val="right"/>
              <w:ind w:right="190"/>
              <w:spacing w:after="0"/>
              <w:rPr>
                <w:sz w:val="20"/>
                <w:szCs w:val="20"/>
                <w:color w:val="auto"/>
              </w:rPr>
            </w:pPr>
            <w:r>
              <w:rPr>
                <w:rFonts w:ascii="Arial" w:cs="Arial" w:eastAsia="Arial" w:hAnsi="Arial"/>
                <w:sz w:val="18"/>
                <w:szCs w:val="18"/>
                <w:color w:val="auto"/>
                <w:w w:val="95"/>
              </w:rPr>
              <w:t>December 31,</w:t>
            </w:r>
          </w:p>
        </w:tc>
      </w:tr>
      <w:tr>
        <w:trPr>
          <w:trHeight w:val="244"/>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Year</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 (remaining period as of)</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2024</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18.6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18.1</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30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2026</w:t>
            </w:r>
          </w:p>
        </w:tc>
        <w:tc>
          <w:tcPr>
            <w:tcW w:w="3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13.4</w:t>
            </w:r>
          </w:p>
        </w:tc>
      </w:tr>
      <w:tr>
        <w:trPr>
          <w:trHeight w:val="229"/>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2027</w:t>
            </w:r>
          </w:p>
        </w:tc>
        <w:tc>
          <w:tcPr>
            <w:tcW w:w="30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3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51.5</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w:t>
            </w:r>
          </w:p>
        </w:tc>
      </w:tr>
      <w:tr>
        <w:trPr>
          <w:trHeight w:val="223"/>
        </w:trPr>
        <w:tc>
          <w:tcPr>
            <w:tcW w:w="79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126.7</w:t>
            </w:r>
          </w:p>
        </w:tc>
      </w:tr>
      <w:tr>
        <w:trPr>
          <w:trHeight w:val="223"/>
        </w:trPr>
        <w:tc>
          <w:tcPr>
            <w:tcW w:w="7980" w:type="dxa"/>
            <w:vAlign w:val="bottom"/>
          </w:tcPr>
          <w:p>
            <w:pPr>
              <w:ind w:left="20"/>
              <w:spacing w:after="0"/>
              <w:rPr>
                <w:sz w:val="20"/>
                <w:szCs w:val="20"/>
                <w:color w:val="auto"/>
              </w:rPr>
            </w:pPr>
            <w:r>
              <w:rPr>
                <w:rFonts w:ascii="Arial" w:cs="Arial" w:eastAsia="Arial" w:hAnsi="Arial"/>
                <w:sz w:val="18"/>
                <w:szCs w:val="18"/>
                <w:color w:val="auto"/>
              </w:rPr>
              <w:t>Less: imputed lease interest</w:t>
            </w:r>
          </w:p>
        </w:tc>
        <w:tc>
          <w:tcPr>
            <w:tcW w:w="30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r>
      <w:tr>
        <w:trPr>
          <w:trHeight w:val="25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liabilities</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Affiliated Companies</w:t>
      </w:r>
    </w:p>
    <w:p>
      <w:pPr>
        <w:spacing w:after="0" w:line="256" w:lineRule="exact"/>
        <w:rPr>
          <w:sz w:val="20"/>
          <w:szCs w:val="20"/>
          <w:color w:val="auto"/>
        </w:rPr>
      </w:pPr>
    </w:p>
    <w:p>
      <w:pPr>
        <w:ind w:right="120"/>
        <w:spacing w:after="0" w:line="275" w:lineRule="auto"/>
        <w:rPr>
          <w:sz w:val="20"/>
          <w:szCs w:val="20"/>
          <w:color w:val="auto"/>
        </w:rPr>
      </w:pPr>
      <w:r>
        <w:rPr>
          <w:rFonts w:ascii="Arial" w:cs="Arial" w:eastAsia="Arial" w:hAnsi="Arial"/>
          <w:sz w:val="17"/>
          <w:szCs w:val="17"/>
          <w:color w:val="auto"/>
        </w:rPr>
        <w:t>At June 30, 2023 and December 31, 2022, the aggregate carrying amount of our investment in affiliated companies that are accounted for under the equity method was $193.6 million and $197.0 million, respectively, and the aggregate carrying amount of our investment in affiliated companies that are not accounted for under the equity method was $9.2 million and $7.9 million, respectively. We have elected to record these investments, for which fair value was not readily determinable, at cost, less impairment, adjusted for subsequent observable price changes. We test these investments for impairment whenever circumstances indicate that the carrying value of the investments may not be recoverable.</w:t>
      </w:r>
    </w:p>
    <w:p>
      <w:pPr>
        <w:spacing w:after="0" w:line="20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purchases from, and royalty payments made to, affiliates totaled $39.9 million and $84.1 million, respectively, for the three and six months ended June 30, 2023, as compared to $50.6 million and $97.6 million, respectively, for the same period in 2022. As of June 30, 2023 and December 31, 2022, the payable balance due to affiliates was $24.4 million and $31.2 million, respectively. The majority of these transactions related to a distributorship agreement with Daikyo Seiko, Ltd. ("Daikyo") that allows us to purchase and re-sell Daikyo products.</w:t>
      </w:r>
    </w:p>
    <w:p>
      <w:pPr>
        <w:spacing w:after="0" w:line="214"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Sales to affiliates were $2.7 million and $6.0 million, respectively, for the three and six months ended June 30, 2023, as compared to $3.6 million and $7.6 million, respectively, for the same periods in 2022. As of June 30, 2023 and December 31, 2022, the receivable balance due from affiliates was $1.9 million and $2.2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1" w:name="page12"/>
    <w:bookmarkEnd w:id="1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Debt</w:t>
      </w:r>
    </w:p>
    <w:p>
      <w:pPr>
        <w:spacing w:after="0" w:line="256" w:lineRule="exact"/>
        <w:rPr>
          <w:sz w:val="20"/>
          <w:szCs w:val="20"/>
          <w:color w:val="auto"/>
        </w:rPr>
      </w:pPr>
    </w:p>
    <w:p>
      <w:pPr>
        <w:ind w:right="60"/>
        <w:spacing w:after="0" w:line="274" w:lineRule="auto"/>
        <w:rPr>
          <w:sz w:val="20"/>
          <w:szCs w:val="20"/>
          <w:color w:val="auto"/>
        </w:rPr>
      </w:pPr>
      <w:r>
        <w:rPr>
          <w:rFonts w:ascii="Arial" w:cs="Arial" w:eastAsia="Arial" w:hAnsi="Arial"/>
          <w:sz w:val="18"/>
          <w:szCs w:val="18"/>
          <w:color w:val="auto"/>
        </w:rPr>
        <w:t>The following table summarizes our long-term debt obligations, net of unamortized debt issuance costs and current maturities. The interest rates shown in parentheses are as of June 30, 2023.</w:t>
      </w:r>
    </w:p>
    <w:tbl>
      <w:tblPr>
        <w:tblLayout w:type="fixed"/>
        <w:tblInd w:w="0" w:type="dxa"/>
        <w:tblCellMar>
          <w:top w:w="0" w:type="dxa"/>
          <w:left w:w="0" w:type="dxa"/>
          <w:bottom w:w="0" w:type="dxa"/>
          <w:right w:w="0" w:type="dxa"/>
        </w:tblCellMar>
      </w:tblPr>
      <w:tr>
        <w:trPr>
          <w:trHeight w:val="176"/>
        </w:trPr>
        <w:tc>
          <w:tcPr>
            <w:tcW w:w="78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shd w:val="clear" w:color="auto" w:fill="CCEEFF"/>
          </w:tcPr>
          <w:p>
            <w:pPr>
              <w:spacing w:after="0"/>
              <w:rPr>
                <w:sz w:val="15"/>
                <w:szCs w:val="15"/>
                <w:color w:val="auto"/>
              </w:rPr>
            </w:pPr>
          </w:p>
        </w:tc>
        <w:tc>
          <w:tcPr>
            <w:tcW w:w="1280" w:type="dxa"/>
            <w:vAlign w:val="bottom"/>
            <w:shd w:val="clear" w:color="auto" w:fill="CCEEFF"/>
          </w:tcPr>
          <w:p>
            <w:pPr>
              <w:jc w:val="right"/>
              <w:ind w:right="390"/>
              <w:spacing w:after="0" w:line="176" w:lineRule="exact"/>
              <w:rPr>
                <w:sz w:val="20"/>
                <w:szCs w:val="20"/>
                <w:color w:val="auto"/>
              </w:rPr>
            </w:pPr>
            <w:r>
              <w:rPr>
                <w:rFonts w:ascii="Arial" w:cs="Arial" w:eastAsia="Arial" w:hAnsi="Arial"/>
                <w:sz w:val="18"/>
                <w:szCs w:val="18"/>
                <w:color w:val="auto"/>
              </w:rPr>
              <w:t>June 30,</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ind w:right="190"/>
              <w:spacing w:after="0" w:line="176" w:lineRule="exact"/>
              <w:rPr>
                <w:sz w:val="20"/>
                <w:szCs w:val="20"/>
                <w:color w:val="auto"/>
              </w:rPr>
            </w:pPr>
            <w:r>
              <w:rPr>
                <w:rFonts w:ascii="Arial" w:cs="Arial" w:eastAsia="Arial" w:hAnsi="Arial"/>
                <w:sz w:val="18"/>
                <w:szCs w:val="18"/>
                <w:color w:val="auto"/>
                <w:w w:val="95"/>
              </w:rPr>
              <w:t>December 31,</w:t>
            </w:r>
          </w:p>
        </w:tc>
        <w:tc>
          <w:tcPr>
            <w:tcW w:w="0" w:type="dxa"/>
            <w:vAlign w:val="bottom"/>
          </w:tcPr>
          <w:p>
            <w:pPr>
              <w:spacing w:after="0"/>
              <w:rPr>
                <w:sz w:val="1"/>
                <w:szCs w:val="1"/>
                <w:color w:val="auto"/>
              </w:rPr>
            </w:pPr>
          </w:p>
        </w:tc>
      </w:tr>
      <w:tr>
        <w:trPr>
          <w:trHeight w:val="229"/>
        </w:trPr>
        <w:tc>
          <w:tcPr>
            <w:tcW w:w="7880" w:type="dxa"/>
            <w:vAlign w:val="bottom"/>
            <w:tcBorders>
              <w:bottom w:val="single" w:sz="8" w:color="CCEEFF"/>
            </w:tcBorders>
            <w:vMerge w:val="continue"/>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ind w:right="51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Term Loan, due December 31, 2024 (6.22%)</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82.1</w:t>
            </w:r>
          </w:p>
        </w:tc>
        <w:tc>
          <w:tcPr>
            <w:tcW w:w="3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83.2</w:t>
            </w:r>
          </w:p>
        </w:tc>
        <w:tc>
          <w:tcPr>
            <w:tcW w:w="0" w:type="dxa"/>
            <w:vAlign w:val="bottom"/>
          </w:tcPr>
          <w:p>
            <w:pPr>
              <w:spacing w:after="0"/>
              <w:rPr>
                <w:sz w:val="1"/>
                <w:szCs w:val="1"/>
                <w:color w:val="auto"/>
              </w:rPr>
            </w:pPr>
          </w:p>
        </w:tc>
      </w:tr>
      <w:tr>
        <w:trPr>
          <w:trHeight w:val="243"/>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Series B notes, due July 5, 2024 (3.82%)</w:t>
            </w:r>
          </w:p>
        </w:tc>
        <w:tc>
          <w:tcPr>
            <w:tcW w:w="28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Series C notes, due July 5, 2027 (4.02%)</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73.0</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208.1</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209.2</w:t>
            </w:r>
          </w:p>
        </w:tc>
        <w:tc>
          <w:tcPr>
            <w:tcW w:w="0" w:type="dxa"/>
            <w:vAlign w:val="bottom"/>
          </w:tcPr>
          <w:p>
            <w:pPr>
              <w:spacing w:after="0"/>
              <w:rPr>
                <w:sz w:val="1"/>
                <w:szCs w:val="1"/>
                <w:color w:val="auto"/>
              </w:rPr>
            </w:pPr>
          </w:p>
        </w:tc>
      </w:tr>
      <w:tr>
        <w:trPr>
          <w:trHeight w:val="237"/>
        </w:trPr>
        <w:tc>
          <w:tcPr>
            <w:tcW w:w="78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unamortized debt issuance costs</w:t>
            </w: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23"/>
        </w:trPr>
        <w:tc>
          <w:tcPr>
            <w:tcW w:w="78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debt</w:t>
            </w:r>
          </w:p>
        </w:tc>
        <w:tc>
          <w:tcPr>
            <w:tcW w:w="2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208.9</w:t>
            </w:r>
          </w:p>
        </w:tc>
        <w:tc>
          <w:tcPr>
            <w:tcW w:w="0" w:type="dxa"/>
            <w:vAlign w:val="bottom"/>
          </w:tcPr>
          <w:p>
            <w:pPr>
              <w:spacing w:after="0"/>
              <w:rPr>
                <w:sz w:val="1"/>
                <w:szCs w:val="1"/>
                <w:color w:val="auto"/>
              </w:rPr>
            </w:pPr>
          </w:p>
        </w:tc>
      </w:tr>
      <w:tr>
        <w:trPr>
          <w:trHeight w:val="223"/>
        </w:trPr>
        <w:tc>
          <w:tcPr>
            <w:tcW w:w="7880" w:type="dxa"/>
            <w:vAlign w:val="bottom"/>
          </w:tcPr>
          <w:p>
            <w:pPr>
              <w:ind w:left="20"/>
              <w:spacing w:after="0"/>
              <w:rPr>
                <w:sz w:val="20"/>
                <w:szCs w:val="20"/>
                <w:color w:val="auto"/>
              </w:rPr>
            </w:pPr>
            <w:r>
              <w:rPr>
                <w:rFonts w:ascii="Arial" w:cs="Arial" w:eastAsia="Arial" w:hAnsi="Arial"/>
                <w:sz w:val="18"/>
                <w:szCs w:val="18"/>
                <w:color w:val="auto"/>
              </w:rPr>
              <w:t>Less: current portion of long-term debt</w:t>
            </w:r>
          </w:p>
        </w:tc>
        <w:tc>
          <w:tcPr>
            <w:tcW w:w="2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57"/>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Long-term debt, net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205.6</w:t>
            </w:r>
          </w:p>
        </w:tc>
        <w:tc>
          <w:tcPr>
            <w:tcW w:w="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Credit Facility</w:t>
      </w:r>
    </w:p>
    <w:p>
      <w:pPr>
        <w:spacing w:after="0" w:line="25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At June 30, 2023, the borrowing capacity available under our $500.0 million multi-currency revolving credit facility (the “Credit Facility”), including outstanding letters of credit of $2.4 million, was $497.6 million.</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Term Loan</w:t>
      </w:r>
    </w:p>
    <w:p>
      <w:pPr>
        <w:spacing w:after="0" w:line="252"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 xml:space="preserve">At June 30, 2023, we had $82.1 million in borrowings under the Term Loan, of which $2.2 million was classified as current and $79.9 million was classified as long-term. Please refer to Note 9,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auto"/>
        </w:rPr>
        <w:t>, for a discussion of the foreign currency hedge associated with the Term Loan.</w:t>
      </w:r>
    </w:p>
    <w:p>
      <w:pPr>
        <w:spacing w:after="0" w:line="211" w:lineRule="exact"/>
        <w:rPr>
          <w:sz w:val="20"/>
          <w:szCs w:val="20"/>
          <w:color w:val="auto"/>
        </w:rPr>
      </w:pPr>
    </w:p>
    <w:p>
      <w:pPr>
        <w:jc w:val="both"/>
        <w:ind w:right="6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to not exceed established leverage ratios. In addition, the agreements contain other customary covenants, none of which we consider restrictive to our operations. At June 30, 2023, we were in compliance with all of our debt covenants.</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Derivative Financial Instruments</w:t>
      </w:r>
    </w:p>
    <w:p>
      <w:pPr>
        <w:spacing w:after="0" w:line="256" w:lineRule="exact"/>
        <w:rPr>
          <w:sz w:val="20"/>
          <w:szCs w:val="20"/>
          <w:color w:val="auto"/>
        </w:rPr>
      </w:pPr>
    </w:p>
    <w:p>
      <w:pPr>
        <w:ind w:right="20"/>
        <w:spacing w:after="0" w:line="301" w:lineRule="auto"/>
        <w:rPr>
          <w:sz w:val="20"/>
          <w:szCs w:val="20"/>
          <w:color w:val="auto"/>
        </w:rPr>
      </w:pPr>
      <w:r>
        <w:rPr>
          <w:rFonts w:ascii="Arial" w:cs="Arial" w:eastAsia="Arial" w:hAnsi="Arial"/>
          <w:sz w:val="16"/>
          <w:szCs w:val="16"/>
          <w:color w:val="auto"/>
        </w:rPr>
        <w:t>Our ongoing business operations expose us to various risks, such as fluctuating interest rates, foreign currency exchange rates and increasing commodity prices. To manage these market risks, we periodically enter into derivative financial instruments, such as interest rate swaps, options and foreign exchange contracts for periods consistent with, and for notional amounts equal to or less than, the related underlying exposures. We do not purchase or hold any derivative financial instruments for investment or trading purposes. All derivatives are recorded in our condensed consolidated balance sheet at fair value.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Exchange Rate Risk</w:t>
      </w:r>
    </w:p>
    <w:p>
      <w:pPr>
        <w:spacing w:after="0" w:line="256"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We have entered into forward exchange contracts, designated as fair value hedges, to manage our exposure to fluctuating foreign exchange rates on cross-currency intercompany loans. As of both June 30, 2023 and December 31, 2022, the total amount of these forward exchange contracts was Singapore Dollar (“SGD”) 601.5 million and $13.4 million. We have also entered into forward exchange contracts, designated as fair value hedges, to manage our exposure to fluctuating foreign exchange rates on cross-currency intercompany demand notes which were executed in June 2023. As of June 30, 2023, the total amount of these forward exchange contracts was Euro ("EUR") 278.6 million and SGD 94.0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130" w:right="439" w:bottom="1440" w:gutter="0" w:footer="0" w:header="0"/>
        </w:sectPr>
      </w:pPr>
    </w:p>
    <w:bookmarkStart w:id="12" w:name="page13"/>
    <w:bookmarkEnd w:id="1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In addition, we have entered into several foreign currency contracts, designated as cash flow hedges, for periods of up to eighteen months, intended to hedge the currency risk associated with a portion of our forecasted transactions denominated in foreign currencies. As of June 30, 2023, we had outstanding foreign currency contracts to purchase and sell certain pairs of currencies,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820" w:type="dxa"/>
            <w:vAlign w:val="bottom"/>
          </w:tcPr>
          <w:p>
            <w:pPr>
              <w:ind w:left="20"/>
              <w:spacing w:after="0"/>
              <w:rPr>
                <w:sz w:val="20"/>
                <w:szCs w:val="20"/>
                <w:color w:val="auto"/>
              </w:rPr>
            </w:pPr>
            <w:r>
              <w:rPr>
                <w:rFonts w:ascii="Arial" w:cs="Arial" w:eastAsia="Arial" w:hAnsi="Arial"/>
                <w:sz w:val="18"/>
                <w:szCs w:val="18"/>
                <w:color w:val="auto"/>
              </w:rPr>
              <w:t>(in millions)</w:t>
            </w: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960" w:type="dxa"/>
            <w:vAlign w:val="bottom"/>
          </w:tcPr>
          <w:p>
            <w:pPr>
              <w:jc w:val="right"/>
              <w:ind w:right="350"/>
              <w:spacing w:after="0"/>
              <w:rPr>
                <w:sz w:val="20"/>
                <w:szCs w:val="20"/>
                <w:color w:val="auto"/>
              </w:rPr>
            </w:pPr>
            <w:r>
              <w:rPr>
                <w:rFonts w:ascii="Arial" w:cs="Arial" w:eastAsia="Arial" w:hAnsi="Arial"/>
                <w:sz w:val="18"/>
                <w:szCs w:val="18"/>
                <w:b w:val="1"/>
                <w:bCs w:val="1"/>
                <w:color w:val="auto"/>
              </w:rPr>
              <w:t>Sell</w:t>
            </w:r>
          </w:p>
        </w:tc>
        <w:tc>
          <w:tcPr>
            <w:tcW w:w="1820" w:type="dxa"/>
            <w:vAlign w:val="bottom"/>
          </w:tcPr>
          <w:p>
            <w:pPr>
              <w:spacing w:after="0"/>
              <w:rPr>
                <w:sz w:val="19"/>
                <w:szCs w:val="19"/>
                <w:color w:val="auto"/>
              </w:rPr>
            </w:pPr>
          </w:p>
        </w:tc>
      </w:tr>
      <w:tr>
        <w:trPr>
          <w:trHeight w:val="248"/>
        </w:trPr>
        <w:tc>
          <w:tcPr>
            <w:tcW w:w="38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Currency</w:t>
            </w:r>
          </w:p>
        </w:tc>
        <w:tc>
          <w:tcPr>
            <w:tcW w:w="2400" w:type="dxa"/>
            <w:vAlign w:val="bottom"/>
            <w:tcBorders>
              <w:bottom w:val="single" w:sz="8" w:color="auto"/>
            </w:tcBorders>
          </w:tcPr>
          <w:p>
            <w:pPr>
              <w:jc w:val="right"/>
              <w:ind w:right="750"/>
              <w:spacing w:after="0"/>
              <w:rPr>
                <w:sz w:val="20"/>
                <w:szCs w:val="20"/>
                <w:color w:val="auto"/>
              </w:rPr>
            </w:pPr>
            <w:r>
              <w:rPr>
                <w:rFonts w:ascii="Arial" w:cs="Arial" w:eastAsia="Arial" w:hAnsi="Arial"/>
                <w:sz w:val="18"/>
                <w:szCs w:val="18"/>
                <w:b w:val="1"/>
                <w:bCs w:val="1"/>
                <w:color w:val="auto"/>
              </w:rPr>
              <w:t>Purchase</w:t>
            </w:r>
          </w:p>
        </w:tc>
        <w:tc>
          <w:tcPr>
            <w:tcW w:w="120" w:type="dxa"/>
            <w:vAlign w:val="bottom"/>
            <w:tcBorders>
              <w:bottom w:val="single" w:sz="8" w:color="CCEEFF"/>
            </w:tcBorders>
          </w:tcPr>
          <w:p>
            <w:pPr>
              <w:spacing w:after="0"/>
              <w:rPr>
                <w:sz w:val="21"/>
                <w:szCs w:val="21"/>
                <w:color w:val="auto"/>
              </w:rPr>
            </w:pPr>
          </w:p>
        </w:tc>
        <w:tc>
          <w:tcPr>
            <w:tcW w:w="2960" w:type="dxa"/>
            <w:vAlign w:val="bottom"/>
            <w:tcBorders>
              <w:bottom w:val="single" w:sz="8" w:color="auto"/>
            </w:tcBorders>
          </w:tcPr>
          <w:p>
            <w:pPr>
              <w:jc w:val="right"/>
              <w:ind w:right="1490"/>
              <w:spacing w:after="0"/>
              <w:rPr>
                <w:sz w:val="20"/>
                <w:szCs w:val="20"/>
                <w:color w:val="auto"/>
              </w:rPr>
            </w:pPr>
            <w:r>
              <w:rPr>
                <w:rFonts w:ascii="Arial" w:cs="Arial" w:eastAsia="Arial" w:hAnsi="Arial"/>
                <w:sz w:val="18"/>
                <w:szCs w:val="18"/>
                <w:b w:val="1"/>
                <w:bCs w:val="1"/>
                <w:color w:val="auto"/>
              </w:rPr>
              <w:t>USD</w:t>
            </w:r>
          </w:p>
        </w:tc>
        <w:tc>
          <w:tcPr>
            <w:tcW w:w="1820" w:type="dxa"/>
            <w:vAlign w:val="bottom"/>
            <w:tcBorders>
              <w:bottom w:val="single" w:sz="8" w:color="auto"/>
            </w:tcBorders>
          </w:tcPr>
          <w:p>
            <w:pPr>
              <w:jc w:val="right"/>
              <w:ind w:right="930"/>
              <w:spacing w:after="0"/>
              <w:rPr>
                <w:sz w:val="20"/>
                <w:szCs w:val="20"/>
                <w:color w:val="auto"/>
              </w:rPr>
            </w:pPr>
            <w:r>
              <w:rPr>
                <w:rFonts w:ascii="Arial" w:cs="Arial" w:eastAsia="Arial" w:hAnsi="Arial"/>
                <w:sz w:val="18"/>
                <w:szCs w:val="18"/>
                <w:b w:val="1"/>
                <w:bCs w:val="1"/>
                <w:color w:val="auto"/>
              </w:rPr>
              <w:t>EUR</w:t>
            </w:r>
          </w:p>
        </w:tc>
      </w:tr>
      <w:tr>
        <w:trPr>
          <w:trHeight w:val="22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20" w:type="dxa"/>
            <w:vAlign w:val="bottom"/>
            <w:shd w:val="clear" w:color="auto" w:fill="CCEEFF"/>
          </w:tcPr>
          <w:p>
            <w:pPr>
              <w:spacing w:after="0"/>
              <w:rPr>
                <w:sz w:val="19"/>
                <w:szCs w:val="19"/>
                <w:color w:val="auto"/>
              </w:rPr>
            </w:pPr>
          </w:p>
        </w:tc>
        <w:tc>
          <w:tcPr>
            <w:tcW w:w="29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26.5</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3820" w:type="dxa"/>
            <w:vAlign w:val="bottom"/>
          </w:tcPr>
          <w:p>
            <w:pPr>
              <w:ind w:left="20"/>
              <w:spacing w:after="0"/>
              <w:rPr>
                <w:sz w:val="20"/>
                <w:szCs w:val="20"/>
                <w:color w:val="auto"/>
              </w:rPr>
            </w:pPr>
            <w:r>
              <w:rPr>
                <w:rFonts w:ascii="Arial" w:cs="Arial" w:eastAsia="Arial" w:hAnsi="Arial"/>
                <w:sz w:val="18"/>
                <w:szCs w:val="18"/>
                <w:color w:val="auto"/>
              </w:rPr>
              <w:t>Yen</w:t>
            </w:r>
          </w:p>
        </w:tc>
        <w:tc>
          <w:tcPr>
            <w:tcW w:w="2400" w:type="dxa"/>
            <w:vAlign w:val="bottom"/>
          </w:tcPr>
          <w:p>
            <w:pPr>
              <w:jc w:val="right"/>
              <w:spacing w:after="0"/>
              <w:rPr>
                <w:sz w:val="20"/>
                <w:szCs w:val="20"/>
                <w:color w:val="auto"/>
              </w:rPr>
            </w:pPr>
            <w:r>
              <w:rPr>
                <w:rFonts w:ascii="Arial" w:cs="Arial" w:eastAsia="Arial" w:hAnsi="Arial"/>
                <w:sz w:val="18"/>
                <w:szCs w:val="18"/>
                <w:color w:val="auto"/>
              </w:rPr>
              <w:t>5,434.8</w:t>
            </w:r>
          </w:p>
        </w:tc>
        <w:tc>
          <w:tcPr>
            <w:tcW w:w="3080" w:type="dxa"/>
            <w:vAlign w:val="bottom"/>
            <w:gridSpan w:val="2"/>
          </w:tcPr>
          <w:p>
            <w:pPr>
              <w:jc w:val="right"/>
              <w:ind w:right="550"/>
              <w:spacing w:after="0"/>
              <w:rPr>
                <w:sz w:val="20"/>
                <w:szCs w:val="20"/>
                <w:color w:val="auto"/>
              </w:rPr>
            </w:pPr>
            <w:r>
              <w:rPr>
                <w:rFonts w:ascii="Arial" w:cs="Arial" w:eastAsia="Arial" w:hAnsi="Arial"/>
                <w:sz w:val="18"/>
                <w:szCs w:val="18"/>
                <w:color w:val="auto"/>
              </w:rPr>
              <w:t>30.0</w:t>
            </w:r>
          </w:p>
        </w:tc>
        <w:tc>
          <w:tcPr>
            <w:tcW w:w="182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43"/>
        </w:trPr>
        <w:tc>
          <w:tcPr>
            <w:tcW w:w="3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SGD</w:t>
            </w:r>
          </w:p>
        </w:tc>
        <w:tc>
          <w:tcPr>
            <w:tcW w:w="2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w:t>
            </w:r>
          </w:p>
        </w:tc>
        <w:tc>
          <w:tcPr>
            <w:tcW w:w="3080" w:type="dxa"/>
            <w:vAlign w:val="bottom"/>
            <w:gridSpan w:val="2"/>
            <w:shd w:val="clear" w:color="auto" w:fill="CCEEFF"/>
          </w:tcPr>
          <w:p>
            <w:pPr>
              <w:jc w:val="right"/>
              <w:ind w:right="550"/>
              <w:spacing w:after="0"/>
              <w:rPr>
                <w:sz w:val="20"/>
                <w:szCs w:val="20"/>
                <w:color w:val="auto"/>
              </w:rPr>
            </w:pPr>
            <w:r>
              <w:rPr>
                <w:rFonts w:ascii="Arial" w:cs="Arial" w:eastAsia="Arial" w:hAnsi="Arial"/>
                <w:sz w:val="18"/>
                <w:szCs w:val="18"/>
                <w:color w:val="auto"/>
              </w:rPr>
              <w:t>15.0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r>
    </w:tbl>
    <w:p>
      <w:pPr>
        <w:spacing w:after="0" w:line="31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In December 2019, we entered into a cross-currency swap for $90 million, which we designated as a hedge of our net investment in Daikyo. As of June 30, 2023, the notional amount of the cross-currency swap is ¥9.0 billion ($82.1 million) and the swap termination date is December 31, 2024. Under the cross-currency swap, we receive floating interest rate payments based on USD compounded Secured Overnight Financing Rate ("SOFR") plus a margin, in return for paying floating interest rate payments based on Japanese Yen (“Yen”) Tokyo Overnight Average Rate ("TONAR") plus a margin.</w:t>
      </w:r>
    </w:p>
    <w:p>
      <w:pPr>
        <w:spacing w:after="0" w:line="184" w:lineRule="exact"/>
        <w:rPr>
          <w:sz w:val="20"/>
          <w:szCs w:val="20"/>
          <w:color w:val="auto"/>
        </w:rPr>
      </w:pPr>
    </w:p>
    <w:p>
      <w:pPr>
        <w:ind w:right="120"/>
        <w:spacing w:after="0" w:line="286" w:lineRule="auto"/>
        <w:rPr>
          <w:sz w:val="20"/>
          <w:szCs w:val="20"/>
          <w:color w:val="auto"/>
        </w:rPr>
      </w:pPr>
      <w:r>
        <w:rPr>
          <w:rFonts w:ascii="Arial" w:cs="Arial" w:eastAsia="Arial" w:hAnsi="Arial"/>
          <w:sz w:val="17"/>
          <w:szCs w:val="17"/>
          <w:color w:val="auto"/>
        </w:rPr>
        <w:t>Additionally, we will periodically enter into forward exchange contracts to mitigate our exposure to fluctuating foreign exchange rates on assets and liabilities, other than the intercompany loans and demand notes referenced above, which are denominated in foreign currencies. The Company has elected not to designate these forward contracts in hedging relationships, and any change in the value of the contracts is recognized in income.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Commodity Price Risk</w:t>
      </w:r>
    </w:p>
    <w:p>
      <w:pPr>
        <w:spacing w:after="0" w:line="256"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Many of our proprietary products are made from synthetic elastomers, which are derived from the petroleum refining process. We purchase the majority of our elastomers via long-term supply contracts, some of which contain clauses that provide for surcharges related to fluctuations in crude oil prices. The following economic hedges did not qualify for hedge accounting treatment since they did not meet the highly effective requirement at inception.</w:t>
      </w:r>
    </w:p>
    <w:p>
      <w:pPr>
        <w:spacing w:after="0" w:line="17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From November 2017 through June 2023, we purchased several series of call options for a total of 943,274 barrels of crude oil to mitigate our exposure to such oil-based surcharges and protect operating cash flows with regard to a portion of our forecasted elastomer purchases.</w:t>
      </w:r>
    </w:p>
    <w:p>
      <w:pPr>
        <w:spacing w:after="0" w:line="19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As of June 30, 2023, we had outstanding contracts to purchase 241,491 barrels of crude oil from June 2023 to December 2024, at a weighted-average strike price of $99.01 per barrel.</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Effects of Derivative Instruments on Financial Position and Results of Operations</w:t>
      </w:r>
    </w:p>
    <w:p>
      <w:pPr>
        <w:spacing w:after="0" w:line="256"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 xml:space="preserve">Please refer to Note 10, </w:t>
      </w:r>
      <w:r>
        <w:rPr>
          <w:rFonts w:ascii="Arial" w:cs="Arial" w:eastAsia="Arial" w:hAnsi="Arial"/>
          <w:sz w:val="18"/>
          <w:szCs w:val="18"/>
          <w:i w:val="1"/>
          <w:iCs w:val="1"/>
          <w:u w:val="single" w:color="auto"/>
          <w:color w:val="0000FF"/>
        </w:rPr>
        <w:t>Fair Value Measurements</w:t>
      </w:r>
      <w:r>
        <w:rPr>
          <w:rFonts w:ascii="Arial" w:cs="Arial" w:eastAsia="Arial" w:hAnsi="Arial"/>
          <w:sz w:val="18"/>
          <w:szCs w:val="18"/>
          <w:color w:val="auto"/>
        </w:rPr>
        <w:t>, for the balance sheet location and fair values of our derivative instruments as of June 30, 2023 and December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13" w:name="page14"/>
    <w:bookmarkEnd w:id="1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summarizes the effects of derivative instruments designated as fair value hedges on the condensed consolidated statements of income:</w:t>
      </w:r>
    </w:p>
    <w:p>
      <w:pPr>
        <w:spacing w:after="0" w:line="4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20"/>
                <w:szCs w:val="20"/>
                <w:color w:val="auto"/>
              </w:rPr>
            </w:pPr>
          </w:p>
        </w:tc>
        <w:tc>
          <w:tcPr>
            <w:tcW w:w="2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84"/>
        </w:trPr>
        <w:tc>
          <w:tcPr>
            <w:tcW w:w="3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center"/>
              <w:ind w:right="30"/>
              <w:spacing w:after="0" w:line="184"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0" w:type="dxa"/>
            <w:vAlign w:val="bottom"/>
            <w:gridSpan w:val="4"/>
          </w:tcPr>
          <w:p>
            <w:pPr>
              <w:jc w:val="center"/>
              <w:ind w:right="50"/>
              <w:spacing w:after="0" w:line="184"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6"/>
                <w:szCs w:val="16"/>
                <w:color w:val="auto"/>
              </w:rPr>
            </w:pPr>
          </w:p>
        </w:tc>
        <w:tc>
          <w:tcPr>
            <w:tcW w:w="278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2"/>
              </w:rPr>
              <w:t>Location on Statement of Income</w:t>
            </w:r>
          </w:p>
        </w:tc>
        <w:tc>
          <w:tcPr>
            <w:tcW w:w="0" w:type="dxa"/>
            <w:vAlign w:val="bottom"/>
          </w:tcPr>
          <w:p>
            <w:pPr>
              <w:spacing w:after="0"/>
              <w:rPr>
                <w:sz w:val="1"/>
                <w:szCs w:val="1"/>
                <w:color w:val="auto"/>
              </w:rPr>
            </w:pPr>
          </w:p>
        </w:tc>
      </w:tr>
      <w:tr>
        <w:trPr>
          <w:trHeight w:val="229"/>
        </w:trPr>
        <w:tc>
          <w:tcPr>
            <w:tcW w:w="31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7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7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3180" w:type="dxa"/>
            <w:vAlign w:val="bottom"/>
          </w:tcPr>
          <w:p>
            <w:pPr>
              <w:ind w:left="20"/>
              <w:spacing w:after="0"/>
              <w:rPr>
                <w:sz w:val="20"/>
                <w:szCs w:val="20"/>
                <w:color w:val="auto"/>
              </w:rPr>
            </w:pPr>
            <w:r>
              <w:rPr>
                <w:rFonts w:ascii="Arial" w:cs="Arial" w:eastAsia="Arial" w:hAnsi="Arial"/>
                <w:sz w:val="18"/>
                <w:szCs w:val="18"/>
                <w:color w:val="auto"/>
              </w:rPr>
              <w:t>Hedged item (intercompany loan)</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center"/>
              <w:ind w:left="610"/>
              <w:spacing w:after="0"/>
              <w:rPr>
                <w:sz w:val="20"/>
                <w:szCs w:val="20"/>
                <w:color w:val="auto"/>
              </w:rPr>
            </w:pPr>
            <w:r>
              <w:rPr>
                <w:rFonts w:ascii="Arial" w:cs="Arial" w:eastAsia="Arial" w:hAnsi="Arial"/>
                <w:sz w:val="18"/>
                <w:szCs w:val="18"/>
                <w:color w:val="auto"/>
                <w:w w:val="87"/>
              </w:rPr>
              <w:t>7.4</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9.9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0"/>
                <w:szCs w:val="20"/>
                <w:color w:val="auto"/>
              </w:rPr>
            </w:pPr>
          </w:p>
        </w:tc>
        <w:tc>
          <w:tcPr>
            <w:tcW w:w="278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182"/>
        </w:trPr>
        <w:tc>
          <w:tcPr>
            <w:tcW w:w="31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Derivative designated as hedging</w:t>
            </w: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center"/>
              <w:ind w:left="590"/>
              <w:spacing w:after="0"/>
              <w:rPr>
                <w:sz w:val="20"/>
                <w:szCs w:val="20"/>
                <w:color w:val="auto"/>
              </w:rPr>
            </w:pPr>
            <w:r>
              <w:rPr>
                <w:rFonts w:ascii="Arial" w:cs="Arial" w:eastAsia="Arial" w:hAnsi="Arial"/>
                <w:sz w:val="18"/>
                <w:szCs w:val="18"/>
                <w:color w:val="auto"/>
                <w:w w:val="97"/>
              </w:rPr>
              <w:t>(8.2)</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11.7</w:t>
            </w:r>
          </w:p>
        </w:tc>
        <w:tc>
          <w:tcPr>
            <w:tcW w:w="1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12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21.3</w:t>
            </w:r>
          </w:p>
        </w:tc>
        <w:tc>
          <w:tcPr>
            <w:tcW w:w="120" w:type="dxa"/>
            <w:vAlign w:val="bottom"/>
            <w:shd w:val="clear" w:color="auto" w:fill="CCEEFF"/>
          </w:tcPr>
          <w:p>
            <w:pPr>
              <w:spacing w:after="0"/>
              <w:rPr>
                <w:sz w:val="15"/>
                <w:szCs w:val="15"/>
                <w:color w:val="auto"/>
              </w:rPr>
            </w:pPr>
          </w:p>
        </w:tc>
        <w:tc>
          <w:tcPr>
            <w:tcW w:w="278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29"/>
        </w:trPr>
        <w:tc>
          <w:tcPr>
            <w:tcW w:w="3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instrument</w:t>
            </w: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7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80" w:type="dxa"/>
            <w:vAlign w:val="bottom"/>
          </w:tcPr>
          <w:p>
            <w:pPr>
              <w:ind w:left="20"/>
              <w:spacing w:after="0" w:line="189" w:lineRule="exact"/>
              <w:rPr>
                <w:sz w:val="20"/>
                <w:szCs w:val="20"/>
                <w:color w:val="auto"/>
              </w:rPr>
            </w:pPr>
            <w:r>
              <w:rPr>
                <w:rFonts w:ascii="Arial" w:cs="Arial" w:eastAsia="Arial" w:hAnsi="Arial"/>
                <w:sz w:val="18"/>
                <w:szCs w:val="18"/>
                <w:color w:val="auto"/>
              </w:rPr>
              <w:t>Amount excluded from effectiveness</w:t>
            </w:r>
          </w:p>
        </w:tc>
        <w:tc>
          <w:tcPr>
            <w:tcW w:w="120" w:type="dxa"/>
            <w:vAlign w:val="bottom"/>
          </w:tcPr>
          <w:p>
            <w:pPr>
              <w:spacing w:after="0"/>
              <w:rPr>
                <w:sz w:val="16"/>
                <w:szCs w:val="16"/>
                <w:color w:val="auto"/>
              </w:rPr>
            </w:pPr>
          </w:p>
        </w:tc>
        <w:tc>
          <w:tcPr>
            <w:tcW w:w="1080" w:type="dxa"/>
            <w:vAlign w:val="bottom"/>
            <w:vMerge w:val="restart"/>
          </w:tcPr>
          <w:p>
            <w:pPr>
              <w:jc w:val="center"/>
              <w:ind w:left="590"/>
              <w:spacing w:after="0"/>
              <w:rPr>
                <w:sz w:val="20"/>
                <w:szCs w:val="20"/>
                <w:color w:val="auto"/>
              </w:rPr>
            </w:pPr>
            <w:r>
              <w:rPr>
                <w:rFonts w:ascii="Arial" w:cs="Arial" w:eastAsia="Arial" w:hAnsi="Arial"/>
                <w:sz w:val="18"/>
                <w:szCs w:val="18"/>
                <w:color w:val="auto"/>
                <w:w w:val="97"/>
              </w:rPr>
              <w:t>(0.1)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6"/>
                <w:szCs w:val="16"/>
                <w:color w:val="auto"/>
              </w:rPr>
            </w:pPr>
          </w:p>
        </w:tc>
        <w:tc>
          <w:tcPr>
            <w:tcW w:w="2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testing</w:t>
            </w: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590"/>
              <w:spacing w:after="0"/>
              <w:rPr>
                <w:sz w:val="20"/>
                <w:szCs w:val="20"/>
                <w:color w:val="auto"/>
              </w:rPr>
            </w:pPr>
            <w:r>
              <w:rPr>
                <w:rFonts w:ascii="Arial" w:cs="Arial" w:eastAsia="Arial" w:hAnsi="Arial"/>
                <w:sz w:val="18"/>
                <w:szCs w:val="18"/>
                <w:color w:val="auto"/>
                <w:w w:val="97"/>
              </w:rPr>
              <w:t>(0.9)</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27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7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recognize in earnings the initial value of forward point components for hedges of intercompany loans on a straight-line basis over the life of the fair value hedge. The value of forward point components for hedges of intercompany demand notes is recognized currently in earnings using a market approach. The amounts recognized in earnings, pre-tax, for forward point components for the three and six months ended June 30, 2023 and 2022 were $0.2 million, $1.4 million, and $0.9 million, $1.7 million, respectively.</w:t>
      </w:r>
    </w:p>
    <w:p>
      <w:pPr>
        <w:spacing w:after="0" w:line="21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summarize the effects of derivative instruments designated as fair value, cash flow, and net investment hedges on other comprehensive income (“OCI”) and earnings, net of tax:</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1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center"/>
              <w:ind w:right="90"/>
              <w:spacing w:after="0" w:line="181" w:lineRule="exact"/>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5"/>
                <w:szCs w:val="15"/>
                <w:color w:val="auto"/>
              </w:rPr>
            </w:pPr>
          </w:p>
        </w:tc>
        <w:tc>
          <w:tcPr>
            <w:tcW w:w="2560" w:type="dxa"/>
            <w:vAlign w:val="bottom"/>
            <w:gridSpan w:val="5"/>
          </w:tcPr>
          <w:p>
            <w:pPr>
              <w:jc w:val="center"/>
              <w:spacing w:after="0" w:line="181"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5"/>
                <w:szCs w:val="15"/>
                <w:color w:val="auto"/>
              </w:rPr>
            </w:pPr>
          </w:p>
        </w:tc>
        <w:tc>
          <w:tcPr>
            <w:tcW w:w="28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Recognized in OCI for the</w:t>
            </w:r>
          </w:p>
        </w:tc>
        <w:tc>
          <w:tcPr>
            <w:tcW w:w="120" w:type="dxa"/>
            <w:vAlign w:val="bottom"/>
          </w:tcPr>
          <w:p>
            <w:pPr>
              <w:spacing w:after="0"/>
              <w:rPr>
                <w:sz w:val="21"/>
                <w:szCs w:val="21"/>
                <w:color w:val="auto"/>
              </w:rPr>
            </w:pPr>
          </w:p>
        </w:tc>
        <w:tc>
          <w:tcPr>
            <w:tcW w:w="2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OCI into Income for the</w:t>
            </w: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0" w:type="dxa"/>
            <w:vAlign w:val="bottom"/>
          </w:tcPr>
          <w:p>
            <w:pPr>
              <w:spacing w:after="0"/>
              <w:rPr>
                <w:sz w:val="1"/>
                <w:szCs w:val="1"/>
                <w:color w:val="auto"/>
              </w:rPr>
            </w:pPr>
          </w:p>
        </w:tc>
      </w:tr>
      <w:tr>
        <w:trPr>
          <w:trHeight w:val="175"/>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center"/>
              <w:ind w:right="9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2180" w:type="dxa"/>
            <w:vAlign w:val="bottom"/>
            <w:gridSpan w:val="4"/>
          </w:tcPr>
          <w:p>
            <w:pPr>
              <w:jc w:val="center"/>
              <w:ind w:left="290"/>
              <w:spacing w:after="0" w:line="176" w:lineRule="exact"/>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Reclassified from Accumulated</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6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6"/>
              </w:rPr>
              <w:t>(1.2)</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5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(1.2)</w:t>
            </w:r>
          </w:p>
        </w:tc>
        <w:tc>
          <w:tcPr>
            <w:tcW w:w="120" w:type="dxa"/>
            <w:vAlign w:val="bottom"/>
            <w:shd w:val="clear" w:color="auto" w:fill="CCEEFF"/>
          </w:tcPr>
          <w:p>
            <w:pPr>
              <w:spacing w:after="0"/>
              <w:rPr>
                <w:sz w:val="22"/>
                <w:szCs w:val="22"/>
                <w:color w:val="auto"/>
              </w:rPr>
            </w:pPr>
          </w:p>
        </w:tc>
        <w:tc>
          <w:tcPr>
            <w:tcW w:w="28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080" w:type="dxa"/>
            <w:vAlign w:val="bottom"/>
            <w:vMerge w:val="continue"/>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(0.3)</w:t>
            </w: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7"/>
        </w:trPr>
        <w:tc>
          <w:tcPr>
            <w:tcW w:w="308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6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6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5.6</w:t>
            </w:r>
          </w:p>
        </w:tc>
        <w:tc>
          <w:tcPr>
            <w:tcW w:w="9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4" w:name="page15"/>
    <w:bookmarkEnd w:id="1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340" w:type="dxa"/>
            <w:vAlign w:val="bottom"/>
            <w:gridSpan w:val="4"/>
            <w:vMerge w:val="restart"/>
          </w:tcPr>
          <w:p>
            <w:pPr>
              <w:jc w:val="center"/>
              <w:ind w:right="9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7"/>
                <w:szCs w:val="17"/>
                <w:color w:val="auto"/>
              </w:rPr>
            </w:pPr>
          </w:p>
        </w:tc>
        <w:tc>
          <w:tcPr>
            <w:tcW w:w="2180" w:type="dxa"/>
            <w:vAlign w:val="bottom"/>
            <w:gridSpan w:val="4"/>
          </w:tcPr>
          <w:p>
            <w:pPr>
              <w:jc w:val="center"/>
              <w:ind w:left="290"/>
              <w:spacing w:after="0"/>
              <w:rPr>
                <w:sz w:val="20"/>
                <w:szCs w:val="20"/>
                <w:color w:val="auto"/>
              </w:rPr>
            </w:pPr>
            <w:r>
              <w:rPr>
                <w:rFonts w:ascii="Arial" w:cs="Arial" w:eastAsia="Arial" w:hAnsi="Arial"/>
                <w:sz w:val="18"/>
                <w:szCs w:val="18"/>
                <w:b w:val="1"/>
                <w:bCs w:val="1"/>
                <w:color w:val="auto"/>
                <w:w w:val="90"/>
              </w:rPr>
              <w:t>Amount of (Gain) Loss</w:t>
            </w:r>
          </w:p>
        </w:tc>
        <w:tc>
          <w:tcPr>
            <w:tcW w:w="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30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340" w:type="dxa"/>
            <w:vAlign w:val="bottom"/>
            <w:gridSpan w:val="4"/>
            <w:vMerge w:val="continue"/>
          </w:tcPr>
          <w:p>
            <w:pPr>
              <w:spacing w:after="0"/>
              <w:rPr>
                <w:sz w:val="16"/>
                <w:szCs w:val="16"/>
                <w:color w:val="auto"/>
              </w:rPr>
            </w:pPr>
          </w:p>
        </w:tc>
        <w:tc>
          <w:tcPr>
            <w:tcW w:w="120" w:type="dxa"/>
            <w:vAlign w:val="bottom"/>
          </w:tcPr>
          <w:p>
            <w:pPr>
              <w:spacing w:after="0"/>
              <w:rPr>
                <w:sz w:val="16"/>
                <w:szCs w:val="16"/>
                <w:color w:val="auto"/>
              </w:rPr>
            </w:pPr>
          </w:p>
        </w:tc>
        <w:tc>
          <w:tcPr>
            <w:tcW w:w="2560" w:type="dxa"/>
            <w:vAlign w:val="bottom"/>
            <w:gridSpan w:val="5"/>
          </w:tcPr>
          <w:p>
            <w:pPr>
              <w:jc w:val="center"/>
              <w:spacing w:after="0" w:line="184" w:lineRule="exact"/>
              <w:rPr>
                <w:sz w:val="20"/>
                <w:szCs w:val="20"/>
                <w:color w:val="auto"/>
              </w:rPr>
            </w:pPr>
            <w:r>
              <w:rPr>
                <w:rFonts w:ascii="Arial" w:cs="Arial" w:eastAsia="Arial" w:hAnsi="Arial"/>
                <w:sz w:val="18"/>
                <w:szCs w:val="18"/>
                <w:b w:val="1"/>
                <w:bCs w:val="1"/>
                <w:color w:val="auto"/>
                <w:w w:val="89"/>
              </w:rPr>
              <w:t>Reclassified from Accumulated</w:t>
            </w:r>
          </w:p>
        </w:tc>
        <w:tc>
          <w:tcPr>
            <w:tcW w:w="120" w:type="dxa"/>
            <w:vAlign w:val="bottom"/>
          </w:tcPr>
          <w:p>
            <w:pPr>
              <w:spacing w:after="0"/>
              <w:rPr>
                <w:sz w:val="16"/>
                <w:szCs w:val="16"/>
                <w:color w:val="auto"/>
              </w:rPr>
            </w:pPr>
          </w:p>
        </w:tc>
        <w:tc>
          <w:tcPr>
            <w:tcW w:w="2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0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2340" w:type="dxa"/>
            <w:vAlign w:val="bottom"/>
            <w:gridSpan w:val="4"/>
          </w:tcPr>
          <w:p>
            <w:pPr>
              <w:jc w:val="center"/>
              <w:ind w:right="70"/>
              <w:spacing w:after="0"/>
              <w:rPr>
                <w:sz w:val="20"/>
                <w:szCs w:val="20"/>
                <w:color w:val="auto"/>
              </w:rPr>
            </w:pPr>
            <w:r>
              <w:rPr>
                <w:rFonts w:ascii="Arial" w:cs="Arial" w:eastAsia="Arial" w:hAnsi="Arial"/>
                <w:sz w:val="18"/>
                <w:szCs w:val="18"/>
                <w:b w:val="1"/>
                <w:bCs w:val="1"/>
                <w:color w:val="auto"/>
                <w:w w:val="91"/>
              </w:rPr>
              <w:t>Recognized in OCI for the</w:t>
            </w:r>
          </w:p>
        </w:tc>
        <w:tc>
          <w:tcPr>
            <w:tcW w:w="120" w:type="dxa"/>
            <w:vAlign w:val="bottom"/>
          </w:tcPr>
          <w:p>
            <w:pPr>
              <w:spacing w:after="0"/>
              <w:rPr>
                <w:sz w:val="21"/>
                <w:szCs w:val="21"/>
                <w:color w:val="auto"/>
              </w:rPr>
            </w:pPr>
          </w:p>
        </w:tc>
        <w:tc>
          <w:tcPr>
            <w:tcW w:w="2560" w:type="dxa"/>
            <w:vAlign w:val="bottom"/>
            <w:gridSpan w:val="5"/>
          </w:tcPr>
          <w:p>
            <w:pPr>
              <w:jc w:val="center"/>
              <w:spacing w:after="0"/>
              <w:rPr>
                <w:sz w:val="20"/>
                <w:szCs w:val="20"/>
                <w:color w:val="auto"/>
              </w:rPr>
            </w:pPr>
            <w:r>
              <w:rPr>
                <w:rFonts w:ascii="Arial" w:cs="Arial" w:eastAsia="Arial" w:hAnsi="Arial"/>
                <w:sz w:val="18"/>
                <w:szCs w:val="18"/>
                <w:b w:val="1"/>
                <w:bCs w:val="1"/>
                <w:color w:val="auto"/>
                <w:w w:val="92"/>
              </w:rPr>
              <w:t>OCI into Income for the</w:t>
            </w:r>
          </w:p>
        </w:tc>
        <w:tc>
          <w:tcPr>
            <w:tcW w:w="120" w:type="dxa"/>
            <w:vAlign w:val="bottom"/>
          </w:tcPr>
          <w:p>
            <w:pPr>
              <w:spacing w:after="0"/>
              <w:rPr>
                <w:sz w:val="21"/>
                <w:szCs w:val="21"/>
                <w:color w:val="auto"/>
              </w:rPr>
            </w:pP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90"/>
              </w:rPr>
              <w:t>Location of (Gain) Loss</w:t>
            </w:r>
          </w:p>
        </w:tc>
        <w:tc>
          <w:tcPr>
            <w:tcW w:w="0" w:type="dxa"/>
            <w:vAlign w:val="bottom"/>
          </w:tcPr>
          <w:p>
            <w:pPr>
              <w:spacing w:after="0"/>
              <w:rPr>
                <w:sz w:val="1"/>
                <w:szCs w:val="1"/>
                <w:color w:val="auto"/>
              </w:rPr>
            </w:pPr>
          </w:p>
        </w:tc>
      </w:tr>
      <w:tr>
        <w:trPr>
          <w:trHeight w:val="176"/>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340" w:type="dxa"/>
            <w:vAlign w:val="bottom"/>
            <w:gridSpan w:val="4"/>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5"/>
                <w:szCs w:val="15"/>
                <w:color w:val="auto"/>
              </w:rPr>
            </w:pPr>
          </w:p>
        </w:tc>
        <w:tc>
          <w:tcPr>
            <w:tcW w:w="2180" w:type="dxa"/>
            <w:vAlign w:val="bottom"/>
            <w:gridSpan w:val="4"/>
          </w:tcPr>
          <w:p>
            <w:pPr>
              <w:jc w:val="center"/>
              <w:ind w:left="310"/>
              <w:spacing w:after="0" w:line="176" w:lineRule="exact"/>
              <w:rPr>
                <w:sz w:val="20"/>
                <w:szCs w:val="20"/>
                <w:color w:val="auto"/>
              </w:rPr>
            </w:pPr>
            <w:r>
              <w:rPr>
                <w:rFonts w:ascii="Arial" w:cs="Arial" w:eastAsia="Arial" w:hAnsi="Arial"/>
                <w:sz w:val="18"/>
                <w:szCs w:val="18"/>
                <w:b w:val="1"/>
                <w:bCs w:val="1"/>
                <w:color w:val="auto"/>
                <w:w w:val="90"/>
              </w:rPr>
              <w:t>Six Months Ended</w:t>
            </w: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Reclassified from Accumulated</w:t>
            </w:r>
          </w:p>
        </w:tc>
        <w:tc>
          <w:tcPr>
            <w:tcW w:w="0" w:type="dxa"/>
            <w:vAlign w:val="bottom"/>
          </w:tcPr>
          <w:p>
            <w:pPr>
              <w:spacing w:after="0"/>
              <w:rPr>
                <w:sz w:val="1"/>
                <w:szCs w:val="1"/>
                <w:color w:val="auto"/>
              </w:rPr>
            </w:pPr>
          </w:p>
        </w:tc>
      </w:tr>
      <w:tr>
        <w:trPr>
          <w:trHeight w:val="237"/>
        </w:trPr>
        <w:tc>
          <w:tcPr>
            <w:tcW w:w="30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gridSpan w:val="3"/>
          </w:tcPr>
          <w:p>
            <w:pPr>
              <w:jc w:val="center"/>
              <w:ind w:right="390"/>
              <w:spacing w:after="0"/>
              <w:rPr>
                <w:sz w:val="20"/>
                <w:szCs w:val="20"/>
                <w:color w:val="auto"/>
              </w:rPr>
            </w:pPr>
            <w:r>
              <w:rPr>
                <w:rFonts w:ascii="Arial" w:cs="Arial" w:eastAsia="Arial" w:hAnsi="Arial"/>
                <w:sz w:val="18"/>
                <w:szCs w:val="18"/>
                <w:b w:val="1"/>
                <w:bCs w:val="1"/>
                <w:color w:val="auto"/>
                <w:w w:val="88"/>
              </w:rPr>
              <w:t>June 30,</w:t>
            </w:r>
          </w:p>
        </w:tc>
        <w:tc>
          <w:tcPr>
            <w:tcW w:w="3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8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OCI into Income</w:t>
            </w: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60" w:type="dxa"/>
            <w:vAlign w:val="bottom"/>
          </w:tcPr>
          <w:p>
            <w:pPr>
              <w:spacing w:after="0"/>
              <w:rPr>
                <w:sz w:val="19"/>
                <w:szCs w:val="19"/>
                <w:color w:val="auto"/>
              </w:rPr>
            </w:pPr>
          </w:p>
        </w:tc>
        <w:tc>
          <w:tcPr>
            <w:tcW w:w="1020" w:type="dxa"/>
            <w:vAlign w:val="bottom"/>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b w:val="1"/>
                <w:bCs w:val="1"/>
                <w:color w:val="auto"/>
              </w:rPr>
              <w:t>2023</w:t>
            </w:r>
          </w:p>
        </w:tc>
        <w:tc>
          <w:tcPr>
            <w:tcW w:w="360" w:type="dxa"/>
            <w:vAlign w:val="bottom"/>
          </w:tcPr>
          <w:p>
            <w:pPr>
              <w:spacing w:after="0"/>
              <w:rPr>
                <w:sz w:val="19"/>
                <w:szCs w:val="19"/>
                <w:color w:val="auto"/>
              </w:rPr>
            </w:pP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2022</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Fair Value Hedges</w:t>
            </w:r>
          </w:p>
        </w:tc>
        <w:tc>
          <w:tcPr>
            <w:tcW w:w="160" w:type="dxa"/>
            <w:vAlign w:val="bottom"/>
            <w:tcBorders>
              <w:top w:val="single" w:sz="8" w:color="auto"/>
            </w:tcBorders>
            <w:shd w:val="clear" w:color="auto" w:fill="CCEEFF"/>
          </w:tcPr>
          <w:p>
            <w:pPr>
              <w:spacing w:after="0"/>
              <w:rPr>
                <w:sz w:val="19"/>
                <w:szCs w:val="19"/>
                <w:color w:val="auto"/>
              </w:rPr>
            </w:pPr>
          </w:p>
        </w:tc>
        <w:tc>
          <w:tcPr>
            <w:tcW w:w="10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8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800" w:type="dxa"/>
            <w:vAlign w:val="bottom"/>
            <w:tcBorders>
              <w:top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08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0.7</w:t>
            </w:r>
          </w:p>
        </w:tc>
        <w:tc>
          <w:tcPr>
            <w:tcW w:w="9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1.9</w:t>
            </w: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w w:val="86"/>
              </w:rPr>
              <w:t>(1.2)</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30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Cash Flow Hedges: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Foreign currency hedge contracts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9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96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(0.6)</w:t>
            </w:r>
          </w:p>
        </w:tc>
        <w:tc>
          <w:tcPr>
            <w:tcW w:w="120" w:type="dxa"/>
            <w:vAlign w:val="bottom"/>
            <w:shd w:val="clear" w:color="auto" w:fill="CCEEFF"/>
          </w:tcPr>
          <w:p>
            <w:pPr>
              <w:spacing w:after="0"/>
              <w:rPr>
                <w:sz w:val="20"/>
                <w:szCs w:val="20"/>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0"/>
        </w:trPr>
        <w:tc>
          <w:tcPr>
            <w:tcW w:w="3080" w:type="dxa"/>
            <w:vAlign w:val="bottom"/>
          </w:tcPr>
          <w:p>
            <w:pPr>
              <w:ind w:left="20"/>
              <w:spacing w:after="0"/>
              <w:rPr>
                <w:sz w:val="20"/>
                <w:szCs w:val="20"/>
                <w:color w:val="auto"/>
              </w:rPr>
            </w:pPr>
            <w:r>
              <w:rPr>
                <w:rFonts w:ascii="Arial" w:cs="Arial" w:eastAsia="Arial" w:hAnsi="Arial"/>
                <w:sz w:val="18"/>
                <w:szCs w:val="18"/>
                <w:color w:val="auto"/>
              </w:rPr>
              <w:t>Foreign currency hedge contracts</w:t>
            </w:r>
          </w:p>
        </w:tc>
        <w:tc>
          <w:tcPr>
            <w:tcW w:w="16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4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Forward treasury locks</w:t>
            </w:r>
          </w:p>
        </w:tc>
        <w:tc>
          <w:tcPr>
            <w:tcW w:w="160" w:type="dxa"/>
            <w:vAlign w:val="bottom"/>
            <w:tcBorders>
              <w:bottom w:val="single" w:sz="8" w:color="auto"/>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28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3080" w:type="dxa"/>
            <w:vAlign w:val="bottom"/>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79"/>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Cross-currency swap</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7.2</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8.9</w:t>
            </w:r>
          </w:p>
        </w:tc>
        <w:tc>
          <w:tcPr>
            <w:tcW w:w="98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280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3"/>
        </w:trPr>
        <w:tc>
          <w:tcPr>
            <w:tcW w:w="30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top w:val="single" w:sz="8" w:color="CCEEFF"/>
            </w:tcBorders>
            <w:shd w:val="clear" w:color="auto" w:fill="CCEEFF"/>
          </w:tcPr>
          <w:p>
            <w:pPr>
              <w:spacing w:after="0"/>
              <w:rPr>
                <w:sz w:val="21"/>
                <w:szCs w:val="21"/>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w:t>
            </w:r>
          </w:p>
        </w:tc>
        <w:tc>
          <w:tcPr>
            <w:tcW w:w="980" w:type="dxa"/>
            <w:vAlign w:val="bottom"/>
            <w:tcBorders>
              <w:top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tcBorders>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21"/>
                <w:szCs w:val="21"/>
                <w:color w:val="auto"/>
              </w:rPr>
            </w:pPr>
          </w:p>
        </w:tc>
        <w:tc>
          <w:tcPr>
            <w:tcW w:w="2800" w:type="dxa"/>
            <w:vAlign w:val="bottom"/>
            <w:tcBorders>
              <w:top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ind w:right="40"/>
        <w:spacing w:after="0" w:line="299" w:lineRule="auto"/>
        <w:rPr>
          <w:sz w:val="20"/>
          <w:szCs w:val="20"/>
          <w:color w:val="auto"/>
        </w:rPr>
      </w:pPr>
      <w:r>
        <w:rPr>
          <w:rFonts w:ascii="Arial" w:cs="Arial" w:eastAsia="Arial" w:hAnsi="Arial"/>
          <w:sz w:val="16"/>
          <w:szCs w:val="16"/>
          <w:color w:val="auto"/>
        </w:rPr>
        <w:t>Refer to the above table which summarizes the effects of derivative instruments designated as fair value hedges within the other expense (income) line in our condensed consolidated statements of income for the three and six months ended June 30, 2023 and June 30, 2022. The following table summarizes the effects of derivative instruments designated as cash flow and net investment hedges by line item in our condensed consolidated statements of income:</w:t>
      </w:r>
    </w:p>
    <w:tbl>
      <w:tblPr>
        <w:tblLayout w:type="fixed"/>
        <w:tblInd w:w="0" w:type="dxa"/>
        <w:tblCellMar>
          <w:top w:w="0" w:type="dxa"/>
          <w:left w:w="0" w:type="dxa"/>
          <w:bottom w:w="0" w:type="dxa"/>
          <w:right w:w="0" w:type="dxa"/>
        </w:tblCellMar>
      </w:tblPr>
      <w:tr>
        <w:trPr>
          <w:trHeight w:val="177"/>
        </w:trPr>
        <w:tc>
          <w:tcPr>
            <w:tcW w:w="4680" w:type="dxa"/>
            <w:vAlign w:val="bottom"/>
          </w:tcPr>
          <w:p>
            <w:pPr>
              <w:spacing w:after="0"/>
              <w:rPr>
                <w:sz w:val="15"/>
                <w:szCs w:val="15"/>
                <w:color w:val="auto"/>
              </w:rPr>
            </w:pPr>
          </w:p>
        </w:tc>
        <w:tc>
          <w:tcPr>
            <w:tcW w:w="2740" w:type="dxa"/>
            <w:vAlign w:val="bottom"/>
            <w:gridSpan w:val="4"/>
          </w:tcPr>
          <w:p>
            <w:pPr>
              <w:jc w:val="center"/>
              <w:ind w:left="410"/>
              <w:spacing w:after="0" w:line="177" w:lineRule="exact"/>
              <w:rPr>
                <w:sz w:val="20"/>
                <w:szCs w:val="20"/>
                <w:color w:val="auto"/>
              </w:rPr>
            </w:pPr>
            <w:r>
              <w:rPr>
                <w:rFonts w:ascii="Arial" w:cs="Arial" w:eastAsia="Arial" w:hAnsi="Arial"/>
                <w:sz w:val="18"/>
                <w:szCs w:val="18"/>
                <w:color w:val="auto"/>
                <w:w w:val="90"/>
              </w:rPr>
              <w:t>Three Months Ended</w:t>
            </w: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740" w:type="dxa"/>
            <w:vAlign w:val="bottom"/>
            <w:gridSpan w:val="4"/>
          </w:tcPr>
          <w:p>
            <w:pPr>
              <w:jc w:val="center"/>
              <w:ind w:left="390"/>
              <w:spacing w:after="0" w:line="177" w:lineRule="exact"/>
              <w:rPr>
                <w:sz w:val="20"/>
                <w:szCs w:val="20"/>
                <w:color w:val="auto"/>
              </w:rPr>
            </w:pPr>
            <w:r>
              <w:rPr>
                <w:rFonts w:ascii="Arial" w:cs="Arial" w:eastAsia="Arial" w:hAnsi="Arial"/>
                <w:sz w:val="18"/>
                <w:szCs w:val="18"/>
                <w:color w:val="auto"/>
                <w:w w:val="91"/>
              </w:rPr>
              <w:t>Six Months Ended</w:t>
            </w:r>
          </w:p>
        </w:tc>
        <w:tc>
          <w:tcPr>
            <w:tcW w:w="480" w:type="dxa"/>
            <w:vAlign w:val="bottom"/>
          </w:tcPr>
          <w:p>
            <w:pPr>
              <w:spacing w:after="0"/>
              <w:rPr>
                <w:sz w:val="15"/>
                <w:szCs w:val="15"/>
                <w:color w:val="auto"/>
              </w:rPr>
            </w:pPr>
          </w:p>
        </w:tc>
      </w:tr>
      <w:tr>
        <w:trPr>
          <w:trHeight w:val="230"/>
        </w:trPr>
        <w:tc>
          <w:tcPr>
            <w:tcW w:w="468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510"/>
              <w:spacing w:after="0"/>
              <w:rPr>
                <w:sz w:val="20"/>
                <w:szCs w:val="20"/>
                <w:color w:val="auto"/>
              </w:rPr>
            </w:pPr>
            <w:r>
              <w:rPr>
                <w:rFonts w:ascii="Arial" w:cs="Arial" w:eastAsia="Arial" w:hAnsi="Arial"/>
                <w:sz w:val="18"/>
                <w:szCs w:val="18"/>
                <w:color w:val="auto"/>
                <w:w w:val="86"/>
              </w:rPr>
              <w:t>June 30,</w:t>
            </w:r>
          </w:p>
        </w:tc>
        <w:tc>
          <w:tcPr>
            <w:tcW w:w="5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640" w:type="dxa"/>
            <w:vAlign w:val="bottom"/>
            <w:tcBorders>
              <w:bottom w:val="single" w:sz="8" w:color="auto"/>
            </w:tcBorders>
            <w:gridSpan w:val="3"/>
          </w:tcPr>
          <w:p>
            <w:pPr>
              <w:jc w:val="center"/>
              <w:ind w:right="550"/>
              <w:spacing w:after="0"/>
              <w:rPr>
                <w:sz w:val="20"/>
                <w:szCs w:val="20"/>
                <w:color w:val="auto"/>
              </w:rPr>
            </w:pPr>
            <w:r>
              <w:rPr>
                <w:rFonts w:ascii="Arial" w:cs="Arial" w:eastAsia="Arial" w:hAnsi="Arial"/>
                <w:sz w:val="18"/>
                <w:szCs w:val="18"/>
                <w:color w:val="auto"/>
                <w:w w:val="86"/>
              </w:rPr>
              <w:t>June 30,</w:t>
            </w:r>
          </w:p>
        </w:tc>
        <w:tc>
          <w:tcPr>
            <w:tcW w:w="480" w:type="dxa"/>
            <w:vAlign w:val="bottom"/>
            <w:tcBorders>
              <w:bottom w:val="single" w:sz="8" w:color="auto"/>
            </w:tcBorders>
          </w:tcPr>
          <w:p>
            <w:pPr>
              <w:spacing w:after="0"/>
              <w:rPr>
                <w:sz w:val="19"/>
                <w:szCs w:val="19"/>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0"/>
                <w:szCs w:val="20"/>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2022</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0"/>
                <w:szCs w:val="20"/>
                <w:color w:val="auto"/>
              </w:rPr>
            </w:pPr>
          </w:p>
        </w:tc>
        <w:tc>
          <w:tcPr>
            <w:tcW w:w="1180" w:type="dxa"/>
            <w:vAlign w:val="bottom"/>
            <w:gridSpan w:val="2"/>
          </w:tcPr>
          <w:p>
            <w:pPr>
              <w:jc w:val="right"/>
              <w:ind w:right="3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20"/>
                <w:szCs w:val="20"/>
                <w:color w:val="auto"/>
              </w:rPr>
            </w:pPr>
          </w:p>
        </w:tc>
      </w:tr>
      <w:tr>
        <w:trPr>
          <w:trHeight w:val="229"/>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top w:val="single" w:sz="8" w:color="CCEEFF"/>
            </w:tcBorders>
            <w:shd w:val="clear" w:color="auto" w:fill="CCEEFF"/>
          </w:tcPr>
          <w:p>
            <w:pPr>
              <w:spacing w:after="0"/>
              <w:rPr>
                <w:sz w:val="19"/>
                <w:szCs w:val="19"/>
                <w:color w:val="auto"/>
              </w:rPr>
            </w:pPr>
          </w:p>
        </w:tc>
        <w:tc>
          <w:tcPr>
            <w:tcW w:w="108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(0.6)</w:t>
            </w: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Cost of goods and services sold</w:t>
            </w: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1.5</w:t>
            </w:r>
          </w:p>
        </w:tc>
      </w:tr>
      <w:tr>
        <w:trPr>
          <w:trHeight w:val="24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0.1</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effects of derivative instruments not designated as hedges on the condensed consolidated statements of income:</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4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90"/>
              </w:rPr>
              <w:t>Amount of Gain (Loss)</w:t>
            </w:r>
          </w:p>
        </w:tc>
        <w:tc>
          <w:tcPr>
            <w:tcW w:w="120" w:type="dxa"/>
            <w:vAlign w:val="bottom"/>
          </w:tcPr>
          <w:p>
            <w:pPr>
              <w:spacing w:after="0"/>
              <w:rPr>
                <w:sz w:val="18"/>
                <w:szCs w:val="18"/>
                <w:color w:val="auto"/>
              </w:rPr>
            </w:pPr>
          </w:p>
        </w:tc>
        <w:tc>
          <w:tcPr>
            <w:tcW w:w="3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0" w:type="dxa"/>
            <w:vAlign w:val="bottom"/>
            <w:gridSpan w:val="4"/>
          </w:tcPr>
          <w:p>
            <w:pPr>
              <w:jc w:val="center"/>
              <w:ind w:right="30"/>
              <w:spacing w:after="0"/>
              <w:rPr>
                <w:sz w:val="20"/>
                <w:szCs w:val="20"/>
                <w:color w:val="auto"/>
              </w:rPr>
            </w:pPr>
            <w:r>
              <w:rPr>
                <w:rFonts w:ascii="Arial" w:cs="Arial" w:eastAsia="Arial" w:hAnsi="Arial"/>
                <w:sz w:val="18"/>
                <w:szCs w:val="18"/>
                <w:b w:val="1"/>
                <w:bCs w:val="1"/>
                <w:color w:val="auto"/>
                <w:w w:val="89"/>
              </w:rPr>
              <w:t>Recognized in Income for the</w:t>
            </w:r>
          </w:p>
        </w:tc>
        <w:tc>
          <w:tcPr>
            <w:tcW w:w="1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0"/>
        </w:trPr>
        <w:tc>
          <w:tcPr>
            <w:tcW w:w="24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center"/>
              <w:ind w:right="30"/>
              <w:spacing w:after="0" w:line="181" w:lineRule="exact"/>
              <w:rPr>
                <w:sz w:val="20"/>
                <w:szCs w:val="20"/>
                <w:color w:val="auto"/>
              </w:rPr>
            </w:pPr>
            <w:r>
              <w:rPr>
                <w:rFonts w:ascii="Arial" w:cs="Arial" w:eastAsia="Arial" w:hAnsi="Arial"/>
                <w:sz w:val="18"/>
                <w:szCs w:val="18"/>
                <w:b w:val="1"/>
                <w:bCs w:val="1"/>
                <w:color w:val="auto"/>
                <w:w w:val="92"/>
              </w:rPr>
              <w:t>Three Months Ended</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0" w:type="dxa"/>
            <w:vAlign w:val="bottom"/>
            <w:gridSpan w:val="4"/>
          </w:tcPr>
          <w:p>
            <w:pPr>
              <w:jc w:val="center"/>
              <w:ind w:right="50"/>
              <w:spacing w:after="0" w:line="181" w:lineRule="exact"/>
              <w:rPr>
                <w:sz w:val="20"/>
                <w:szCs w:val="20"/>
                <w:color w:val="auto"/>
              </w:rPr>
            </w:pPr>
            <w:r>
              <w:rPr>
                <w:rFonts w:ascii="Arial" w:cs="Arial" w:eastAsia="Arial" w:hAnsi="Arial"/>
                <w:sz w:val="18"/>
                <w:szCs w:val="18"/>
                <w:b w:val="1"/>
                <w:bCs w:val="1"/>
                <w:color w:val="auto"/>
                <w:w w:val="90"/>
              </w:rPr>
              <w:t>Six Months Ended</w:t>
            </w:r>
          </w:p>
        </w:tc>
        <w:tc>
          <w:tcPr>
            <w:tcW w:w="120" w:type="dxa"/>
            <w:vAlign w:val="bottom"/>
          </w:tcPr>
          <w:p>
            <w:pPr>
              <w:spacing w:after="0"/>
              <w:rPr>
                <w:sz w:val="15"/>
                <w:szCs w:val="15"/>
                <w:color w:val="auto"/>
              </w:rPr>
            </w:pPr>
          </w:p>
        </w:tc>
        <w:tc>
          <w:tcPr>
            <w:tcW w:w="3480" w:type="dxa"/>
            <w:vAlign w:val="bottom"/>
            <w:vMerge w:val="restart"/>
          </w:tcPr>
          <w:p>
            <w:pPr>
              <w:ind w:left="460"/>
              <w:spacing w:after="0"/>
              <w:rPr>
                <w:sz w:val="20"/>
                <w:szCs w:val="20"/>
                <w:color w:val="auto"/>
              </w:rPr>
            </w:pPr>
            <w:r>
              <w:rPr>
                <w:rFonts w:ascii="Arial" w:cs="Arial" w:eastAsia="Arial" w:hAnsi="Arial"/>
                <w:sz w:val="18"/>
                <w:szCs w:val="18"/>
                <w:b w:val="1"/>
                <w:bCs w:val="1"/>
                <w:color w:val="auto"/>
              </w:rPr>
              <w:t>Location on Statement of Income</w:t>
            </w:r>
          </w:p>
        </w:tc>
        <w:tc>
          <w:tcPr>
            <w:tcW w:w="0" w:type="dxa"/>
            <w:vAlign w:val="bottom"/>
          </w:tcPr>
          <w:p>
            <w:pPr>
              <w:spacing w:after="0"/>
              <w:rPr>
                <w:sz w:val="1"/>
                <w:szCs w:val="1"/>
                <w:color w:val="auto"/>
              </w:rPr>
            </w:pPr>
          </w:p>
        </w:tc>
      </w:tr>
      <w:tr>
        <w:trPr>
          <w:trHeight w:val="237"/>
        </w:trPr>
        <w:tc>
          <w:tcPr>
            <w:tcW w:w="24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3"/>
          </w:tcPr>
          <w:p>
            <w:pPr>
              <w:jc w:val="center"/>
              <w:ind w:left="650"/>
              <w:spacing w:after="0"/>
              <w:rPr>
                <w:sz w:val="20"/>
                <w:szCs w:val="20"/>
                <w:color w:val="auto"/>
              </w:rPr>
            </w:pPr>
            <w:r>
              <w:rPr>
                <w:rFonts w:ascii="Arial" w:cs="Arial" w:eastAsia="Arial" w:hAnsi="Arial"/>
                <w:sz w:val="18"/>
                <w:szCs w:val="18"/>
                <w:b w:val="1"/>
                <w:bCs w:val="1"/>
                <w:color w:val="auto"/>
                <w:w w:val="88"/>
              </w:rPr>
              <w:t>June 30,</w:t>
            </w:r>
          </w:p>
        </w:tc>
        <w:tc>
          <w:tcPr>
            <w:tcW w:w="8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8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120" w:type="dxa"/>
            <w:vAlign w:val="bottom"/>
            <w:tcBorders>
              <w:bottom w:val="single" w:sz="8" w:color="CCEEFF"/>
            </w:tcBorders>
          </w:tcPr>
          <w:p>
            <w:pPr>
              <w:spacing w:after="0"/>
              <w:rPr>
                <w:sz w:val="19"/>
                <w:szCs w:val="19"/>
                <w:color w:val="auto"/>
              </w:rPr>
            </w:pPr>
          </w:p>
        </w:tc>
        <w:tc>
          <w:tcPr>
            <w:tcW w:w="34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Commodity call options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shd w:val="clear" w:color="auto" w:fill="CCEEFF"/>
          </w:tcPr>
          <w:p>
            <w:pPr>
              <w:spacing w:after="0"/>
              <w:rPr>
                <w:sz w:val="19"/>
                <w:szCs w:val="19"/>
                <w:color w:val="auto"/>
              </w:rPr>
            </w:pPr>
          </w:p>
        </w:tc>
        <w:tc>
          <w:tcPr>
            <w:tcW w:w="3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3"/>
        </w:trPr>
        <w:tc>
          <w:tcPr>
            <w:tcW w:w="2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Currency forwards</w:t>
            </w: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3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8"/>
        </w:trPr>
        <w:tc>
          <w:tcPr>
            <w:tcW w:w="2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June 30, 2023 and 2022, there was no material ineffectiveness related to our hedges.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5" w:name="page16"/>
    <w:bookmarkEnd w:id="1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Fair Value Measurements</w:t>
      </w:r>
    </w:p>
    <w:p>
      <w:pPr>
        <w:spacing w:after="0" w:line="256"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(an exit price) in the principal or most advantageous market for the asset or liability in an orderly transaction between market participants on the measurement date. The following fair value hierarchy classifies the inputs to valuation techniques used to measure fair value into one of three levels:</w:t>
      </w:r>
    </w:p>
    <w:p>
      <w:pPr>
        <w:spacing w:after="0" w:line="211" w:lineRule="exact"/>
        <w:rPr>
          <w:sz w:val="20"/>
          <w:szCs w:val="20"/>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1</w:t>
      </w:r>
      <w:r>
        <w:rPr>
          <w:rFonts w:ascii="Arial" w:cs="Arial" w:eastAsia="Arial" w:hAnsi="Arial"/>
          <w:sz w:val="18"/>
          <w:szCs w:val="18"/>
          <w:color w:val="auto"/>
        </w:rPr>
        <w:t>: Unadjusted quoted prices in active markets for identical assets or liabilities.</w:t>
      </w:r>
    </w:p>
    <w:p>
      <w:pPr>
        <w:spacing w:after="0" w:line="117" w:lineRule="exact"/>
        <w:rPr>
          <w:rFonts w:ascii="Arial" w:cs="Arial" w:eastAsia="Arial" w:hAnsi="Arial"/>
          <w:sz w:val="18"/>
          <w:szCs w:val="18"/>
          <w:color w:val="auto"/>
        </w:rPr>
      </w:pPr>
    </w:p>
    <w:p>
      <w:pPr>
        <w:ind w:left="980" w:right="180" w:hanging="324"/>
        <w:spacing w:after="0" w:line="342" w:lineRule="auto"/>
        <w:tabs>
          <w:tab w:leader="none" w:pos="980" w:val="left"/>
        </w:tabs>
        <w:numPr>
          <w:ilvl w:val="0"/>
          <w:numId w:val="3"/>
        </w:numPr>
        <w:rPr>
          <w:rFonts w:ascii="Arial" w:cs="Arial" w:eastAsia="Arial" w:hAnsi="Arial"/>
          <w:sz w:val="16"/>
          <w:szCs w:val="16"/>
          <w:color w:val="auto"/>
        </w:rPr>
      </w:pPr>
      <w:r>
        <w:rPr>
          <w:rFonts w:ascii="Arial" w:cs="Arial" w:eastAsia="Arial" w:hAnsi="Arial"/>
          <w:sz w:val="16"/>
          <w:szCs w:val="16"/>
          <w:u w:val="single" w:color="auto"/>
          <w:color w:val="auto"/>
        </w:rPr>
        <w:t>Level 2</w:t>
      </w:r>
      <w:r>
        <w:rPr>
          <w:rFonts w:ascii="Arial" w:cs="Arial" w:eastAsia="Arial" w:hAnsi="Arial"/>
          <w:sz w:val="16"/>
          <w:szCs w:val="16"/>
          <w:color w:val="auto"/>
        </w:rPr>
        <w:t>: Inputs other than quoted prices that are observable for the asset or liability, either directly or indirectly. These include quoted prices for similar assets or liabilities in active markets and quoted prices for identical or similar assets or liabilities in markets that are not active.</w:t>
      </w:r>
    </w:p>
    <w:p>
      <w:pPr>
        <w:spacing w:after="0" w:line="15" w:lineRule="exact"/>
        <w:rPr>
          <w:rFonts w:ascii="Arial" w:cs="Arial" w:eastAsia="Arial" w:hAnsi="Arial"/>
          <w:sz w:val="16"/>
          <w:szCs w:val="16"/>
          <w:color w:val="auto"/>
        </w:rPr>
      </w:pPr>
    </w:p>
    <w:p>
      <w:pPr>
        <w:ind w:left="980" w:hanging="324"/>
        <w:spacing w:after="0"/>
        <w:tabs>
          <w:tab w:leader="none" w:pos="98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Level 3</w:t>
      </w:r>
      <w:r>
        <w:rPr>
          <w:rFonts w:ascii="Arial" w:cs="Arial" w:eastAsia="Arial" w:hAnsi="Arial"/>
          <w:sz w:val="18"/>
          <w:szCs w:val="18"/>
          <w:color w:val="auto"/>
        </w:rPr>
        <w:t>: Unobservable inputs that reflect the reporting entity’s own assumptions.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40" w:type="dxa"/>
            <w:vAlign w:val="bottom"/>
            <w:gridSpan w:val="10"/>
          </w:tcPr>
          <w:p>
            <w:pPr>
              <w:spacing w:after="0"/>
              <w:rPr>
                <w:sz w:val="20"/>
                <w:szCs w:val="20"/>
                <w:color w:val="auto"/>
              </w:rPr>
            </w:pPr>
            <w:r>
              <w:rPr>
                <w:rFonts w:ascii="Arial" w:cs="Arial" w:eastAsia="Arial" w:hAnsi="Arial"/>
                <w:sz w:val="18"/>
                <w:szCs w:val="18"/>
                <w:color w:val="auto"/>
                <w:w w:val="97"/>
              </w:rPr>
              <w:t>The following tables present the assets and liabilities recorded at fair value on a recurring basis:</w:t>
            </w: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38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Balance at</w:t>
            </w:r>
          </w:p>
        </w:tc>
        <w:tc>
          <w:tcPr>
            <w:tcW w:w="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27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8"/>
              </w:rPr>
              <w:t>Basis of Fair Value Measurements</w:t>
            </w:r>
          </w:p>
        </w:tc>
        <w:tc>
          <w:tcPr>
            <w:tcW w:w="110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80" w:type="dxa"/>
            <w:vAlign w:val="bottom"/>
            <w:gridSpan w:val="3"/>
          </w:tcPr>
          <w:p>
            <w:pPr>
              <w:jc w:val="center"/>
              <w:ind w:right="320"/>
              <w:spacing w:after="0" w:line="169" w:lineRule="exact"/>
              <w:rPr>
                <w:sz w:val="20"/>
                <w:szCs w:val="20"/>
                <w:color w:val="auto"/>
              </w:rPr>
            </w:pPr>
            <w:r>
              <w:rPr>
                <w:rFonts w:ascii="Arial" w:cs="Arial" w:eastAsia="Arial" w:hAnsi="Arial"/>
                <w:sz w:val="18"/>
                <w:szCs w:val="18"/>
                <w:color w:val="auto"/>
                <w:w w:val="86"/>
              </w:rPr>
              <w:t>June 30,</w:t>
            </w: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 in millions)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Level 1</w:t>
            </w:r>
          </w:p>
        </w:tc>
        <w:tc>
          <w:tcPr>
            <w:tcW w:w="440" w:type="dxa"/>
            <w:vAlign w:val="bottom"/>
            <w:tcBorders>
              <w:bottom w:val="single" w:sz="8" w:color="auto"/>
            </w:tcBorders>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left="350"/>
              <w:spacing w:after="0"/>
              <w:rPr>
                <w:sz w:val="20"/>
                <w:szCs w:val="20"/>
                <w:color w:val="auto"/>
              </w:rPr>
            </w:pPr>
            <w:r>
              <w:rPr>
                <w:rFonts w:ascii="Arial" w:cs="Arial" w:eastAsia="Arial" w:hAnsi="Arial"/>
                <w:sz w:val="18"/>
                <w:szCs w:val="18"/>
                <w:color w:val="auto"/>
                <w:w w:val="92"/>
              </w:rPr>
              <w:t>Level 2</w:t>
            </w: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11.1</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1240" w:type="dxa"/>
            <w:vAlign w:val="bottom"/>
            <w:gridSpan w:val="4"/>
          </w:tcPr>
          <w:p>
            <w:pPr>
              <w:jc w:val="right"/>
              <w:ind w:right="9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20.1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20.1</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tcBorders>
              <w:bottom w:val="single" w:sz="8" w:color="CCEEFF"/>
            </w:tcBorders>
            <w:shd w:val="clear" w:color="auto" w:fill="CCEEFF"/>
          </w:tcPr>
          <w:p>
            <w:pPr>
              <w:spacing w:after="0"/>
              <w:rPr>
                <w:sz w:val="20"/>
                <w:szCs w:val="20"/>
                <w:color w:val="auto"/>
              </w:rPr>
            </w:pPr>
          </w:p>
        </w:tc>
        <w:tc>
          <w:tcPr>
            <w:tcW w:w="462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11.1</w:t>
            </w:r>
          </w:p>
        </w:tc>
        <w:tc>
          <w:tcPr>
            <w:tcW w:w="1240" w:type="dxa"/>
            <w:vAlign w:val="bottom"/>
            <w:gridSpan w:val="4"/>
          </w:tcPr>
          <w:p>
            <w:pPr>
              <w:jc w:val="right"/>
              <w:ind w:right="9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w w:val="96"/>
              </w:rPr>
              <w:t>25.8</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9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7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20.8</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20.8</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gridSpan w:val="2"/>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3"/>
          </w:tcPr>
          <w:p>
            <w:pPr>
              <w:jc w:val="center"/>
              <w:ind w:right="320"/>
              <w:spacing w:after="0"/>
              <w:rPr>
                <w:sz w:val="20"/>
                <w:szCs w:val="20"/>
                <w:color w:val="auto"/>
              </w:rPr>
            </w:pPr>
            <w:r>
              <w:rPr>
                <w:rFonts w:ascii="Arial" w:cs="Arial" w:eastAsia="Arial" w:hAnsi="Arial"/>
                <w:sz w:val="18"/>
                <w:szCs w:val="18"/>
                <w:color w:val="auto"/>
                <w:w w:val="89"/>
              </w:rPr>
              <w:t>Balance at</w:t>
            </w:r>
          </w:p>
        </w:tc>
        <w:tc>
          <w:tcPr>
            <w:tcW w:w="20" w:type="dxa"/>
            <w:vAlign w:val="bottom"/>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700" w:type="dxa"/>
            <w:vAlign w:val="bottom"/>
            <w:tcBorders>
              <w:bottom w:val="single" w:sz="8" w:color="auto"/>
            </w:tcBorders>
            <w:gridSpan w:val="8"/>
          </w:tcPr>
          <w:p>
            <w:pPr>
              <w:jc w:val="center"/>
              <w:spacing w:after="0"/>
              <w:rPr>
                <w:sz w:val="20"/>
                <w:szCs w:val="20"/>
                <w:color w:val="auto"/>
              </w:rPr>
            </w:pPr>
            <w:r>
              <w:rPr>
                <w:rFonts w:ascii="Arial" w:cs="Arial" w:eastAsia="Arial" w:hAnsi="Arial"/>
                <w:sz w:val="18"/>
                <w:szCs w:val="18"/>
                <w:b w:val="1"/>
                <w:bCs w:val="1"/>
                <w:color w:val="auto"/>
                <w:w w:val="89"/>
              </w:rPr>
              <w:t>Basis of Fair Value Measurements</w:t>
            </w: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4620" w:type="dxa"/>
            <w:vAlign w:val="bottom"/>
            <w:gridSpan w:val="3"/>
            <w:vMerge w:val="restart"/>
          </w:tcPr>
          <w:p>
            <w:pPr>
              <w:spacing w:after="0"/>
              <w:rPr>
                <w:sz w:val="20"/>
                <w:szCs w:val="20"/>
                <w:color w:val="auto"/>
              </w:rPr>
            </w:pPr>
            <w:r>
              <w:rPr>
                <w:rFonts w:ascii="Arial" w:cs="Arial" w:eastAsia="Arial" w:hAnsi="Arial"/>
                <w:sz w:val="18"/>
                <w:szCs w:val="18"/>
                <w:color w:val="auto"/>
              </w:rPr>
              <w:t>($ in millions)</w:t>
            </w:r>
          </w:p>
        </w:tc>
        <w:tc>
          <w:tcPr>
            <w:tcW w:w="200" w:type="dxa"/>
            <w:vAlign w:val="bottom"/>
          </w:tcPr>
          <w:p>
            <w:pPr>
              <w:spacing w:after="0"/>
              <w:rPr>
                <w:sz w:val="14"/>
                <w:szCs w:val="14"/>
                <w:color w:val="auto"/>
              </w:rPr>
            </w:pPr>
          </w:p>
        </w:tc>
        <w:tc>
          <w:tcPr>
            <w:tcW w:w="1480" w:type="dxa"/>
            <w:vAlign w:val="bottom"/>
            <w:gridSpan w:val="3"/>
          </w:tcPr>
          <w:p>
            <w:pPr>
              <w:jc w:val="center"/>
              <w:ind w:right="320"/>
              <w:spacing w:after="0" w:line="169" w:lineRule="exact"/>
              <w:rPr>
                <w:sz w:val="20"/>
                <w:szCs w:val="20"/>
                <w:color w:val="auto"/>
              </w:rPr>
            </w:pPr>
            <w:r>
              <w:rPr>
                <w:rFonts w:ascii="Arial" w:cs="Arial" w:eastAsia="Arial" w:hAnsi="Arial"/>
                <w:sz w:val="18"/>
                <w:szCs w:val="18"/>
                <w:color w:val="auto"/>
                <w:w w:val="88"/>
              </w:rPr>
              <w:t>December 31,</w:t>
            </w:r>
          </w:p>
        </w:tc>
        <w:tc>
          <w:tcPr>
            <w:tcW w:w="20" w:type="dxa"/>
            <w:vAlign w:val="bottom"/>
          </w:tcPr>
          <w:p>
            <w:pPr>
              <w:spacing w:after="0"/>
              <w:rPr>
                <w:sz w:val="14"/>
                <w:szCs w:val="14"/>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Level 1</w:t>
            </w:r>
          </w:p>
        </w:tc>
        <w:tc>
          <w:tcPr>
            <w:tcW w:w="4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00" w:type="dxa"/>
            <w:vAlign w:val="bottom"/>
            <w:vMerge w:val="restart"/>
          </w:tcPr>
          <w:p>
            <w:pPr>
              <w:jc w:val="center"/>
              <w:ind w:left="350"/>
              <w:spacing w:after="0"/>
              <w:rPr>
                <w:sz w:val="20"/>
                <w:szCs w:val="20"/>
                <w:color w:val="auto"/>
              </w:rPr>
            </w:pPr>
            <w:r>
              <w:rPr>
                <w:rFonts w:ascii="Arial" w:cs="Arial" w:eastAsia="Arial" w:hAnsi="Arial"/>
                <w:sz w:val="18"/>
                <w:szCs w:val="18"/>
                <w:color w:val="auto"/>
                <w:w w:val="92"/>
              </w:rPr>
              <w:t>Level 2</w:t>
            </w:r>
          </w:p>
        </w:tc>
        <w:tc>
          <w:tcPr>
            <w:tcW w:w="4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100" w:type="dxa"/>
            <w:vAlign w:val="bottom"/>
            <w:vMerge w:val="restart"/>
          </w:tcPr>
          <w:p>
            <w:pPr>
              <w:jc w:val="right"/>
              <w:ind w:right="410"/>
              <w:spacing w:after="0"/>
              <w:rPr>
                <w:sz w:val="20"/>
                <w:szCs w:val="20"/>
                <w:color w:val="auto"/>
              </w:rPr>
            </w:pPr>
            <w:r>
              <w:rPr>
                <w:rFonts w:ascii="Arial" w:cs="Arial" w:eastAsia="Arial" w:hAnsi="Arial"/>
                <w:sz w:val="18"/>
                <w:szCs w:val="18"/>
                <w:color w:val="auto"/>
                <w:w w:val="99"/>
              </w:rPr>
              <w:t>Level 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89"/>
              </w:rPr>
              <w:t>2022</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2" w:lineRule="exact"/>
              <w:rPr>
                <w:sz w:val="20"/>
                <w:szCs w:val="20"/>
                <w:color w:val="auto"/>
              </w:rPr>
            </w:pPr>
            <w:r>
              <w:rPr>
                <w:rFonts w:ascii="Arial" w:cs="Arial" w:eastAsia="Arial" w:hAnsi="Arial"/>
                <w:sz w:val="18"/>
                <w:szCs w:val="18"/>
                <w:color w:val="auto"/>
              </w:rPr>
              <w:t>Assets: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CCEEFF"/>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Deferred compensation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12.5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12.5</w:t>
            </w:r>
          </w:p>
        </w:tc>
        <w:tc>
          <w:tcPr>
            <w:tcW w:w="1240" w:type="dxa"/>
            <w:vAlign w:val="bottom"/>
            <w:gridSpan w:val="4"/>
          </w:tcPr>
          <w:p>
            <w:pPr>
              <w:jc w:val="right"/>
              <w:ind w:right="9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Cross-currency swap</w:t>
            </w:r>
          </w:p>
        </w:tc>
        <w:tc>
          <w:tcPr>
            <w:tcW w:w="200" w:type="dxa"/>
            <w:vAlign w:val="bottom"/>
          </w:tcPr>
          <w:p>
            <w:pPr>
              <w:spacing w:after="0"/>
              <w:rPr>
                <w:sz w:val="20"/>
                <w:szCs w:val="20"/>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13.9</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Commodity call options</w:t>
            </w:r>
          </w:p>
        </w:tc>
        <w:tc>
          <w:tcPr>
            <w:tcW w:w="200" w:type="dxa"/>
            <w:vAlign w:val="bottom"/>
            <w:tcBorders>
              <w:bottom w:val="single" w:sz="8" w:color="auto"/>
            </w:tcBorders>
            <w:shd w:val="clear" w:color="auto" w:fill="CCEEFF"/>
          </w:tcPr>
          <w:p>
            <w:pPr>
              <w:spacing w:after="0"/>
              <w:rPr>
                <w:sz w:val="20"/>
                <w:szCs w:val="20"/>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4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w:t>
            </w:r>
          </w:p>
        </w:tc>
        <w:tc>
          <w:tcPr>
            <w:tcW w:w="20" w:type="dxa"/>
            <w:vAlign w:val="bottom"/>
            <w:tcBorders>
              <w:bottom w:val="single" w:sz="8" w:color="auto"/>
            </w:tcBorders>
          </w:tcPr>
          <w:p>
            <w:pPr>
              <w:spacing w:after="0"/>
              <w:rPr>
                <w:sz w:val="19"/>
                <w:szCs w:val="19"/>
                <w:color w:val="auto"/>
              </w:rPr>
            </w:pPr>
          </w:p>
        </w:tc>
        <w:tc>
          <w:tcPr>
            <w:tcW w:w="120" w:type="dxa"/>
            <w:vAlign w:val="bottom"/>
            <w:gridSpan w:val="2"/>
          </w:tcPr>
          <w:p>
            <w:pPr>
              <w:spacing w:after="0"/>
              <w:rPr>
                <w:sz w:val="19"/>
                <w:szCs w:val="19"/>
                <w:color w:val="auto"/>
              </w:rPr>
            </w:pPr>
          </w:p>
        </w:tc>
        <w:tc>
          <w:tcPr>
            <w:tcW w:w="1100" w:type="dxa"/>
            <w:vAlign w:val="bottom"/>
            <w:tcBorders>
              <w:bottom w:val="single" w:sz="8" w:color="auto"/>
            </w:tcBorders>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Borders>
              <w:bottom w:val="single" w:sz="8" w:color="CCEEFF"/>
            </w:tcBorders>
          </w:tcPr>
          <w:p>
            <w:pPr>
              <w:spacing w:after="0" w:line="20" w:lineRule="exact"/>
              <w:rPr>
                <w:sz w:val="1"/>
                <w:szCs w:val="1"/>
                <w:color w:val="auto"/>
              </w:rPr>
            </w:pPr>
          </w:p>
        </w:tc>
        <w:tc>
          <w:tcPr>
            <w:tcW w:w="5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CCEEFF"/>
            </w:tcBorders>
          </w:tcPr>
          <w:p>
            <w:pPr>
              <w:spacing w:after="0" w:line="20" w:lineRule="exact"/>
              <w:rPr>
                <w:sz w:val="1"/>
                <w:szCs w:val="1"/>
                <w:color w:val="auto"/>
              </w:rPr>
            </w:pPr>
          </w:p>
        </w:tc>
        <w:tc>
          <w:tcPr>
            <w:tcW w:w="38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shd w:val="clear" w:color="auto" w:fill="CCEEFF"/>
          </w:tcPr>
          <w:p>
            <w:pPr>
              <w:spacing w:after="0"/>
              <w:rPr>
                <w:sz w:val="15"/>
                <w:szCs w:val="15"/>
                <w:color w:val="auto"/>
              </w:rPr>
            </w:pPr>
          </w:p>
        </w:tc>
        <w:tc>
          <w:tcPr>
            <w:tcW w:w="4620" w:type="dxa"/>
            <w:vAlign w:val="bottom"/>
            <w:gridSpan w:val="3"/>
            <w:shd w:val="clear" w:color="auto" w:fill="CCEEFF"/>
          </w:tcPr>
          <w:p>
            <w:pPr>
              <w:spacing w:after="0" w:line="183" w:lineRule="exact"/>
              <w:rPr>
                <w:sz w:val="20"/>
                <w:szCs w:val="20"/>
                <w:color w:val="auto"/>
              </w:rPr>
            </w:pPr>
            <w:r>
              <w:rPr>
                <w:rFonts w:ascii="Arial" w:cs="Arial" w:eastAsia="Arial" w:hAnsi="Arial"/>
                <w:sz w:val="18"/>
                <w:szCs w:val="18"/>
                <w:color w:val="auto"/>
              </w:rPr>
              <w:t>Liabilities:</w:t>
            </w:r>
          </w:p>
        </w:tc>
        <w:tc>
          <w:tcPr>
            <w:tcW w:w="200" w:type="dxa"/>
            <w:vAlign w:val="bottom"/>
            <w:shd w:val="clear" w:color="auto" w:fill="CCEEFF"/>
          </w:tcPr>
          <w:p>
            <w:pPr>
              <w:spacing w:after="0"/>
              <w:rPr>
                <w:sz w:val="15"/>
                <w:szCs w:val="15"/>
                <w:color w:val="auto"/>
              </w:rPr>
            </w:pPr>
          </w:p>
        </w:tc>
        <w:tc>
          <w:tcPr>
            <w:tcW w:w="13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20" w:type="dxa"/>
            <w:vAlign w:val="bottom"/>
            <w:tcBorders>
              <w:top w:val="single" w:sz="8" w:color="CCEEFF"/>
            </w:tcBorders>
            <w:shd w:val="clear" w:color="auto" w:fill="CCEEFF"/>
          </w:tcPr>
          <w:p>
            <w:pPr>
              <w:spacing w:after="0"/>
              <w:rPr>
                <w:sz w:val="2"/>
                <w:szCs w:val="2"/>
                <w:color w:val="auto"/>
              </w:rPr>
            </w:pPr>
          </w:p>
        </w:tc>
        <w:tc>
          <w:tcPr>
            <w:tcW w:w="520" w:type="dxa"/>
            <w:vAlign w:val="bottom"/>
            <w:tcBorders>
              <w:top w:val="single" w:sz="8" w:color="auto"/>
            </w:tcBorders>
            <w:shd w:val="clear" w:color="auto" w:fill="CCEEFF"/>
          </w:tcPr>
          <w:p>
            <w:pPr>
              <w:spacing w:after="0"/>
              <w:rPr>
                <w:sz w:val="2"/>
                <w:szCs w:val="2"/>
                <w:color w:val="auto"/>
              </w:rPr>
            </w:pPr>
          </w:p>
        </w:tc>
        <w:tc>
          <w:tcPr>
            <w:tcW w:w="260" w:type="dxa"/>
            <w:vAlign w:val="bottom"/>
            <w:tcBorders>
              <w:top w:val="single" w:sz="8" w:color="auto"/>
            </w:tcBorders>
            <w:shd w:val="clear" w:color="auto" w:fill="CCEEFF"/>
          </w:tcPr>
          <w:p>
            <w:pPr>
              <w:spacing w:after="0"/>
              <w:rPr>
                <w:sz w:val="2"/>
                <w:szCs w:val="2"/>
                <w:color w:val="auto"/>
              </w:rPr>
            </w:pPr>
          </w:p>
        </w:tc>
        <w:tc>
          <w:tcPr>
            <w:tcW w:w="3840" w:type="dxa"/>
            <w:vAlign w:val="bottom"/>
            <w:tcBorders>
              <w:top w:val="single" w:sz="8" w:color="CCEEFF"/>
            </w:tcBorders>
            <w:shd w:val="clear" w:color="auto" w:fill="CCEEFF"/>
          </w:tcPr>
          <w:p>
            <w:pPr>
              <w:spacing w:after="0"/>
              <w:rPr>
                <w:sz w:val="2"/>
                <w:szCs w:val="2"/>
                <w:color w:val="auto"/>
              </w:rPr>
            </w:pPr>
          </w:p>
        </w:tc>
        <w:tc>
          <w:tcPr>
            <w:tcW w:w="200" w:type="dxa"/>
            <w:vAlign w:val="bottom"/>
            <w:tcBorders>
              <w:top w:val="single" w:sz="8" w:color="CCEEFF"/>
            </w:tcBorders>
            <w:shd w:val="clear" w:color="auto" w:fill="CCEEFF"/>
          </w:tcPr>
          <w:p>
            <w:pPr>
              <w:spacing w:after="0"/>
              <w:rPr>
                <w:sz w:val="2"/>
                <w:szCs w:val="2"/>
                <w:color w:val="auto"/>
              </w:rPr>
            </w:pPr>
          </w:p>
        </w:tc>
        <w:tc>
          <w:tcPr>
            <w:tcW w:w="136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00" w:type="dxa"/>
            <w:vAlign w:val="bottom"/>
            <w:tcBorders>
              <w:top w:val="single" w:sz="8" w:color="CCEEFF"/>
            </w:tcBorders>
            <w:shd w:val="clear" w:color="auto" w:fill="CCEEFF"/>
          </w:tcPr>
          <w:p>
            <w:pPr>
              <w:spacing w:after="0"/>
              <w:rPr>
                <w:sz w:val="2"/>
                <w:szCs w:val="2"/>
                <w:color w:val="auto"/>
              </w:rPr>
            </w:pPr>
          </w:p>
        </w:tc>
        <w:tc>
          <w:tcPr>
            <w:tcW w:w="2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440" w:type="dxa"/>
            <w:vAlign w:val="bottom"/>
            <w:tcBorders>
              <w:top w:val="single" w:sz="8" w:color="CCEEFF"/>
            </w:tcBorders>
            <w:shd w:val="clear" w:color="auto" w:fill="CCEEFF"/>
          </w:tcPr>
          <w:p>
            <w:pPr>
              <w:spacing w:after="0"/>
              <w:rPr>
                <w:sz w:val="2"/>
                <w:szCs w:val="2"/>
                <w:color w:val="auto"/>
              </w:rPr>
            </w:pPr>
          </w:p>
        </w:tc>
        <w:tc>
          <w:tcPr>
            <w:tcW w:w="120" w:type="dxa"/>
            <w:vAlign w:val="bottom"/>
            <w:tcBorders>
              <w:top w:val="single" w:sz="8" w:color="CCEEFF"/>
            </w:tcBorders>
            <w:shd w:val="clear" w:color="auto" w:fill="CCEEFF"/>
          </w:tcPr>
          <w:p>
            <w:pPr>
              <w:spacing w:after="0"/>
              <w:rPr>
                <w:sz w:val="2"/>
                <w:szCs w:val="2"/>
                <w:color w:val="auto"/>
              </w:rPr>
            </w:pPr>
          </w:p>
        </w:tc>
        <w:tc>
          <w:tcPr>
            <w:tcW w:w="460" w:type="dxa"/>
            <w:vAlign w:val="bottom"/>
            <w:tcBorders>
              <w:top w:val="single" w:sz="8" w:color="CCEEFF"/>
            </w:tcBorders>
            <w:shd w:val="clear" w:color="auto" w:fill="CCEEFF"/>
          </w:tcPr>
          <w:p>
            <w:pPr>
              <w:spacing w:after="0"/>
              <w:rPr>
                <w:sz w:val="2"/>
                <w:szCs w:val="2"/>
                <w:color w:val="auto"/>
              </w:rPr>
            </w:pPr>
          </w:p>
        </w:tc>
        <w:tc>
          <w:tcPr>
            <w:tcW w:w="1100" w:type="dxa"/>
            <w:vAlign w:val="bottom"/>
            <w:tcBorders>
              <w:top w:val="single" w:sz="8" w:color="CCEEFF"/>
            </w:tcBorders>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4620" w:type="dxa"/>
            <w:vAlign w:val="bottom"/>
            <w:gridSpan w:val="3"/>
          </w:tcPr>
          <w:p>
            <w:pPr>
              <w:spacing w:after="0"/>
              <w:rPr>
                <w:sz w:val="20"/>
                <w:szCs w:val="20"/>
                <w:color w:val="auto"/>
              </w:rPr>
            </w:pPr>
            <w:r>
              <w:rPr>
                <w:rFonts w:ascii="Arial" w:cs="Arial" w:eastAsia="Arial" w:hAnsi="Arial"/>
                <w:sz w:val="18"/>
                <w:szCs w:val="18"/>
                <w:color w:val="auto"/>
              </w:rPr>
              <w:t>Contingent consideration</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2"/>
          </w:tcPr>
          <w:p>
            <w:pPr>
              <w:jc w:val="right"/>
              <w:ind w:right="910"/>
              <w:spacing w:after="0"/>
              <w:rPr>
                <w:sz w:val="20"/>
                <w:szCs w:val="20"/>
                <w:color w:val="auto"/>
              </w:rPr>
            </w:pPr>
            <w:r>
              <w:rPr>
                <w:rFonts w:ascii="Arial" w:cs="Arial" w:eastAsia="Arial" w:hAnsi="Arial"/>
                <w:sz w:val="18"/>
                <w:szCs w:val="18"/>
                <w:color w:val="auto"/>
                <w:w w:val="99"/>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4"/>
          </w:tcPr>
          <w:p>
            <w:pPr>
              <w:jc w:val="right"/>
              <w:ind w:right="910"/>
              <w:spacing w:after="0"/>
              <w:rPr>
                <w:sz w:val="20"/>
                <w:szCs w:val="20"/>
                <w:color w:val="auto"/>
              </w:rPr>
            </w:pPr>
            <w:r>
              <w:rPr>
                <w:rFonts w:ascii="Arial" w:cs="Arial" w:eastAsia="Arial" w:hAnsi="Arial"/>
                <w:sz w:val="18"/>
                <w:szCs w:val="18"/>
                <w:color w:val="auto"/>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gridSpan w:val="2"/>
          </w:tcPr>
          <w:p>
            <w:pPr>
              <w:jc w:val="right"/>
              <w:ind w:right="25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30"/>
        </w:trPr>
        <w:tc>
          <w:tcPr>
            <w:tcW w:w="20" w:type="dxa"/>
            <w:vAlign w:val="bottom"/>
            <w:shd w:val="clear" w:color="auto" w:fill="CCEEFF"/>
          </w:tcPr>
          <w:p>
            <w:pPr>
              <w:spacing w:after="0"/>
              <w:rPr>
                <w:sz w:val="19"/>
                <w:szCs w:val="19"/>
                <w:color w:val="auto"/>
              </w:rPr>
            </w:pPr>
          </w:p>
        </w:tc>
        <w:tc>
          <w:tcPr>
            <w:tcW w:w="462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Deferred compensation liabilities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20" w:type="dxa"/>
            <w:vAlign w:val="bottom"/>
            <w:tcBorders>
              <w:bottom w:val="single" w:sz="8" w:color="CCEEFF"/>
            </w:tcBorders>
          </w:tcPr>
          <w:p>
            <w:pPr>
              <w:spacing w:after="0"/>
              <w:rPr>
                <w:sz w:val="21"/>
                <w:szCs w:val="21"/>
                <w:color w:val="auto"/>
              </w:rPr>
            </w:pPr>
          </w:p>
        </w:tc>
        <w:tc>
          <w:tcPr>
            <w:tcW w:w="4620" w:type="dxa"/>
            <w:vAlign w:val="bottom"/>
            <w:tcBorders>
              <w:bottom w:val="single" w:sz="8" w:color="CCEEFF"/>
            </w:tcBorders>
            <w:gridSpan w:val="3"/>
          </w:tcPr>
          <w:p>
            <w:pPr>
              <w:spacing w:after="0"/>
              <w:rPr>
                <w:sz w:val="20"/>
                <w:szCs w:val="20"/>
                <w:color w:val="auto"/>
              </w:rPr>
            </w:pPr>
            <w:r>
              <w:rPr>
                <w:rFonts w:ascii="Arial" w:cs="Arial" w:eastAsia="Arial" w:hAnsi="Arial"/>
                <w:sz w:val="18"/>
                <w:szCs w:val="18"/>
                <w:color w:val="auto"/>
              </w:rPr>
              <w:t>Foreign currency contracts</w:t>
            </w:r>
          </w:p>
        </w:tc>
        <w:tc>
          <w:tcPr>
            <w:tcW w:w="20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20" w:type="dxa"/>
            <w:vAlign w:val="bottom"/>
            <w:tcBorders>
              <w:bottom w:val="single" w:sz="8" w:color="CCEEFF"/>
            </w:tcBorders>
          </w:tcPr>
          <w:p>
            <w:pPr>
              <w:spacing w:after="0"/>
              <w:rPr>
                <w:sz w:val="21"/>
                <w:szCs w:val="21"/>
                <w:color w:val="auto"/>
              </w:rPr>
            </w:pPr>
          </w:p>
        </w:tc>
        <w:tc>
          <w:tcPr>
            <w:tcW w:w="1100" w:type="dxa"/>
            <w:vAlign w:val="bottom"/>
            <w:tcBorders>
              <w:bottom w:val="single" w:sz="8" w:color="auto"/>
            </w:tcBorders>
          </w:tcPr>
          <w:p>
            <w:pPr>
              <w:spacing w:after="0"/>
              <w:rPr>
                <w:sz w:val="21"/>
                <w:szCs w:val="21"/>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2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20" w:type="dxa"/>
            <w:vAlign w:val="bottom"/>
            <w:tcBorders>
              <w:bottom w:val="single" w:sz="8" w:color="auto"/>
            </w:tcBorders>
            <w:shd w:val="clear" w:color="auto" w:fill="CCEEFF"/>
          </w:tcPr>
          <w:p>
            <w:pPr>
              <w:spacing w:after="0"/>
              <w:rPr>
                <w:sz w:val="21"/>
                <w:szCs w:val="21"/>
                <w:color w:val="auto"/>
              </w:rPr>
            </w:pPr>
          </w:p>
        </w:tc>
        <w:tc>
          <w:tcPr>
            <w:tcW w:w="120" w:type="dxa"/>
            <w:vAlign w:val="bottom"/>
            <w:tcBorders>
              <w:bottom w:val="single" w:sz="8" w:color="CCEEFF"/>
            </w:tcBorders>
            <w:gridSpan w:val="2"/>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7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6" w:name="page17"/>
    <w:bookmarkEnd w:id="1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line="262" w:lineRule="auto"/>
        <w:rPr>
          <w:sz w:val="20"/>
          <w:szCs w:val="20"/>
          <w:color w:val="auto"/>
        </w:rPr>
      </w:pPr>
      <w:r>
        <w:rPr>
          <w:rFonts w:ascii="Arial" w:cs="Arial" w:eastAsia="Arial" w:hAnsi="Arial"/>
          <w:sz w:val="17"/>
          <w:szCs w:val="17"/>
          <w:color w:val="auto"/>
        </w:rPr>
        <w:t xml:space="preserve">Deferred compensation assets are included within other noncurrent assets and are valued using a market approach based on quoted market prices in an active market. The fair value of our foreign currency contracts, included within other current assets, as well as other current and other long-term liabilities as of June 30, 2023, is valued using an income approach based on quoted forward foreign exchange rates and spot rates at the reporting date. As of December 31, 2022, the fair value of our foreign currency contracts was included within other current and other noncurrent assets, as well as other current and other long-term liabilities. The fair value of the cross-currency swap, included within other noncurrent assets, is valued using a market approach. Please refer to Note 9, </w:t>
      </w:r>
      <w:r>
        <w:rPr>
          <w:rFonts w:ascii="Arial" w:cs="Arial" w:eastAsia="Arial" w:hAnsi="Arial"/>
          <w:sz w:val="17"/>
          <w:szCs w:val="17"/>
          <w:i w:val="1"/>
          <w:iCs w:val="1"/>
          <w:u w:val="single" w:color="auto"/>
          <w:color w:val="0000FF"/>
        </w:rPr>
        <w:t>Derivative Financial Instruments</w:t>
      </w:r>
      <w:r>
        <w:rPr>
          <w:rFonts w:ascii="Arial" w:cs="Arial" w:eastAsia="Arial" w:hAnsi="Arial"/>
          <w:sz w:val="17"/>
          <w:szCs w:val="17"/>
          <w:color w:val="auto"/>
        </w:rPr>
        <w:t>, for further discussion of our derivatives. The fair value of our commodity call options, included within other current and other noncurrent assets, is valued using a market approach. The fair value of the contingent consideration liability, within current and long-term liabilities, related to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technology platform (the “SmartDose</w:t>
      </w:r>
      <w:r>
        <w:rPr>
          <w:rFonts w:ascii="Arial" w:cs="Arial" w:eastAsia="Arial" w:hAnsi="Arial"/>
          <w:sz w:val="22"/>
          <w:szCs w:val="22"/>
          <w:color w:val="auto"/>
          <w:vertAlign w:val="superscript"/>
        </w:rPr>
        <w:t>®</w:t>
      </w:r>
      <w:r>
        <w:rPr>
          <w:rFonts w:ascii="Arial" w:cs="Arial" w:eastAsia="Arial" w:hAnsi="Arial"/>
          <w:sz w:val="17"/>
          <w:szCs w:val="17"/>
          <w:color w:val="auto"/>
        </w:rPr>
        <w:t xml:space="preserve"> contingent consideration”) was initially determined using a probability-weighted income approach, and is revalued at each reporting date or more frequently if circumstances dictate. Changes in the fair value of this obligation are recorded as income or expense within other expense (income) in our condensed consolidated statements of income. The fair value of deferred compensation liabilities is based on quoted prices of the underlying employees’ investment selections and is included within other long-term liabilities.</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Financial Instruments</w:t>
      </w:r>
    </w:p>
    <w:p>
      <w:pPr>
        <w:spacing w:after="0" w:line="256" w:lineRule="exact"/>
        <w:rPr>
          <w:sz w:val="20"/>
          <w:szCs w:val="20"/>
          <w:color w:val="auto"/>
        </w:rPr>
      </w:pPr>
    </w:p>
    <w:p>
      <w:pPr>
        <w:ind w:right="680"/>
        <w:spacing w:after="0" w:line="277" w:lineRule="auto"/>
        <w:rPr>
          <w:sz w:val="20"/>
          <w:szCs w:val="20"/>
          <w:color w:val="auto"/>
        </w:rPr>
      </w:pPr>
      <w:r>
        <w:rPr>
          <w:rFonts w:ascii="Arial" w:cs="Arial" w:eastAsia="Arial" w:hAnsi="Arial"/>
          <w:sz w:val="18"/>
          <w:szCs w:val="18"/>
          <w:color w:val="auto"/>
        </w:rPr>
        <w:t>We believe that the carrying amounts of our cash and cash equivalents and accounts receivable approximate their fair values due to their near-term maturities.</w:t>
      </w:r>
    </w:p>
    <w:p>
      <w:pPr>
        <w:spacing w:after="0" w:line="197"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color w:val="auto"/>
        </w:rPr>
        <w:t>The estimated fair value of long-term debt is based on quoted market prices for debt issuances with similar terms and maturities and is classified as Level 2 within the fair value hierarchy. At June 30, 2023, the estimated fair value of long-term debt was $201.1 million compared to a carrying amount of $205.6 million. At December 31, 2022, the estimated fair value of long-term debt was $201.8 million and the carrying amount was $206.7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7" w:name="page18"/>
    <w:bookmarkEnd w:id="1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Accumulated Other Comprehensive Loss</w:t>
      </w:r>
    </w:p>
    <w:p>
      <w:pPr>
        <w:spacing w:after="0" w:line="27" w:lineRule="exact"/>
        <w:rPr>
          <w:sz w:val="20"/>
          <w:szCs w:val="20"/>
          <w:color w:val="auto"/>
        </w:rPr>
      </w:pPr>
    </w:p>
    <w:p>
      <w:pPr>
        <w:ind w:right="300"/>
        <w:spacing w:after="0" w:line="260" w:lineRule="auto"/>
        <w:rPr>
          <w:sz w:val="20"/>
          <w:szCs w:val="20"/>
          <w:color w:val="auto"/>
        </w:rPr>
      </w:pPr>
      <w:r>
        <w:rPr>
          <w:rFonts w:ascii="Arial" w:cs="Arial" w:eastAsia="Arial" w:hAnsi="Arial"/>
          <w:sz w:val="18"/>
          <w:szCs w:val="18"/>
          <w:color w:val="auto"/>
        </w:rPr>
        <w:t>The following table presents the changes in the components of accumulated other comprehensive income ("AOCI") (loss), net of tax, for the six months ended June 30, 2023:</w:t>
      </w:r>
    </w:p>
    <w:tbl>
      <w:tblPr>
        <w:tblLayout w:type="fixed"/>
        <w:tblInd w:w="0" w:type="dxa"/>
        <w:tblCellMar>
          <w:top w:w="0" w:type="dxa"/>
          <w:left w:w="0" w:type="dxa"/>
          <w:bottom w:w="0" w:type="dxa"/>
          <w:right w:w="0" w:type="dxa"/>
        </w:tblCellMar>
      </w:tblPr>
      <w:tr>
        <w:trPr>
          <w:trHeight w:val="186"/>
        </w:trPr>
        <w:tc>
          <w:tcPr>
            <w:tcW w:w="3160" w:type="dxa"/>
            <w:vAlign w:val="bottom"/>
          </w:tcPr>
          <w:p>
            <w:pPr>
              <w:spacing w:after="0"/>
              <w:rPr>
                <w:sz w:val="16"/>
                <w:szCs w:val="16"/>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color w:val="auto"/>
                <w:w w:val="88"/>
              </w:rPr>
              <w:t>(Losses) gains on</w:t>
            </w:r>
          </w:p>
        </w:tc>
        <w:tc>
          <w:tcPr>
            <w:tcW w:w="140" w:type="dxa"/>
            <w:vAlign w:val="bottom"/>
          </w:tcPr>
          <w:p>
            <w:pPr>
              <w:spacing w:after="0"/>
              <w:rPr>
                <w:sz w:val="16"/>
                <w:szCs w:val="16"/>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3"/>
              </w:rPr>
              <w:t>Change in equity affiliate</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0"/>
              <w:spacing w:after="0" w:line="186" w:lineRule="exact"/>
              <w:rPr>
                <w:sz w:val="20"/>
                <w:szCs w:val="20"/>
                <w:color w:val="auto"/>
              </w:rPr>
            </w:pPr>
            <w:r>
              <w:rPr>
                <w:rFonts w:ascii="Arial" w:cs="Arial" w:eastAsia="Arial" w:hAnsi="Arial"/>
                <w:sz w:val="18"/>
                <w:szCs w:val="18"/>
                <w:color w:val="auto"/>
                <w:w w:val="92"/>
              </w:rPr>
              <w:t>Defined benefit</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70"/>
              <w:spacing w:after="0" w:line="186" w:lineRule="exact"/>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86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tcPr>
          <w:p>
            <w:pPr>
              <w:jc w:val="center"/>
              <w:ind w:right="130"/>
              <w:spacing w:after="0" w:line="189" w:lineRule="exact"/>
              <w:rPr>
                <w:sz w:val="20"/>
                <w:szCs w:val="20"/>
                <w:color w:val="auto"/>
              </w:rPr>
            </w:pPr>
            <w:r>
              <w:rPr>
                <w:rFonts w:ascii="Arial" w:cs="Arial" w:eastAsia="Arial" w:hAnsi="Arial"/>
                <w:sz w:val="18"/>
                <w:szCs w:val="18"/>
                <w:color w:val="auto"/>
                <w:w w:val="88"/>
              </w:rPr>
              <w:t>pension and other</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center"/>
              <w:ind w:right="90"/>
              <w:spacing w:after="0" w:line="189" w:lineRule="exact"/>
              <w:rPr>
                <w:sz w:val="20"/>
                <w:szCs w:val="20"/>
                <w:color w:val="auto"/>
              </w:rPr>
            </w:pPr>
            <w:r>
              <w:rPr>
                <w:rFonts w:ascii="Arial" w:cs="Arial" w:eastAsia="Arial" w:hAnsi="Arial"/>
                <w:sz w:val="18"/>
                <w:szCs w:val="18"/>
                <w:color w:val="auto"/>
                <w:w w:val="89"/>
              </w:rPr>
              <w:t>currency</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derivatives</w:t>
            </w: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investment AOCI</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postretirement plans</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translation</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710"/>
              <w:spacing w:after="0"/>
              <w:rPr>
                <w:sz w:val="20"/>
                <w:szCs w:val="20"/>
                <w:color w:val="auto"/>
              </w:rPr>
            </w:pPr>
            <w:r>
              <w:rPr>
                <w:rFonts w:ascii="Arial" w:cs="Arial" w:eastAsia="Arial" w:hAnsi="Arial"/>
                <w:sz w:val="18"/>
                <w:szCs w:val="18"/>
                <w:color w:val="auto"/>
                <w:w w:val="87"/>
              </w:rPr>
              <w:t>0.2</w:t>
            </w:r>
          </w:p>
        </w:tc>
        <w:tc>
          <w:tcPr>
            <w:tcW w:w="14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(175.4)</w:t>
            </w: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169"/>
        </w:trPr>
        <w:tc>
          <w:tcPr>
            <w:tcW w:w="3160" w:type="dxa"/>
            <w:vAlign w:val="bottom"/>
          </w:tcPr>
          <w:p>
            <w:pPr>
              <w:ind w:left="100"/>
              <w:spacing w:after="0" w:line="169" w:lineRule="exact"/>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4"/>
                <w:szCs w:val="14"/>
                <w:color w:val="auto"/>
              </w:rPr>
            </w:pPr>
          </w:p>
        </w:tc>
        <w:tc>
          <w:tcPr>
            <w:tcW w:w="1140" w:type="dxa"/>
            <w:vAlign w:val="bottom"/>
            <w:vMerge w:val="restart"/>
          </w:tcPr>
          <w:p>
            <w:pPr>
              <w:jc w:val="center"/>
              <w:ind w:left="670"/>
              <w:spacing w:after="0"/>
              <w:rPr>
                <w:sz w:val="20"/>
                <w:szCs w:val="20"/>
                <w:color w:val="auto"/>
              </w:rPr>
            </w:pPr>
            <w:r>
              <w:rPr>
                <w:rFonts w:ascii="Arial" w:cs="Arial" w:eastAsia="Arial" w:hAnsi="Arial"/>
                <w:sz w:val="18"/>
                <w:szCs w:val="18"/>
                <w:color w:val="auto"/>
                <w:w w:val="91"/>
              </w:rPr>
              <w:t>(6.5)</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29"/>
        </w:trPr>
        <w:tc>
          <w:tcPr>
            <w:tcW w:w="3160" w:type="dxa"/>
            <w:vAlign w:val="bottom"/>
          </w:tcPr>
          <w:p>
            <w:pPr>
              <w:ind w:left="100"/>
              <w:spacing w:after="0"/>
              <w:rPr>
                <w:sz w:val="20"/>
                <w:szCs w:val="20"/>
                <w:color w:val="auto"/>
              </w:rPr>
            </w:pPr>
            <w:r>
              <w:rPr>
                <w:rFonts w:ascii="Arial" w:cs="Arial" w:eastAsia="Arial" w:hAnsi="Arial"/>
                <w:sz w:val="18"/>
                <w:szCs w:val="18"/>
                <w:color w:val="auto"/>
              </w:rPr>
              <w:t>before reclassifications</w:t>
            </w:r>
          </w:p>
        </w:tc>
        <w:tc>
          <w:tcPr>
            <w:tcW w:w="18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9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88"/>
        </w:trPr>
        <w:tc>
          <w:tcPr>
            <w:tcW w:w="3160" w:type="dxa"/>
            <w:vAlign w:val="bottom"/>
            <w:shd w:val="clear" w:color="auto" w:fill="CCEEFF"/>
          </w:tcPr>
          <w:p>
            <w:pPr>
              <w:ind w:left="100"/>
              <w:spacing w:after="0" w:line="189" w:lineRule="exact"/>
              <w:rPr>
                <w:sz w:val="20"/>
                <w:szCs w:val="20"/>
                <w:color w:val="auto"/>
              </w:rPr>
            </w:pPr>
            <w:r>
              <w:rPr>
                <w:rFonts w:ascii="Arial" w:cs="Arial" w:eastAsia="Arial" w:hAnsi="Arial"/>
                <w:sz w:val="18"/>
                <w:szCs w:val="18"/>
                <w:color w:val="auto"/>
              </w:rPr>
              <w:t>Amounts reclassified out from</w:t>
            </w:r>
          </w:p>
        </w:tc>
        <w:tc>
          <w:tcPr>
            <w:tcW w:w="180" w:type="dxa"/>
            <w:vAlign w:val="bottom"/>
            <w:shd w:val="clear" w:color="auto" w:fill="CCEEFF"/>
          </w:tcPr>
          <w:p>
            <w:pPr>
              <w:spacing w:after="0"/>
              <w:rPr>
                <w:sz w:val="16"/>
                <w:szCs w:val="16"/>
                <w:color w:val="auto"/>
              </w:rPr>
            </w:pPr>
          </w:p>
        </w:tc>
        <w:tc>
          <w:tcPr>
            <w:tcW w:w="11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6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9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160" w:type="dxa"/>
            <w:vAlign w:val="bottom"/>
            <w:shd w:val="clear" w:color="auto" w:fill="CCEEFF"/>
          </w:tcPr>
          <w:p>
            <w:pPr>
              <w:ind w:left="100"/>
              <w:spacing w:after="0" w:line="176" w:lineRule="exact"/>
              <w:rPr>
                <w:sz w:val="20"/>
                <w:szCs w:val="20"/>
                <w:color w:val="auto"/>
              </w:rPr>
            </w:pPr>
            <w:r>
              <w:rPr>
                <w:rFonts w:ascii="Arial" w:cs="Arial" w:eastAsia="Arial" w:hAnsi="Arial"/>
                <w:sz w:val="18"/>
                <w:szCs w:val="18"/>
                <w:color w:val="auto"/>
                <w:w w:val="93"/>
              </w:rPr>
              <w:t>accumulated other comprehensive (loss)</w:t>
            </w:r>
          </w:p>
        </w:tc>
        <w:tc>
          <w:tcPr>
            <w:tcW w:w="180" w:type="dxa"/>
            <w:vAlign w:val="bottom"/>
            <w:shd w:val="clear" w:color="auto" w:fill="CCEEFF"/>
          </w:tcPr>
          <w:p>
            <w:pPr>
              <w:spacing w:after="0"/>
              <w:rPr>
                <w:sz w:val="15"/>
                <w:szCs w:val="15"/>
                <w:color w:val="auto"/>
              </w:rPr>
            </w:pPr>
          </w:p>
        </w:tc>
        <w:tc>
          <w:tcPr>
            <w:tcW w:w="1140" w:type="dxa"/>
            <w:vAlign w:val="bottom"/>
            <w:vMerge w:val="restart"/>
            <w:shd w:val="clear" w:color="auto" w:fill="CCEEFF"/>
          </w:tcPr>
          <w:p>
            <w:pPr>
              <w:jc w:val="center"/>
              <w:ind w:left="710"/>
              <w:spacing w:after="0"/>
              <w:rPr>
                <w:sz w:val="20"/>
                <w:szCs w:val="20"/>
                <w:color w:val="auto"/>
              </w:rPr>
            </w:pPr>
            <w:r>
              <w:rPr>
                <w:rFonts w:ascii="Arial" w:cs="Arial" w:eastAsia="Arial" w:hAnsi="Arial"/>
                <w:sz w:val="18"/>
                <w:szCs w:val="18"/>
                <w:color w:val="auto"/>
                <w:w w:val="87"/>
              </w:rPr>
              <w:t>3.5</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6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1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income</w:t>
            </w:r>
          </w:p>
        </w:tc>
        <w:tc>
          <w:tcPr>
            <w:tcW w:w="18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9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80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160" w:type="dxa"/>
            <w:vAlign w:val="bottom"/>
          </w:tcPr>
          <w:p>
            <w:pPr>
              <w:ind w:left="100"/>
              <w:spacing w:after="0" w:line="168" w:lineRule="exact"/>
              <w:rPr>
                <w:sz w:val="20"/>
                <w:szCs w:val="20"/>
                <w:color w:val="auto"/>
              </w:rPr>
            </w:pPr>
            <w:r>
              <w:rPr>
                <w:rFonts w:ascii="Arial" w:cs="Arial" w:eastAsia="Arial" w:hAnsi="Arial"/>
                <w:sz w:val="18"/>
                <w:szCs w:val="18"/>
                <w:color w:val="auto"/>
                <w:w w:val="95"/>
              </w:rPr>
              <w:t>Other comprehensive (loss) income, net</w:t>
            </w:r>
          </w:p>
        </w:tc>
        <w:tc>
          <w:tcPr>
            <w:tcW w:w="180" w:type="dxa"/>
            <w:vAlign w:val="bottom"/>
          </w:tcPr>
          <w:p>
            <w:pPr>
              <w:spacing w:after="0"/>
              <w:rPr>
                <w:sz w:val="14"/>
                <w:szCs w:val="14"/>
                <w:color w:val="auto"/>
              </w:rPr>
            </w:pPr>
          </w:p>
        </w:tc>
        <w:tc>
          <w:tcPr>
            <w:tcW w:w="1140" w:type="dxa"/>
            <w:vAlign w:val="bottom"/>
            <w:vMerge w:val="restart"/>
          </w:tcPr>
          <w:p>
            <w:pPr>
              <w:jc w:val="center"/>
              <w:ind w:left="670"/>
              <w:spacing w:after="0"/>
              <w:rPr>
                <w:sz w:val="20"/>
                <w:szCs w:val="20"/>
                <w:color w:val="auto"/>
              </w:rPr>
            </w:pPr>
            <w:r>
              <w:rPr>
                <w:rFonts w:ascii="Arial" w:cs="Arial" w:eastAsia="Arial" w:hAnsi="Arial"/>
                <w:sz w:val="18"/>
                <w:szCs w:val="18"/>
                <w:color w:val="auto"/>
                <w:w w:val="91"/>
              </w:rPr>
              <w:t>(3.0)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60" w:type="dxa"/>
            <w:vAlign w:val="bottom"/>
            <w:vMerge w:val="restart"/>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4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30"/>
        </w:trPr>
        <w:tc>
          <w:tcPr>
            <w:tcW w:w="31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of tax</w:t>
            </w:r>
          </w:p>
        </w:tc>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4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shd w:val="clear" w:color="auto" w:fill="CCEEFF"/>
          </w:tcPr>
          <w:p>
            <w:pPr>
              <w:jc w:val="center"/>
              <w:ind w:left="670"/>
              <w:spacing w:after="0"/>
              <w:rPr>
                <w:sz w:val="20"/>
                <w:szCs w:val="20"/>
                <w:color w:val="auto"/>
              </w:rPr>
            </w:pPr>
            <w:r>
              <w:rPr>
                <w:rFonts w:ascii="Arial" w:cs="Arial" w:eastAsia="Arial" w:hAnsi="Arial"/>
                <w:sz w:val="18"/>
                <w:szCs w:val="18"/>
                <w:color w:val="auto"/>
                <w:w w:val="91"/>
              </w:rPr>
              <w:t>(2.8)</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0" w:type="dxa"/>
            <w:vAlign w:val="bottom"/>
          </w:tcPr>
          <w:p>
            <w:pPr>
              <w:spacing w:after="0"/>
              <w:rPr>
                <w:sz w:val="1"/>
                <w:szCs w:val="1"/>
                <w:color w:val="auto"/>
              </w:rPr>
            </w:pP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presents the changes in the components of accumulated other comprehensive income ("AOCI") (loss), net of tax, for the six months</w:t>
      </w:r>
    </w:p>
    <w:p>
      <w:pPr>
        <w:sectPr>
          <w:pgSz w:w="11900" w:h="16838" w:orient="portrait"/>
          <w:cols w:equalWidth="0" w:num="1">
            <w:col w:w="11240"/>
          </w:cols>
          <w:pgMar w:left="320" w:top="130" w:right="339" w:bottom="1440" w:gutter="0" w:footer="0" w:header="0"/>
        </w:sectPr>
      </w:pP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ended June 30, 2022:</w:t>
      </w:r>
    </w:p>
    <w:p>
      <w:pPr>
        <w:spacing w:after="0" w:line="400"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December 31, 2021</w:t>
      </w:r>
    </w:p>
    <w:p>
      <w:pPr>
        <w:spacing w:after="0" w:line="23" w:lineRule="exact"/>
        <w:rPr>
          <w:sz w:val="20"/>
          <w:szCs w:val="20"/>
          <w:color w:val="auto"/>
        </w:rPr>
      </w:pPr>
    </w:p>
    <w:p>
      <w:pPr>
        <w:ind w:left="100" w:right="320"/>
        <w:spacing w:after="0" w:line="242" w:lineRule="auto"/>
        <w:rPr>
          <w:sz w:val="20"/>
          <w:szCs w:val="20"/>
          <w:color w:val="auto"/>
        </w:rPr>
      </w:pPr>
      <w:r>
        <w:rPr>
          <w:rFonts w:ascii="Arial" w:cs="Arial" w:eastAsia="Arial" w:hAnsi="Arial"/>
          <w:sz w:val="18"/>
          <w:szCs w:val="18"/>
          <w:color w:val="auto"/>
        </w:rPr>
        <w:t>Other comprehensive (loss) income before reclassifications</w:t>
      </w:r>
    </w:p>
    <w:p>
      <w:pPr>
        <w:spacing w:after="0" w:line="1" w:lineRule="exact"/>
        <w:rPr>
          <w:sz w:val="20"/>
          <w:szCs w:val="20"/>
          <w:color w:val="auto"/>
        </w:rPr>
      </w:pPr>
    </w:p>
    <w:p>
      <w:pPr>
        <w:ind w:left="100"/>
        <w:spacing w:after="0" w:line="247" w:lineRule="auto"/>
        <w:rPr>
          <w:sz w:val="20"/>
          <w:szCs w:val="20"/>
          <w:color w:val="auto"/>
        </w:rPr>
      </w:pPr>
      <w:r>
        <w:rPr>
          <w:rFonts w:ascii="Arial" w:cs="Arial" w:eastAsia="Arial" w:hAnsi="Arial"/>
          <w:sz w:val="16"/>
          <w:szCs w:val="16"/>
          <w:color w:val="auto"/>
        </w:rPr>
        <w:t>Amounts reclassified out from accumulated other comprehensive (loss)</w:t>
      </w:r>
    </w:p>
    <w:p>
      <w:pPr>
        <w:spacing w:after="0" w:line="1" w:lineRule="exact"/>
        <w:rPr>
          <w:sz w:val="20"/>
          <w:szCs w:val="20"/>
          <w:color w:val="auto"/>
        </w:rPr>
      </w:pPr>
    </w:p>
    <w:p>
      <w:pPr>
        <w:ind w:left="100"/>
        <w:spacing w:after="0"/>
        <w:rPr>
          <w:sz w:val="20"/>
          <w:szCs w:val="20"/>
          <w:color w:val="auto"/>
        </w:rPr>
      </w:pPr>
      <w:r>
        <w:rPr>
          <w:rFonts w:ascii="Arial" w:cs="Arial" w:eastAsia="Arial" w:hAnsi="Arial"/>
          <w:sz w:val="18"/>
          <w:szCs w:val="18"/>
          <w:color w:val="auto"/>
        </w:rPr>
        <w:t>income</w:t>
      </w:r>
    </w:p>
    <w:p>
      <w:pPr>
        <w:spacing w:after="0" w:line="7" w:lineRule="exact"/>
        <w:rPr>
          <w:sz w:val="20"/>
          <w:szCs w:val="20"/>
          <w:color w:val="auto"/>
        </w:rPr>
      </w:pPr>
    </w:p>
    <w:p>
      <w:pPr>
        <w:ind w:left="100" w:right="20"/>
        <w:spacing w:after="0" w:line="234" w:lineRule="auto"/>
        <w:rPr>
          <w:sz w:val="20"/>
          <w:szCs w:val="20"/>
          <w:color w:val="auto"/>
        </w:rPr>
      </w:pPr>
      <w:r>
        <w:rPr>
          <w:rFonts w:ascii="Arial" w:cs="Arial" w:eastAsia="Arial" w:hAnsi="Arial"/>
          <w:sz w:val="18"/>
          <w:szCs w:val="18"/>
          <w:color w:val="auto"/>
        </w:rPr>
        <w:t>Other comprehensive (loss) income, net of tax</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Balance, June 30, 2022</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1320" w:type="dxa"/>
            <w:vAlign w:val="bottom"/>
            <w:gridSpan w:val="2"/>
            <w:vMerge w:val="restart"/>
          </w:tcPr>
          <w:p>
            <w:pPr>
              <w:jc w:val="right"/>
              <w:spacing w:after="0"/>
              <w:rPr>
                <w:sz w:val="20"/>
                <w:szCs w:val="20"/>
                <w:color w:val="auto"/>
              </w:rPr>
            </w:pPr>
            <w:r>
              <w:rPr>
                <w:rFonts w:ascii="Arial" w:cs="Arial" w:eastAsia="Arial" w:hAnsi="Arial"/>
                <w:sz w:val="18"/>
                <w:szCs w:val="18"/>
                <w:color w:val="auto"/>
                <w:w w:val="90"/>
              </w:rPr>
              <w:t>(Losses) gains on</w:t>
            </w:r>
          </w:p>
        </w:tc>
        <w:tc>
          <w:tcPr>
            <w:tcW w:w="140" w:type="dxa"/>
            <w:vAlign w:val="bottom"/>
          </w:tcPr>
          <w:p>
            <w:pPr>
              <w:spacing w:after="0"/>
              <w:rPr>
                <w:sz w:val="17"/>
                <w:szCs w:val="17"/>
                <w:color w:val="auto"/>
              </w:rPr>
            </w:pPr>
          </w:p>
        </w:tc>
        <w:tc>
          <w:tcPr>
            <w:tcW w:w="1860" w:type="dxa"/>
            <w:vAlign w:val="bottom"/>
            <w:gridSpan w:val="2"/>
            <w:vMerge w:val="restart"/>
          </w:tcPr>
          <w:p>
            <w:pPr>
              <w:spacing w:after="0"/>
              <w:rPr>
                <w:sz w:val="20"/>
                <w:szCs w:val="20"/>
                <w:color w:val="auto"/>
              </w:rPr>
            </w:pPr>
            <w:r>
              <w:rPr>
                <w:rFonts w:ascii="Arial" w:cs="Arial" w:eastAsia="Arial" w:hAnsi="Arial"/>
                <w:sz w:val="18"/>
                <w:szCs w:val="18"/>
                <w:color w:val="auto"/>
                <w:w w:val="93"/>
              </w:rPr>
              <w:t>Change in equity affiliate</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40" w:type="dxa"/>
            <w:vAlign w:val="bottom"/>
          </w:tcPr>
          <w:p>
            <w:pPr>
              <w:jc w:val="center"/>
              <w:ind w:right="130"/>
              <w:spacing w:after="0"/>
              <w:rPr>
                <w:sz w:val="20"/>
                <w:szCs w:val="20"/>
                <w:color w:val="auto"/>
              </w:rPr>
            </w:pPr>
            <w:r>
              <w:rPr>
                <w:rFonts w:ascii="Arial" w:cs="Arial" w:eastAsia="Arial" w:hAnsi="Arial"/>
                <w:sz w:val="18"/>
                <w:szCs w:val="18"/>
                <w:color w:val="auto"/>
                <w:w w:val="92"/>
              </w:rPr>
              <w:t>Defined benefit</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center"/>
              <w:ind w:right="70"/>
              <w:spacing w:after="0"/>
              <w:rPr>
                <w:sz w:val="20"/>
                <w:szCs w:val="20"/>
                <w:color w:val="auto"/>
              </w:rPr>
            </w:pPr>
            <w:r>
              <w:rPr>
                <w:rFonts w:ascii="Arial" w:cs="Arial" w:eastAsia="Arial" w:hAnsi="Arial"/>
                <w:sz w:val="18"/>
                <w:szCs w:val="18"/>
                <w:color w:val="auto"/>
                <w:w w:val="91"/>
              </w:rPr>
              <w:t>Foreign</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132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1860" w:type="dxa"/>
            <w:vAlign w:val="bottom"/>
            <w:gridSpan w:val="2"/>
            <w:vMerge w:val="continue"/>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40" w:type="dxa"/>
            <w:vAlign w:val="bottom"/>
          </w:tcPr>
          <w:p>
            <w:pPr>
              <w:jc w:val="center"/>
              <w:ind w:right="130"/>
              <w:spacing w:after="0" w:line="176" w:lineRule="exact"/>
              <w:rPr>
                <w:sz w:val="20"/>
                <w:szCs w:val="20"/>
                <w:color w:val="auto"/>
              </w:rPr>
            </w:pPr>
            <w:r>
              <w:rPr>
                <w:rFonts w:ascii="Arial" w:cs="Arial" w:eastAsia="Arial" w:hAnsi="Arial"/>
                <w:sz w:val="18"/>
                <w:szCs w:val="18"/>
                <w:color w:val="auto"/>
                <w:w w:val="88"/>
              </w:rPr>
              <w:t>pension and other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jc w:val="center"/>
              <w:ind w:right="90"/>
              <w:spacing w:after="0" w:line="176" w:lineRule="exact"/>
              <w:rPr>
                <w:sz w:val="20"/>
                <w:szCs w:val="20"/>
                <w:color w:val="auto"/>
              </w:rPr>
            </w:pPr>
            <w:r>
              <w:rPr>
                <w:rFonts w:ascii="Arial" w:cs="Arial" w:eastAsia="Arial" w:hAnsi="Arial"/>
                <w:sz w:val="18"/>
                <w:szCs w:val="18"/>
                <w:color w:val="auto"/>
                <w:w w:val="89"/>
              </w:rPr>
              <w:t>currency</w:t>
            </w: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vMerge w:val="restart"/>
          </w:tcPr>
          <w:p>
            <w:pPr>
              <w:jc w:val="right"/>
              <w:ind w:right="23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7"/>
        </w:trPr>
        <w:tc>
          <w:tcPr>
            <w:tcW w:w="18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derivatives</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8"/>
              </w:rPr>
              <w:t>investment AOCI</w:t>
            </w: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9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color w:val="auto"/>
                <w:w w:val="89"/>
              </w:rPr>
              <w:t>postretirement plans</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color w:val="auto"/>
                <w:w w:val="91"/>
              </w:rPr>
              <w:t>translation</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40" w:type="dxa"/>
            <w:vAlign w:val="bottom"/>
          </w:tcPr>
          <w:p>
            <w:pPr>
              <w:spacing w:after="0"/>
              <w:rPr>
                <w:sz w:val="19"/>
                <w:szCs w:val="19"/>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(31.8)</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(128.1)</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(159.6)</w:t>
            </w:r>
          </w:p>
        </w:tc>
        <w:tc>
          <w:tcPr>
            <w:tcW w:w="0" w:type="dxa"/>
            <w:vAlign w:val="bottom"/>
          </w:tcPr>
          <w:p>
            <w:pPr>
              <w:spacing w:after="0"/>
              <w:rPr>
                <w:sz w:val="1"/>
                <w:szCs w:val="1"/>
                <w:color w:val="auto"/>
              </w:rPr>
            </w:pPr>
          </w:p>
        </w:tc>
      </w:tr>
      <w:tr>
        <w:trPr>
          <w:trHeight w:val="399"/>
        </w:trPr>
        <w:tc>
          <w:tcPr>
            <w:tcW w:w="18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w:t>
            </w: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(87.3)</w:t>
            </w:r>
          </w:p>
        </w:tc>
        <w:tc>
          <w:tcPr>
            <w:tcW w:w="0" w:type="dxa"/>
            <w:vAlign w:val="bottom"/>
          </w:tcPr>
          <w:p>
            <w:pPr>
              <w:spacing w:after="0"/>
              <w:rPr>
                <w:sz w:val="1"/>
                <w:szCs w:val="1"/>
                <w:color w:val="auto"/>
              </w:rPr>
            </w:pPr>
          </w:p>
        </w:tc>
      </w:tr>
      <w:tr>
        <w:trPr>
          <w:trHeight w:val="587"/>
        </w:trPr>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392"/>
        </w:trPr>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(86.5)</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(86.3)</w:t>
            </w:r>
          </w:p>
        </w:tc>
        <w:tc>
          <w:tcPr>
            <w:tcW w:w="0" w:type="dxa"/>
            <w:vAlign w:val="bottom"/>
          </w:tcPr>
          <w:p>
            <w:pPr>
              <w:spacing w:after="0"/>
              <w:rPr>
                <w:sz w:val="1"/>
                <w:szCs w:val="1"/>
                <w:color w:val="auto"/>
              </w:rPr>
            </w:pPr>
          </w:p>
        </w:tc>
      </w:tr>
      <w:tr>
        <w:trPr>
          <w:trHeight w:val="230"/>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w:t>
            </w:r>
          </w:p>
        </w:tc>
        <w:tc>
          <w:tcPr>
            <w:tcW w:w="14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20"/>
                <w:szCs w:val="20"/>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2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(214.6)</w:t>
            </w: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(245.9)</w:t>
            </w:r>
          </w:p>
        </w:tc>
        <w:tc>
          <w:tcPr>
            <w:tcW w:w="0" w:type="dxa"/>
            <w:vAlign w:val="bottom"/>
          </w:tcPr>
          <w:p>
            <w:pPr>
              <w:spacing w:after="0"/>
              <w:rPr>
                <w:sz w:val="1"/>
                <w:szCs w:val="1"/>
                <w:color w:val="auto"/>
              </w:rPr>
            </w:pPr>
          </w:p>
        </w:tc>
      </w:tr>
      <w:tr>
        <w:trPr>
          <w:trHeight w:val="27"/>
        </w:trPr>
        <w:tc>
          <w:tcPr>
            <w:tcW w:w="1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-2000885</wp:posOffset>
            </wp:positionH>
            <wp:positionV relativeFrom="paragraph">
              <wp:posOffset>-1250950</wp:posOffset>
            </wp:positionV>
            <wp:extent cx="7132320" cy="1543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-831215</wp:posOffset>
            </wp:positionV>
            <wp:extent cx="7132320" cy="3771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9">
                      <a:extLst>
                        <a:ext uri="{28A0092B-C50C-407E-A947-70E740481C1C}"/>
                      </a:extLst>
                    </a:blip>
                    <a:srcRect/>
                    <a:stretch>
                      <a:fillRect/>
                    </a:stretch>
                  </pic:blipFill>
                  <pic:spPr bwMode="auto">
                    <a:xfrm>
                      <a:off x="0" y="0"/>
                      <a:ext cx="7132320" cy="377190"/>
                    </a:xfrm>
                    <a:prstGeom prst="rect">
                      <a:avLst/>
                    </a:prstGeom>
                    <a:noFill/>
                  </pic:spPr>
                </pic:pic>
              </a:graphicData>
            </a:graphic>
          </wp:anchor>
        </w:drawing>
        <w:drawing>
          <wp:anchor simplePos="0" relativeHeight="251657728" behindDoc="1" locked="0" layoutInCell="0" allowOverlap="1">
            <wp:simplePos x="0" y="0"/>
            <wp:positionH relativeFrom="column">
              <wp:posOffset>-2000885</wp:posOffset>
            </wp:positionH>
            <wp:positionV relativeFrom="paragraph">
              <wp:posOffset>-187960</wp:posOffset>
            </wp:positionV>
            <wp:extent cx="7132320"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000" w:space="160"/>
            <w:col w:w="8080"/>
          </w:cols>
          <w:pgMar w:left="320" w:top="13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18" w:name="page19"/>
    <w:bookmarkEnd w:id="1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reclassifications out from accumulated other comprehensive loss is presented in the following table:</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60" w:type="dxa"/>
            <w:vAlign w:val="bottom"/>
            <w:gridSpan w:val="2"/>
            <w:vMerge w:val="restart"/>
          </w:tcPr>
          <w:p>
            <w:pPr>
              <w:ind w:left="20"/>
              <w:spacing w:after="0"/>
              <w:rPr>
                <w:sz w:val="20"/>
                <w:szCs w:val="20"/>
                <w:color w:val="auto"/>
              </w:rPr>
            </w:pPr>
            <w:r>
              <w:rPr>
                <w:rFonts w:ascii="Arial" w:cs="Arial" w:eastAsia="Arial" w:hAnsi="Arial"/>
                <w:sz w:val="18"/>
                <w:szCs w:val="18"/>
                <w:color w:val="auto"/>
              </w:rPr>
              <w:t>($ in millions)</w:t>
            </w:r>
          </w:p>
        </w:tc>
        <w:tc>
          <w:tcPr>
            <w:tcW w:w="140" w:type="dxa"/>
            <w:vAlign w:val="bottom"/>
          </w:tcPr>
          <w:p>
            <w:pPr>
              <w:spacing w:after="0"/>
              <w:rPr>
                <w:sz w:val="17"/>
                <w:szCs w:val="17"/>
                <w:color w:val="auto"/>
              </w:rPr>
            </w:pPr>
          </w:p>
        </w:tc>
        <w:tc>
          <w:tcPr>
            <w:tcW w:w="1700" w:type="dxa"/>
            <w:vAlign w:val="bottom"/>
            <w:gridSpan w:val="4"/>
          </w:tcPr>
          <w:p>
            <w:pPr>
              <w:jc w:val="right"/>
              <w:ind w:right="70"/>
              <w:spacing w:after="0"/>
              <w:rPr>
                <w:sz w:val="20"/>
                <w:szCs w:val="20"/>
                <w:color w:val="auto"/>
              </w:rPr>
            </w:pPr>
            <w:r>
              <w:rPr>
                <w:rFonts w:ascii="Arial" w:cs="Arial" w:eastAsia="Arial" w:hAnsi="Arial"/>
                <w:sz w:val="18"/>
                <w:szCs w:val="18"/>
                <w:color w:val="auto"/>
                <w:w w:val="90"/>
              </w:rPr>
              <w:t>Three Months Ended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700" w:type="dxa"/>
            <w:vAlign w:val="bottom"/>
            <w:gridSpan w:val="4"/>
          </w:tcPr>
          <w:p>
            <w:pPr>
              <w:jc w:val="right"/>
              <w:ind w:right="190"/>
              <w:spacing w:after="0"/>
              <w:rPr>
                <w:sz w:val="20"/>
                <w:szCs w:val="20"/>
                <w:color w:val="auto"/>
              </w:rPr>
            </w:pPr>
            <w:r>
              <w:rPr>
                <w:rFonts w:ascii="Arial" w:cs="Arial" w:eastAsia="Arial" w:hAnsi="Arial"/>
                <w:sz w:val="18"/>
                <w:szCs w:val="18"/>
                <w:color w:val="auto"/>
                <w:w w:val="95"/>
              </w:rPr>
              <w:t>Six Months Ended</w:t>
            </w:r>
          </w:p>
        </w:tc>
        <w:tc>
          <w:tcPr>
            <w:tcW w:w="120" w:type="dxa"/>
            <w:vAlign w:val="bottom"/>
          </w:tcPr>
          <w:p>
            <w:pPr>
              <w:spacing w:after="0"/>
              <w:rPr>
                <w:sz w:val="17"/>
                <w:szCs w:val="17"/>
                <w:color w:val="auto"/>
              </w:rPr>
            </w:pPr>
          </w:p>
        </w:tc>
        <w:tc>
          <w:tcPr>
            <w:tcW w:w="3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160" w:type="dxa"/>
            <w:vAlign w:val="bottom"/>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June 30,</w:t>
            </w:r>
          </w:p>
        </w:tc>
        <w:tc>
          <w:tcPr>
            <w:tcW w:w="6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40" w:type="dxa"/>
            <w:vAlign w:val="bottom"/>
            <w:tcBorders>
              <w:bottom w:val="single" w:sz="8" w:color="auto"/>
            </w:tcBorders>
          </w:tcPr>
          <w:p>
            <w:pPr>
              <w:ind w:left="1260"/>
              <w:spacing w:after="0"/>
              <w:rPr>
                <w:sz w:val="20"/>
                <w:szCs w:val="20"/>
                <w:color w:val="auto"/>
              </w:rPr>
            </w:pPr>
            <w:r>
              <w:rPr>
                <w:rFonts w:ascii="Arial" w:cs="Arial" w:eastAsia="Arial" w:hAnsi="Arial"/>
                <w:sz w:val="18"/>
                <w:szCs w:val="18"/>
                <w:color w:val="auto"/>
              </w:rPr>
              <w:t>Detail of components</w:t>
            </w:r>
          </w:p>
        </w:tc>
        <w:tc>
          <w:tcPr>
            <w:tcW w:w="12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2023</w:t>
            </w:r>
          </w:p>
        </w:tc>
        <w:tc>
          <w:tcPr>
            <w:tcW w:w="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89"/>
              </w:rPr>
              <w:t>2022</w:t>
            </w:r>
          </w:p>
        </w:tc>
        <w:tc>
          <w:tcPr>
            <w:tcW w:w="120" w:type="dxa"/>
            <w:vAlign w:val="bottom"/>
          </w:tcPr>
          <w:p>
            <w:pPr>
              <w:spacing w:after="0"/>
              <w:rPr>
                <w:sz w:val="21"/>
                <w:szCs w:val="21"/>
                <w:color w:val="auto"/>
              </w:rPr>
            </w:pPr>
          </w:p>
        </w:tc>
        <w:tc>
          <w:tcPr>
            <w:tcW w:w="3120" w:type="dxa"/>
            <w:vAlign w:val="bottom"/>
            <w:tcBorders>
              <w:bottom w:val="single" w:sz="8" w:color="auto"/>
            </w:tcBorders>
          </w:tcPr>
          <w:p>
            <w:pPr>
              <w:ind w:left="360"/>
              <w:spacing w:after="0"/>
              <w:rPr>
                <w:sz w:val="20"/>
                <w:szCs w:val="20"/>
                <w:color w:val="auto"/>
              </w:rPr>
            </w:pPr>
            <w:r>
              <w:rPr>
                <w:rFonts w:ascii="Arial" w:cs="Arial" w:eastAsia="Arial" w:hAnsi="Arial"/>
                <w:sz w:val="18"/>
                <w:szCs w:val="18"/>
                <w:color w:val="auto"/>
              </w:rPr>
              <w:t>Location on Statement of Income</w:t>
            </w:r>
          </w:p>
        </w:tc>
        <w:tc>
          <w:tcPr>
            <w:tcW w:w="0" w:type="dxa"/>
            <w:vAlign w:val="bottom"/>
          </w:tcPr>
          <w:p>
            <w:pPr>
              <w:spacing w:after="0"/>
              <w:rPr>
                <w:sz w:val="1"/>
                <w:szCs w:val="1"/>
                <w:color w:val="auto"/>
              </w:rPr>
            </w:pPr>
          </w:p>
        </w:tc>
      </w:tr>
      <w:tr>
        <w:trPr>
          <w:trHeight w:val="223"/>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Gains (losses) on derivatives: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(0.6)</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(1.3)</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Net sales</w:t>
            </w:r>
          </w:p>
        </w:tc>
        <w:tc>
          <w:tcPr>
            <w:tcW w:w="0" w:type="dxa"/>
            <w:vAlign w:val="bottom"/>
          </w:tcPr>
          <w:p>
            <w:pPr>
              <w:spacing w:after="0"/>
              <w:rPr>
                <w:sz w:val="1"/>
                <w:szCs w:val="1"/>
                <w:color w:val="auto"/>
              </w:rPr>
            </w:pPr>
          </w:p>
        </w:tc>
      </w:tr>
      <w:tr>
        <w:trPr>
          <w:trHeight w:val="23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Foreign currency contracts</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shd w:val="clear" w:color="auto" w:fill="CCEEFF"/>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and services sold</w:t>
            </w:r>
          </w:p>
        </w:tc>
        <w:tc>
          <w:tcPr>
            <w:tcW w:w="0" w:type="dxa"/>
            <w:vAlign w:val="bottom"/>
          </w:tcPr>
          <w:p>
            <w:pPr>
              <w:spacing w:after="0"/>
              <w:rPr>
                <w:sz w:val="1"/>
                <w:szCs w:val="1"/>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Foreign currency contracts</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19"/>
                <w:szCs w:val="19"/>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Other expense (income)</w:t>
            </w:r>
          </w:p>
        </w:tc>
        <w:tc>
          <w:tcPr>
            <w:tcW w:w="0" w:type="dxa"/>
            <w:vAlign w:val="bottom"/>
          </w:tcPr>
          <w:p>
            <w:pPr>
              <w:spacing w:after="0"/>
              <w:rPr>
                <w:sz w:val="1"/>
                <w:szCs w:val="1"/>
                <w:color w:val="auto"/>
              </w:rPr>
            </w:pPr>
          </w:p>
        </w:tc>
      </w:tr>
      <w:tr>
        <w:trPr>
          <w:trHeight w:val="243"/>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Forward treasury locks</w:t>
            </w:r>
          </w:p>
        </w:tc>
        <w:tc>
          <w:tcPr>
            <w:tcW w:w="140" w:type="dxa"/>
            <w:vAlign w:val="bottom"/>
            <w:tcBorders>
              <w:bottom w:val="single" w:sz="8" w:color="auto"/>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1"/>
                <w:szCs w:val="21"/>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0" w:type="dxa"/>
            <w:vAlign w:val="bottom"/>
          </w:tcPr>
          <w:p>
            <w:pPr>
              <w:spacing w:after="0"/>
              <w:rPr>
                <w:sz w:val="1"/>
                <w:szCs w:val="1"/>
                <w:color w:val="auto"/>
              </w:rPr>
            </w:pPr>
          </w:p>
        </w:tc>
      </w:tr>
      <w:tr>
        <w:trPr>
          <w:trHeight w:val="223"/>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before tax</w:t>
            </w:r>
          </w:p>
        </w:tc>
        <w:tc>
          <w:tcPr>
            <w:tcW w:w="1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Tax benefit (expense)</w:t>
            </w:r>
          </w:p>
        </w:tc>
        <w:tc>
          <w:tcPr>
            <w:tcW w:w="1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(2.8)</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(3.5)</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416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6"/>
                <w:szCs w:val="16"/>
                <w:color w:val="auto"/>
              </w:rPr>
              <w:t>Amortization of defined benefit pension and other</w:t>
            </w: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3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postretirement plans:</w:t>
            </w:r>
          </w:p>
        </w:tc>
        <w:tc>
          <w:tcPr>
            <w:tcW w:w="1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1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Actuarial gains</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0.4</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0.8</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120" w:type="dxa"/>
            <w:vAlign w:val="bottom"/>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36"/>
        </w:trPr>
        <w:tc>
          <w:tcPr>
            <w:tcW w:w="416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Settlements</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3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t>
            </w:r>
          </w:p>
        </w:tc>
        <w:tc>
          <w:tcPr>
            <w:tcW w:w="0" w:type="dxa"/>
            <w:vAlign w:val="bottom"/>
          </w:tcPr>
          <w:p>
            <w:pPr>
              <w:spacing w:after="0"/>
              <w:rPr>
                <w:sz w:val="1"/>
                <w:szCs w:val="1"/>
                <w:color w:val="auto"/>
              </w:rPr>
            </w:pPr>
          </w:p>
        </w:tc>
      </w:tr>
      <w:tr>
        <w:trPr>
          <w:trHeight w:val="229"/>
        </w:trPr>
        <w:tc>
          <w:tcPr>
            <w:tcW w:w="4160" w:type="dxa"/>
            <w:vAlign w:val="bottom"/>
            <w:gridSpan w:val="2"/>
          </w:tcPr>
          <w:p>
            <w:pPr>
              <w:ind w:left="18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before tax</w:t>
            </w:r>
          </w:p>
        </w:tc>
        <w:tc>
          <w:tcPr>
            <w:tcW w:w="140" w:type="dxa"/>
            <w:vAlign w:val="bottom"/>
            <w:shd w:val="clear" w:color="auto" w:fill="CCEEFF"/>
          </w:tcPr>
          <w:p>
            <w:pPr>
              <w:spacing w:after="0"/>
              <w:rPr>
                <w:sz w:val="20"/>
                <w:szCs w:val="20"/>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3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Tax (expense) benefit</w:t>
            </w:r>
          </w:p>
        </w:tc>
        <w:tc>
          <w:tcPr>
            <w:tcW w:w="1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1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Net of tax</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19"/>
                <w:szCs w:val="19"/>
                <w:color w:val="auto"/>
              </w:rPr>
            </w:pPr>
          </w:p>
        </w:tc>
        <w:tc>
          <w:tcPr>
            <w:tcW w:w="31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160" w:type="dxa"/>
            <w:vAlign w:val="bottom"/>
            <w:gridSpan w:val="2"/>
          </w:tcPr>
          <w:p>
            <w:pPr>
              <w:ind w:left="20"/>
              <w:spacing w:after="0"/>
              <w:rPr>
                <w:sz w:val="20"/>
                <w:szCs w:val="20"/>
                <w:color w:val="auto"/>
              </w:rPr>
            </w:pPr>
            <w:r>
              <w:rPr>
                <w:rFonts w:ascii="Arial" w:cs="Arial" w:eastAsia="Arial" w:hAnsi="Arial"/>
                <w:sz w:val="18"/>
                <w:szCs w:val="18"/>
                <w:color w:val="auto"/>
              </w:rPr>
              <w:t>Total reclassifications for the period, net of tax</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(2.2)</w:t>
            </w:r>
          </w:p>
        </w:tc>
        <w:tc>
          <w:tcPr>
            <w:tcW w:w="34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(0.2)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(2.6)</w:t>
            </w:r>
          </w:p>
        </w:tc>
        <w:tc>
          <w:tcPr>
            <w:tcW w:w="380" w:type="dxa"/>
            <w:vAlign w:val="bottom"/>
            <w:gridSpan w:val="2"/>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0"/>
                <w:szCs w:val="20"/>
                <w:color w:val="auto"/>
              </w:rPr>
            </w:pPr>
          </w:p>
        </w:tc>
        <w:tc>
          <w:tcPr>
            <w:tcW w:w="3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left="240" w:hanging="232"/>
        <w:spacing w:after="0"/>
        <w:tabs>
          <w:tab w:leader="none" w:pos="240" w:val="left"/>
        </w:tabs>
        <w:numPr>
          <w:ilvl w:val="0"/>
          <w:numId w:val="4"/>
        </w:numPr>
        <w:rPr>
          <w:rFonts w:ascii="Arial" w:cs="Arial" w:eastAsia="Arial" w:hAnsi="Arial"/>
          <w:sz w:val="17"/>
          <w:szCs w:val="17"/>
          <w:color w:val="auto"/>
        </w:rPr>
      </w:pPr>
      <w:r>
        <w:rPr>
          <w:rFonts w:ascii="Arial" w:cs="Arial" w:eastAsia="Arial" w:hAnsi="Arial"/>
          <w:sz w:val="17"/>
          <w:szCs w:val="17"/>
          <w:color w:val="auto"/>
        </w:rPr>
        <w:t xml:space="preserve">These components are included in the computation of net periodic benefit cost. Please refer to Note 14, </w:t>
      </w:r>
      <w:r>
        <w:rPr>
          <w:rFonts w:ascii="Arial" w:cs="Arial" w:eastAsia="Arial" w:hAnsi="Arial"/>
          <w:sz w:val="17"/>
          <w:szCs w:val="17"/>
          <w:i w:val="1"/>
          <w:iCs w:val="1"/>
          <w:u w:val="single" w:color="auto"/>
          <w:color w:val="0000FF"/>
        </w:rPr>
        <w:t>Benefit Plans</w:t>
      </w:r>
      <w:r>
        <w:rPr>
          <w:rFonts w:ascii="Arial" w:cs="Arial" w:eastAsia="Arial" w:hAnsi="Arial"/>
          <w:sz w:val="17"/>
          <w:szCs w:val="17"/>
          <w:color w:val="auto"/>
        </w:rPr>
        <w:t>, for additional details.</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540"/>
        <w:spacing w:after="0"/>
        <w:rPr>
          <w:rFonts w:ascii="Arial" w:cs="Arial" w:eastAsia="Arial" w:hAnsi="Arial"/>
          <w:sz w:val="17"/>
          <w:szCs w:val="17"/>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19" w:name="page20"/>
    <w:bookmarkEnd w:id="1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tcPr>
          <w:p>
            <w:pPr>
              <w:spacing w:after="0"/>
              <w:rPr>
                <w:sz w:val="20"/>
                <w:szCs w:val="20"/>
                <w:color w:val="auto"/>
              </w:rPr>
            </w:pPr>
            <w:r>
              <w:rPr>
                <w:rFonts w:ascii="Arial" w:cs="Arial" w:eastAsia="Arial" w:hAnsi="Arial"/>
                <w:sz w:val="18"/>
                <w:szCs w:val="18"/>
                <w:b w:val="1"/>
                <w:bCs w:val="1"/>
                <w:color w:val="auto"/>
              </w:rPr>
              <w:t>Note 12: Shareholders</w:t>
            </w:r>
            <w:r>
              <w:rPr>
                <w:rFonts w:ascii="Arial" w:cs="Arial" w:eastAsia="Arial" w:hAnsi="Arial"/>
                <w:sz w:val="18"/>
                <w:szCs w:val="18"/>
                <w:color w:val="auto"/>
              </w:rPr>
              <w:t>’</w:t>
            </w:r>
            <w:r>
              <w:rPr>
                <w:rFonts w:ascii="Arial" w:cs="Arial" w:eastAsia="Arial" w:hAnsi="Arial"/>
                <w:sz w:val="18"/>
                <w:szCs w:val="18"/>
                <w:b w:val="1"/>
                <w:bCs w:val="1"/>
                <w:color w:val="auto"/>
              </w:rPr>
              <w:t xml:space="preserve"> Equity</w:t>
            </w: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7980" w:type="dxa"/>
            <w:vAlign w:val="bottom"/>
            <w:gridSpan w:val="13"/>
          </w:tcPr>
          <w:p>
            <w:pPr>
              <w:spacing w:after="0"/>
              <w:rPr>
                <w:sz w:val="20"/>
                <w:szCs w:val="20"/>
                <w:color w:val="auto"/>
              </w:rPr>
            </w:pPr>
            <w:r>
              <w:rPr>
                <w:rFonts w:ascii="Arial" w:cs="Arial" w:eastAsia="Arial" w:hAnsi="Arial"/>
                <w:sz w:val="18"/>
                <w:szCs w:val="18"/>
                <w:color w:val="auto"/>
                <w:w w:val="94"/>
              </w:rPr>
              <w:t>The following table presents the changes in shareholders’ equity for the six months ended June 30, 2023:</w:t>
            </w:r>
          </w:p>
        </w:tc>
        <w:tc>
          <w:tcPr>
            <w:tcW w:w="1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2"/>
        </w:trPr>
        <w:tc>
          <w:tcPr>
            <w:tcW w:w="35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20" w:type="dxa"/>
            <w:vAlign w:val="bottom"/>
          </w:tcPr>
          <w:p>
            <w:pPr>
              <w:jc w:val="center"/>
              <w:ind w:right="10"/>
              <w:spacing w:after="0"/>
              <w:rPr>
                <w:sz w:val="20"/>
                <w:szCs w:val="20"/>
                <w:color w:val="auto"/>
              </w:rPr>
            </w:pPr>
            <w:r>
              <w:rPr>
                <w:rFonts w:ascii="Arial" w:cs="Arial" w:eastAsia="Arial" w:hAnsi="Arial"/>
                <w:sz w:val="18"/>
                <w:szCs w:val="18"/>
                <w:color w:val="auto"/>
                <w:w w:val="92"/>
              </w:rPr>
              <w:t>Accumulated</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6"/>
        </w:trPr>
        <w:tc>
          <w:tcPr>
            <w:tcW w:w="354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93"/>
              </w:rPr>
              <w:t>Common</w:t>
            </w:r>
          </w:p>
        </w:tc>
        <w:tc>
          <w:tcPr>
            <w:tcW w:w="80" w:type="dxa"/>
            <w:vAlign w:val="bottom"/>
          </w:tcPr>
          <w:p>
            <w:pPr>
              <w:spacing w:after="0"/>
              <w:rPr>
                <w:sz w:val="15"/>
                <w:szCs w:val="15"/>
                <w:color w:val="auto"/>
              </w:rPr>
            </w:pPr>
          </w:p>
        </w:tc>
        <w:tc>
          <w:tcPr>
            <w:tcW w:w="820" w:type="dxa"/>
            <w:vAlign w:val="bottom"/>
            <w:gridSpan w:val="2"/>
            <w:vMerge w:val="restart"/>
          </w:tcPr>
          <w:p>
            <w:pPr>
              <w:jc w:val="right"/>
              <w:spacing w:after="0"/>
              <w:rPr>
                <w:sz w:val="20"/>
                <w:szCs w:val="20"/>
                <w:color w:val="auto"/>
              </w:rPr>
            </w:pPr>
            <w:r>
              <w:rPr>
                <w:rFonts w:ascii="Arial" w:cs="Arial" w:eastAsia="Arial" w:hAnsi="Arial"/>
                <w:sz w:val="18"/>
                <w:szCs w:val="18"/>
                <w:color w:val="auto"/>
                <w:w w:val="98"/>
              </w:rPr>
              <w:t>Common</w:t>
            </w:r>
          </w:p>
        </w:tc>
        <w:tc>
          <w:tcPr>
            <w:tcW w:w="100" w:type="dxa"/>
            <w:vAlign w:val="bottom"/>
          </w:tcPr>
          <w:p>
            <w:pPr>
              <w:spacing w:after="0"/>
              <w:rPr>
                <w:sz w:val="15"/>
                <w:szCs w:val="15"/>
                <w:color w:val="auto"/>
              </w:rPr>
            </w:pPr>
          </w:p>
        </w:tc>
        <w:tc>
          <w:tcPr>
            <w:tcW w:w="8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rPr>
              <w:t>Capital in</w:t>
            </w:r>
          </w:p>
        </w:tc>
        <w:tc>
          <w:tcPr>
            <w:tcW w:w="80" w:type="dxa"/>
            <w:vAlign w:val="bottom"/>
          </w:tcPr>
          <w:p>
            <w:pPr>
              <w:spacing w:after="0"/>
              <w:rPr>
                <w:sz w:val="15"/>
                <w:szCs w:val="15"/>
                <w:color w:val="auto"/>
              </w:rPr>
            </w:pPr>
          </w:p>
        </w:tc>
        <w:tc>
          <w:tcPr>
            <w:tcW w:w="840" w:type="dxa"/>
            <w:vAlign w:val="bottom"/>
          </w:tcPr>
          <w:p>
            <w:pPr>
              <w:jc w:val="right"/>
              <w:spacing w:after="0" w:line="176" w:lineRule="exact"/>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5"/>
                <w:szCs w:val="15"/>
                <w:color w:val="auto"/>
              </w:rPr>
            </w:pPr>
          </w:p>
        </w:tc>
        <w:tc>
          <w:tcPr>
            <w:tcW w:w="760" w:type="dxa"/>
            <w:vAlign w:val="bottom"/>
            <w:gridSpan w:val="2"/>
            <w:vMerge w:val="restart"/>
          </w:tcPr>
          <w:p>
            <w:pPr>
              <w:jc w:val="right"/>
              <w:spacing w:after="0"/>
              <w:rPr>
                <w:sz w:val="20"/>
                <w:szCs w:val="20"/>
                <w:color w:val="auto"/>
              </w:rPr>
            </w:pPr>
            <w:r>
              <w:rPr>
                <w:rFonts w:ascii="Arial" w:cs="Arial" w:eastAsia="Arial" w:hAnsi="Arial"/>
                <w:sz w:val="18"/>
                <w:szCs w:val="18"/>
                <w:color w:val="auto"/>
                <w:w w:val="95"/>
              </w:rPr>
              <w:t>Treasury</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Retained</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2"/>
              </w:rPr>
              <w:t>other</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3540" w:type="dxa"/>
            <w:vAlign w:val="bottom"/>
          </w:tcPr>
          <w:p>
            <w:pPr>
              <w:spacing w:after="0"/>
              <w:rPr>
                <w:sz w:val="15"/>
                <w:szCs w:val="15"/>
                <w:color w:val="auto"/>
              </w:rPr>
            </w:pP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w:t>
            </w:r>
          </w:p>
        </w:tc>
        <w:tc>
          <w:tcPr>
            <w:tcW w:w="80" w:type="dxa"/>
            <w:vAlign w:val="bottom"/>
          </w:tcPr>
          <w:p>
            <w:pPr>
              <w:spacing w:after="0"/>
              <w:rPr>
                <w:sz w:val="15"/>
                <w:szCs w:val="15"/>
                <w:color w:val="auto"/>
              </w:rPr>
            </w:pPr>
          </w:p>
        </w:tc>
        <w:tc>
          <w:tcPr>
            <w:tcW w:w="8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gridSpan w:val="2"/>
          </w:tcPr>
          <w:p>
            <w:pPr>
              <w:jc w:val="right"/>
              <w:ind w:right="10"/>
              <w:spacing w:after="0" w:line="176" w:lineRule="exact"/>
              <w:rPr>
                <w:sz w:val="20"/>
                <w:szCs w:val="20"/>
                <w:color w:val="auto"/>
              </w:rPr>
            </w:pPr>
            <w:r>
              <w:rPr>
                <w:rFonts w:ascii="Arial" w:cs="Arial" w:eastAsia="Arial" w:hAnsi="Arial"/>
                <w:sz w:val="18"/>
                <w:szCs w:val="18"/>
                <w:color w:val="auto"/>
                <w:w w:val="97"/>
              </w:rPr>
              <w:t>Excess of</w:t>
            </w:r>
          </w:p>
        </w:tc>
        <w:tc>
          <w:tcPr>
            <w:tcW w:w="80" w:type="dxa"/>
            <w:vAlign w:val="bottom"/>
          </w:tcPr>
          <w:p>
            <w:pPr>
              <w:spacing w:after="0"/>
              <w:rPr>
                <w:sz w:val="15"/>
                <w:szCs w:val="15"/>
                <w:color w:val="auto"/>
              </w:rPr>
            </w:pPr>
          </w:p>
        </w:tc>
        <w:tc>
          <w:tcPr>
            <w:tcW w:w="840" w:type="dxa"/>
            <w:vAlign w:val="bottom"/>
          </w:tcPr>
          <w:p>
            <w:pPr>
              <w:jc w:val="right"/>
              <w:ind w:right="10"/>
              <w:spacing w:after="0" w:line="176" w:lineRule="exact"/>
              <w:rPr>
                <w:sz w:val="20"/>
                <w:szCs w:val="20"/>
                <w:color w:val="auto"/>
              </w:rPr>
            </w:pPr>
            <w:r>
              <w:rPr>
                <w:rFonts w:ascii="Arial" w:cs="Arial" w:eastAsia="Arial" w:hAnsi="Arial"/>
                <w:sz w:val="18"/>
                <w:szCs w:val="18"/>
                <w:color w:val="auto"/>
              </w:rPr>
              <w:t>Treasury</w:t>
            </w:r>
          </w:p>
        </w:tc>
        <w:tc>
          <w:tcPr>
            <w:tcW w:w="10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0"/>
              </w:rPr>
              <w:t>comprehensive</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 millions)</w:t>
            </w: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Stock</w:t>
            </w:r>
          </w:p>
        </w:tc>
        <w:tc>
          <w:tcPr>
            <w:tcW w:w="100" w:type="dxa"/>
            <w:vAlign w:val="bottom"/>
            <w:tcBorders>
              <w:bottom w:val="single" w:sz="8" w:color="CCEEFF"/>
            </w:tcBorders>
          </w:tcPr>
          <w:p>
            <w:pPr>
              <w:spacing w:after="0"/>
              <w:rPr>
                <w:sz w:val="21"/>
                <w:szCs w:val="21"/>
                <w:color w:val="auto"/>
              </w:rPr>
            </w:pPr>
          </w:p>
        </w:tc>
        <w:tc>
          <w:tcPr>
            <w:tcW w:w="88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6"/>
              </w:rPr>
              <w:t>Par Value</w:t>
            </w: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Shares</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7"/>
              </w:rPr>
              <w:t>Stock</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8"/>
              </w:rPr>
              <w:t>earnings</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color w:val="auto"/>
                <w:w w:val="87"/>
              </w:rPr>
              <w:t>loss</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2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232.2</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$ 2,987.8</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2,684.9</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140.0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Activity related to 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188"/>
        </w:trPr>
        <w:tc>
          <w:tcPr>
            <w:tcW w:w="3540" w:type="dxa"/>
            <w:vAlign w:val="bottom"/>
          </w:tcPr>
          <w:p>
            <w:pPr>
              <w:ind w:left="20"/>
              <w:spacing w:after="0" w:line="189" w:lineRule="exact"/>
              <w:rPr>
                <w:sz w:val="20"/>
                <w:szCs w:val="20"/>
                <w:color w:val="auto"/>
              </w:rPr>
            </w:pPr>
            <w:r>
              <w:rPr>
                <w:rFonts w:ascii="Arial" w:cs="Arial" w:eastAsia="Arial" w:hAnsi="Arial"/>
                <w:sz w:val="18"/>
                <w:szCs w:val="18"/>
                <w:color w:val="auto"/>
              </w:rPr>
              <w:t>Shares purchased under share repurchase</w:t>
            </w: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540" w:type="dxa"/>
            <w:vAlign w:val="bottom"/>
          </w:tcPr>
          <w:p>
            <w:pPr>
              <w:ind w:left="20"/>
              <w:spacing w:after="0"/>
              <w:rPr>
                <w:sz w:val="20"/>
                <w:szCs w:val="20"/>
                <w:color w:val="auto"/>
              </w:rPr>
            </w:pPr>
            <w:r>
              <w:rPr>
                <w:rFonts w:ascii="Arial" w:cs="Arial" w:eastAsia="Arial" w:hAnsi="Arial"/>
                <w:sz w:val="18"/>
                <w:szCs w:val="18"/>
                <w:color w:val="auto"/>
              </w:rPr>
              <w:t>program</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(60.1)</w:t>
            </w:r>
          </w:p>
        </w:tc>
        <w:tc>
          <w:tcPr>
            <w:tcW w:w="1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(60.1)</w:t>
            </w:r>
          </w:p>
        </w:tc>
        <w:tc>
          <w:tcPr>
            <w:tcW w:w="0" w:type="dxa"/>
            <w:vAlign w:val="bottom"/>
          </w:tcPr>
          <w:p>
            <w:pPr>
              <w:spacing w:after="0"/>
              <w:rPr>
                <w:sz w:val="1"/>
                <w:szCs w:val="1"/>
                <w:color w:val="auto"/>
              </w:rPr>
            </w:pPr>
          </w:p>
        </w:tc>
      </w:tr>
      <w:tr>
        <w:trPr>
          <w:trHeight w:val="229"/>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43"/>
        </w:trPr>
        <w:tc>
          <w:tcPr>
            <w:tcW w:w="35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income, net of tax</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8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48"/>
        </w:trPr>
        <w:tc>
          <w:tcPr>
            <w:tcW w:w="3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2023</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w:t>
            </w: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(369.2)</w:t>
            </w:r>
          </w:p>
        </w:tc>
        <w:tc>
          <w:tcPr>
            <w:tcW w:w="1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$ 3,113.6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2,776.2</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54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155.1</w:t>
            </w: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2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155.1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Activity related to 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41.2</w:t>
            </w:r>
          </w:p>
        </w:tc>
        <w:tc>
          <w:tcPr>
            <w:tcW w:w="100" w:type="dxa"/>
            <w:vAlign w:val="bottom"/>
            <w:shd w:val="clear" w:color="auto" w:fill="CCEEFF"/>
          </w:tcPr>
          <w:p>
            <w:pPr>
              <w:spacing w:after="0"/>
              <w:rPr>
                <w:sz w:val="21"/>
                <w:szCs w:val="21"/>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176"/>
        </w:trPr>
        <w:tc>
          <w:tcPr>
            <w:tcW w:w="3540" w:type="dxa"/>
            <w:vAlign w:val="bottom"/>
          </w:tcPr>
          <w:p>
            <w:pPr>
              <w:ind w:left="20"/>
              <w:spacing w:after="0" w:line="176" w:lineRule="exact"/>
              <w:rPr>
                <w:sz w:val="20"/>
                <w:szCs w:val="20"/>
                <w:color w:val="auto"/>
              </w:rPr>
            </w:pPr>
            <w:r>
              <w:rPr>
                <w:rFonts w:ascii="Arial" w:cs="Arial" w:eastAsia="Arial" w:hAnsi="Arial"/>
                <w:sz w:val="18"/>
                <w:szCs w:val="18"/>
                <w:color w:val="auto"/>
              </w:rPr>
              <w:t>Shares purchased under share repurchase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vMerge w:val="restart"/>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100" w:type="dxa"/>
            <w:vAlign w:val="bottom"/>
          </w:tcPr>
          <w:p>
            <w:pPr>
              <w:spacing w:after="0"/>
              <w:rPr>
                <w:sz w:val="15"/>
                <w:szCs w:val="15"/>
                <w:color w:val="auto"/>
              </w:rPr>
            </w:pP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(173.4)</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program</w:t>
            </w:r>
          </w:p>
        </w:tc>
        <w:tc>
          <w:tcPr>
            <w:tcW w:w="7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9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($0.19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29"/>
        </w:trPr>
        <w:tc>
          <w:tcPr>
            <w:tcW w:w="3540" w:type="dxa"/>
            <w:vAlign w:val="bottom"/>
          </w:tcPr>
          <w:p>
            <w:pPr>
              <w:ind w:left="20"/>
              <w:spacing w:after="0"/>
              <w:rPr>
                <w:sz w:val="20"/>
                <w:szCs w:val="20"/>
                <w:color w:val="auto"/>
              </w:rPr>
            </w:pPr>
            <w:r>
              <w:rPr>
                <w:rFonts w:ascii="Arial" w:cs="Arial" w:eastAsia="Arial" w:hAnsi="Arial"/>
                <w:sz w:val="18"/>
                <w:szCs w:val="18"/>
                <w:color w:val="auto"/>
              </w:rPr>
              <w:t>Other comprehensive loss, net of tax</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43"/>
        </w:trPr>
        <w:tc>
          <w:tcPr>
            <w:tcW w:w="3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(501.4)</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$ 3,254.6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(183.5)</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2,746.7</w:t>
            </w:r>
          </w:p>
        </w:tc>
        <w:tc>
          <w:tcPr>
            <w:tcW w:w="0" w:type="dxa"/>
            <w:vAlign w:val="bottom"/>
          </w:tcPr>
          <w:p>
            <w:pPr>
              <w:spacing w:after="0"/>
              <w:rPr>
                <w:sz w:val="1"/>
                <w:szCs w:val="1"/>
                <w:color w:val="auto"/>
              </w:rPr>
            </w:pPr>
          </w:p>
        </w:tc>
      </w:tr>
      <w:tr>
        <w:trPr>
          <w:trHeight w:val="20"/>
        </w:trPr>
        <w:tc>
          <w:tcPr>
            <w:tcW w:w="35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0" w:name="page21"/>
    <w:bookmarkEnd w:id="2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changes in shareholders’ equity for the six months ended June 30, 2022:</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60" w:type="dxa"/>
            <w:vAlign w:val="bottom"/>
          </w:tcPr>
          <w:p>
            <w:pPr>
              <w:spacing w:after="0"/>
              <w:rPr>
                <w:sz w:val="17"/>
                <w:szCs w:val="17"/>
                <w:color w:val="auto"/>
              </w:rPr>
            </w:pP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93"/>
              </w:rPr>
              <w:t>Common</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8"/>
                <w:szCs w:val="18"/>
                <w:color w:val="auto"/>
              </w:rPr>
              <w:t>Capital in</w:t>
            </w:r>
          </w:p>
        </w:tc>
        <w:tc>
          <w:tcPr>
            <w:tcW w:w="100" w:type="dxa"/>
            <w:vAlign w:val="bottom"/>
          </w:tcPr>
          <w:p>
            <w:pPr>
              <w:spacing w:after="0"/>
              <w:rPr>
                <w:sz w:val="17"/>
                <w:szCs w:val="17"/>
                <w:color w:val="auto"/>
              </w:rPr>
            </w:pPr>
          </w:p>
        </w:tc>
        <w:tc>
          <w:tcPr>
            <w:tcW w:w="840" w:type="dxa"/>
            <w:vAlign w:val="bottom"/>
            <w:vMerge w:val="restart"/>
          </w:tcPr>
          <w:p>
            <w:pPr>
              <w:jc w:val="center"/>
              <w:spacing w:after="0"/>
              <w:rPr>
                <w:sz w:val="20"/>
                <w:szCs w:val="20"/>
                <w:color w:val="auto"/>
              </w:rPr>
            </w:pPr>
            <w:r>
              <w:rPr>
                <w:rFonts w:ascii="Arial" w:cs="Arial" w:eastAsia="Arial" w:hAnsi="Arial"/>
                <w:sz w:val="18"/>
                <w:szCs w:val="18"/>
                <w:color w:val="auto"/>
                <w:w w:val="95"/>
              </w:rPr>
              <w:t>Number of</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0" w:type="dxa"/>
            <w:vAlign w:val="bottom"/>
          </w:tcPr>
          <w:p>
            <w:pPr>
              <w:jc w:val="center"/>
              <w:ind w:right="30"/>
              <w:spacing w:after="0"/>
              <w:rPr>
                <w:sz w:val="20"/>
                <w:szCs w:val="20"/>
                <w:color w:val="auto"/>
              </w:rPr>
            </w:pPr>
            <w:r>
              <w:rPr>
                <w:rFonts w:ascii="Arial" w:cs="Arial" w:eastAsia="Arial" w:hAnsi="Arial"/>
                <w:sz w:val="18"/>
                <w:szCs w:val="18"/>
                <w:color w:val="auto"/>
                <w:w w:val="92"/>
              </w:rPr>
              <w:t>Accumulated</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346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center"/>
              <w:ind w:right="10"/>
              <w:spacing w:after="0" w:line="189" w:lineRule="exact"/>
              <w:rPr>
                <w:sz w:val="20"/>
                <w:szCs w:val="20"/>
                <w:color w:val="auto"/>
              </w:rPr>
            </w:pPr>
            <w:r>
              <w:rPr>
                <w:rFonts w:ascii="Arial" w:cs="Arial" w:eastAsia="Arial" w:hAnsi="Arial"/>
                <w:sz w:val="18"/>
                <w:szCs w:val="18"/>
                <w:color w:val="auto"/>
                <w:w w:val="92"/>
              </w:rPr>
              <w:t>other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3460" w:type="dxa"/>
            <w:vAlign w:val="bottom"/>
            <w:vMerge w:val="restart"/>
          </w:tcPr>
          <w:p>
            <w:pPr>
              <w:ind w:left="20"/>
              <w:spacing w:after="0"/>
              <w:rPr>
                <w:sz w:val="20"/>
                <w:szCs w:val="20"/>
                <w:color w:val="auto"/>
              </w:rPr>
            </w:pPr>
            <w:r>
              <w:rPr>
                <w:rFonts w:ascii="Arial" w:cs="Arial" w:eastAsia="Arial" w:hAnsi="Arial"/>
                <w:sz w:val="18"/>
                <w:szCs w:val="18"/>
                <w:color w:val="auto"/>
              </w:rPr>
              <w:t>(in millions)</w:t>
            </w:r>
          </w:p>
        </w:tc>
        <w:tc>
          <w:tcPr>
            <w:tcW w:w="780" w:type="dxa"/>
            <w:vAlign w:val="bottom"/>
          </w:tcPr>
          <w:p>
            <w:pPr>
              <w:jc w:val="center"/>
              <w:spacing w:after="0" w:line="176" w:lineRule="exact"/>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5"/>
                <w:szCs w:val="15"/>
                <w:color w:val="auto"/>
              </w:rPr>
            </w:pPr>
          </w:p>
        </w:tc>
        <w:tc>
          <w:tcPr>
            <w:tcW w:w="82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8"/>
              </w:rPr>
              <w:t>Common</w:t>
            </w:r>
          </w:p>
        </w:tc>
        <w:tc>
          <w:tcPr>
            <w:tcW w:w="80" w:type="dxa"/>
            <w:vAlign w:val="bottom"/>
          </w:tcPr>
          <w:p>
            <w:pPr>
              <w:spacing w:after="0"/>
              <w:rPr>
                <w:sz w:val="15"/>
                <w:szCs w:val="15"/>
                <w:color w:val="auto"/>
              </w:rPr>
            </w:pPr>
          </w:p>
        </w:tc>
        <w:tc>
          <w:tcPr>
            <w:tcW w:w="88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9"/>
              </w:rPr>
              <w:t>Excess of</w:t>
            </w:r>
          </w:p>
        </w:tc>
        <w:tc>
          <w:tcPr>
            <w:tcW w:w="100" w:type="dxa"/>
            <w:vAlign w:val="bottom"/>
          </w:tcPr>
          <w:p>
            <w:pPr>
              <w:spacing w:after="0"/>
              <w:rPr>
                <w:sz w:val="15"/>
                <w:szCs w:val="15"/>
                <w:color w:val="auto"/>
              </w:rPr>
            </w:pPr>
          </w:p>
        </w:tc>
        <w:tc>
          <w:tcPr>
            <w:tcW w:w="840" w:type="dxa"/>
            <w:vAlign w:val="bottom"/>
          </w:tcPr>
          <w:p>
            <w:pPr>
              <w:jc w:val="center"/>
              <w:spacing w:after="0" w:line="176" w:lineRule="exact"/>
              <w:rPr>
                <w:sz w:val="20"/>
                <w:szCs w:val="20"/>
                <w:color w:val="auto"/>
              </w:rPr>
            </w:pPr>
            <w:r>
              <w:rPr>
                <w:rFonts w:ascii="Arial" w:cs="Arial" w:eastAsia="Arial" w:hAnsi="Arial"/>
                <w:sz w:val="18"/>
                <w:szCs w:val="18"/>
                <w:color w:val="auto"/>
                <w:w w:val="90"/>
              </w:rPr>
              <w:t>Treasury</w:t>
            </w:r>
          </w:p>
        </w:tc>
        <w:tc>
          <w:tcPr>
            <w:tcW w:w="100" w:type="dxa"/>
            <w:vAlign w:val="bottom"/>
          </w:tcPr>
          <w:p>
            <w:pPr>
              <w:spacing w:after="0"/>
              <w:rPr>
                <w:sz w:val="15"/>
                <w:szCs w:val="15"/>
                <w:color w:val="auto"/>
              </w:rPr>
            </w:pPr>
          </w:p>
        </w:tc>
        <w:tc>
          <w:tcPr>
            <w:tcW w:w="780" w:type="dxa"/>
            <w:vAlign w:val="bottom"/>
            <w:gridSpan w:val="2"/>
          </w:tcPr>
          <w:p>
            <w:pPr>
              <w:jc w:val="right"/>
              <w:spacing w:after="0" w:line="176" w:lineRule="exact"/>
              <w:rPr>
                <w:sz w:val="20"/>
                <w:szCs w:val="20"/>
                <w:color w:val="auto"/>
              </w:rPr>
            </w:pPr>
            <w:r>
              <w:rPr>
                <w:rFonts w:ascii="Arial" w:cs="Arial" w:eastAsia="Arial" w:hAnsi="Arial"/>
                <w:sz w:val="18"/>
                <w:szCs w:val="18"/>
                <w:color w:val="auto"/>
                <w:w w:val="95"/>
              </w:rPr>
              <w:t>Treasury</w:t>
            </w:r>
          </w:p>
        </w:tc>
        <w:tc>
          <w:tcPr>
            <w:tcW w:w="80" w:type="dxa"/>
            <w:vAlign w:val="bottom"/>
          </w:tcPr>
          <w:p>
            <w:pPr>
              <w:spacing w:after="0"/>
              <w:rPr>
                <w:sz w:val="15"/>
                <w:szCs w:val="15"/>
                <w:color w:val="auto"/>
              </w:rPr>
            </w:pPr>
          </w:p>
        </w:tc>
        <w:tc>
          <w:tcPr>
            <w:tcW w:w="780" w:type="dxa"/>
            <w:vAlign w:val="bottom"/>
          </w:tcPr>
          <w:p>
            <w:pPr>
              <w:jc w:val="right"/>
              <w:spacing w:after="0" w:line="176" w:lineRule="exact"/>
              <w:rPr>
                <w:sz w:val="20"/>
                <w:szCs w:val="20"/>
                <w:color w:val="auto"/>
              </w:rPr>
            </w:pPr>
            <w:r>
              <w:rPr>
                <w:rFonts w:ascii="Arial" w:cs="Arial" w:eastAsia="Arial" w:hAnsi="Arial"/>
                <w:sz w:val="18"/>
                <w:szCs w:val="18"/>
                <w:color w:val="auto"/>
                <w:w w:val="97"/>
              </w:rPr>
              <w:t>Retained</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tcPr>
          <w:p>
            <w:pPr>
              <w:jc w:val="center"/>
              <w:ind w:right="10"/>
              <w:spacing w:after="0" w:line="176" w:lineRule="exact"/>
              <w:rPr>
                <w:sz w:val="20"/>
                <w:szCs w:val="20"/>
                <w:color w:val="auto"/>
              </w:rPr>
            </w:pPr>
            <w:r>
              <w:rPr>
                <w:rFonts w:ascii="Arial" w:cs="Arial" w:eastAsia="Arial" w:hAnsi="Arial"/>
                <w:sz w:val="18"/>
                <w:szCs w:val="18"/>
                <w:color w:val="auto"/>
                <w:w w:val="90"/>
              </w:rPr>
              <w:t>comprehensive</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ind w:right="150"/>
              <w:spacing w:after="0"/>
              <w:rPr>
                <w:sz w:val="20"/>
                <w:szCs w:val="20"/>
                <w:color w:val="auto"/>
              </w:rPr>
            </w:pPr>
            <w:r>
              <w:rPr>
                <w:rFonts w:ascii="Arial" w:cs="Arial" w:eastAsia="Arial" w:hAnsi="Arial"/>
                <w:sz w:val="18"/>
                <w:szCs w:val="18"/>
                <w:color w:val="auto"/>
              </w:rPr>
              <w:t>Total</w:t>
            </w:r>
          </w:p>
        </w:tc>
        <w:tc>
          <w:tcPr>
            <w:tcW w:w="0" w:type="dxa"/>
            <w:vAlign w:val="bottom"/>
          </w:tcPr>
          <w:p>
            <w:pPr>
              <w:spacing w:after="0"/>
              <w:rPr>
                <w:sz w:val="1"/>
                <w:szCs w:val="1"/>
                <w:color w:val="auto"/>
              </w:rPr>
            </w:pPr>
          </w:p>
        </w:tc>
      </w:tr>
      <w:tr>
        <w:trPr>
          <w:trHeight w:val="230"/>
        </w:trPr>
        <w:tc>
          <w:tcPr>
            <w:tcW w:w="3460" w:type="dxa"/>
            <w:vAlign w:val="bottom"/>
            <w:vMerge w:val="continue"/>
          </w:tcPr>
          <w:p>
            <w:pPr>
              <w:spacing w:after="0"/>
              <w:rPr>
                <w:sz w:val="19"/>
                <w:szCs w:val="19"/>
                <w:color w:val="auto"/>
              </w:rPr>
            </w:pPr>
          </w:p>
        </w:tc>
        <w:tc>
          <w:tcPr>
            <w:tcW w:w="7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Issued</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7"/>
              </w:rPr>
              <w:t>Stock</w:t>
            </w:r>
          </w:p>
        </w:tc>
        <w:tc>
          <w:tcPr>
            <w:tcW w:w="80" w:type="dxa"/>
            <w:vAlign w:val="bottom"/>
          </w:tcPr>
          <w:p>
            <w:pPr>
              <w:spacing w:after="0"/>
              <w:rPr>
                <w:sz w:val="19"/>
                <w:szCs w:val="19"/>
                <w:color w:val="auto"/>
              </w:rPr>
            </w:pPr>
          </w:p>
        </w:tc>
        <w:tc>
          <w:tcPr>
            <w:tcW w:w="8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w w:val="98"/>
              </w:rPr>
              <w:t>Par Value</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4"/>
              </w:rPr>
              <w:t>Shares</w:t>
            </w: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3"/>
              </w:rPr>
              <w:t>Stock</w:t>
            </w:r>
          </w:p>
        </w:tc>
        <w:tc>
          <w:tcPr>
            <w:tcW w:w="80" w:type="dxa"/>
            <w:vAlign w:val="bottom"/>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earnings</w:t>
            </w:r>
          </w:p>
        </w:tc>
        <w:tc>
          <w:tcPr>
            <w:tcW w:w="10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color w:val="auto"/>
                <w:w w:val="87"/>
              </w:rPr>
              <w:t>loss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2021</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34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249.0</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(229.5)</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$ 2,456.7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(159.6)</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2,335.4</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173.8</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173.8</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Activity related to 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w:t>
            </w: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188"/>
        </w:trPr>
        <w:tc>
          <w:tcPr>
            <w:tcW w:w="3460" w:type="dxa"/>
            <w:vAlign w:val="bottom"/>
          </w:tcPr>
          <w:p>
            <w:pPr>
              <w:ind w:left="20"/>
              <w:spacing w:after="0" w:line="189" w:lineRule="exact"/>
              <w:rPr>
                <w:sz w:val="20"/>
                <w:szCs w:val="20"/>
                <w:color w:val="auto"/>
              </w:rPr>
            </w:pPr>
            <w:r>
              <w:rPr>
                <w:rFonts w:ascii="Arial" w:cs="Arial" w:eastAsia="Arial" w:hAnsi="Arial"/>
                <w:sz w:val="18"/>
                <w:szCs w:val="18"/>
                <w:color w:val="auto"/>
                <w:w w:val="99"/>
              </w:rPr>
              <w:t>Shares purchased under share repurchase</w:t>
            </w: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program</w:t>
            </w: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(147.1)</w:t>
            </w:r>
          </w:p>
        </w:tc>
        <w:tc>
          <w:tcPr>
            <w:tcW w:w="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(147.1)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0" w:type="dxa"/>
            <w:vAlign w:val="bottom"/>
          </w:tcPr>
          <w:p>
            <w:pPr>
              <w:spacing w:after="0"/>
              <w:rPr>
                <w:sz w:val="1"/>
                <w:szCs w:val="1"/>
                <w:color w:val="auto"/>
              </w:rPr>
            </w:pPr>
          </w:p>
        </w:tc>
      </w:tr>
      <w:tr>
        <w:trPr>
          <w:trHeight w:val="243"/>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10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(22.8)</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219.9</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(347.4)</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$ 2,617.3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2,326.2</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Net income</w:t>
            </w:r>
          </w:p>
        </w:tc>
        <w:tc>
          <w:tcPr>
            <w:tcW w:w="7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460" w:type="dxa"/>
            <w:vAlign w:val="bottom"/>
            <w:tcBorders>
              <w:top w:val="single" w:sz="8" w:color="CCEEFF"/>
            </w:tcBorders>
            <w:vMerge w:val="continue"/>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6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8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6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7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w:t>
            </w:r>
          </w:p>
        </w:tc>
        <w:tc>
          <w:tcPr>
            <w:tcW w:w="10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2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6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188.5</w:t>
            </w: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Activity related to stock-based compensation</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8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175"/>
        </w:trPr>
        <w:tc>
          <w:tcPr>
            <w:tcW w:w="3460" w:type="dxa"/>
            <w:vAlign w:val="bottom"/>
          </w:tcPr>
          <w:p>
            <w:pPr>
              <w:ind w:left="20"/>
              <w:spacing w:after="0" w:line="176" w:lineRule="exact"/>
              <w:rPr>
                <w:sz w:val="20"/>
                <w:szCs w:val="20"/>
                <w:color w:val="auto"/>
              </w:rPr>
            </w:pPr>
            <w:r>
              <w:rPr>
                <w:rFonts w:ascii="Arial" w:cs="Arial" w:eastAsia="Arial" w:hAnsi="Arial"/>
                <w:sz w:val="18"/>
                <w:szCs w:val="18"/>
                <w:color w:val="auto"/>
                <w:w w:val="99"/>
              </w:rPr>
              <w:t>Shares purchased under share repurchase</w:t>
            </w: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940" w:type="dxa"/>
            <w:vAlign w:val="bottom"/>
            <w:gridSpan w:val="2"/>
            <w:vMerge w:val="restart"/>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80" w:type="dxa"/>
            <w:vAlign w:val="bottom"/>
          </w:tcPr>
          <w:p>
            <w:pPr>
              <w:spacing w:after="0"/>
              <w:rPr>
                <w:sz w:val="15"/>
                <w:szCs w:val="15"/>
                <w:color w:val="auto"/>
              </w:rPr>
            </w:pPr>
          </w:p>
        </w:tc>
        <w:tc>
          <w:tcPr>
            <w:tcW w:w="7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program</w:t>
            </w: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94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Dividends declared ($0.18 per share)</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3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comprehensive loss, net of tax</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w:t>
            </w:r>
          </w:p>
        </w:tc>
        <w:tc>
          <w:tcPr>
            <w:tcW w:w="0" w:type="dxa"/>
            <w:vAlign w:val="bottom"/>
          </w:tcPr>
          <w:p>
            <w:pPr>
              <w:spacing w:after="0"/>
              <w:rPr>
                <w:sz w:val="1"/>
                <w:szCs w:val="1"/>
                <w:color w:val="auto"/>
              </w:rPr>
            </w:pPr>
          </w:p>
        </w:tc>
      </w:tr>
      <w:tr>
        <w:trPr>
          <w:trHeight w:val="248"/>
        </w:trPr>
        <w:tc>
          <w:tcPr>
            <w:tcW w:w="3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June 30, 2022</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225.3</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(366.3)</w:t>
            </w:r>
          </w:p>
        </w:tc>
        <w:tc>
          <w:tcPr>
            <w:tcW w:w="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$ 2,792.5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2,424.4</w:t>
            </w:r>
          </w:p>
        </w:tc>
        <w:tc>
          <w:tcPr>
            <w:tcW w:w="0" w:type="dxa"/>
            <w:vAlign w:val="bottom"/>
          </w:tcPr>
          <w:p>
            <w:pPr>
              <w:spacing w:after="0"/>
              <w:rPr>
                <w:sz w:val="1"/>
                <w:szCs w:val="1"/>
                <w:color w:val="auto"/>
              </w:rPr>
            </w:pP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21" w:name="page22"/>
    <w:bookmarkEnd w:id="2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Stock-Based Compensation</w:t>
      </w:r>
    </w:p>
    <w:p>
      <w:pPr>
        <w:spacing w:after="0" w:line="256"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The West Pharmaceutical Services, Inc. 2016 Omnibus Incentive Compensation Plan (the “2016 Plan”) provides for the granting of stock options, stock appreciation rights, restricted stock awards and performance awards to employees and non-employee directors. A committee of the Board of Directors determines the terms and conditions of awards to be granted. Vesting requirements vary by award. At June 30, 2023, there were 1,437,197 shares remaining in the 2016 Plan for future grants.</w:t>
      </w:r>
    </w:p>
    <w:p>
      <w:pPr>
        <w:spacing w:after="0" w:line="214"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the six months ended June 30, 2023, we granted 105,640 stock options at a weighted average exercise price of $306.92 per share based on the grant-date fair value of our stock to employees under the 2016 Plan. The weighted average grant date fair value of options granted was $108.88 per share as determined by the Black-Scholes option valuation model using the following weighted average assumptions: a risk-free interest rate of 4.1%; expected life of 5.7 years based on prior experience; stock volatility of 29.8% based on historical data; and a dividend yield of 0.3%. Stock option expense is recognized over the vesting period, net of forfeitures.</w:t>
      </w:r>
    </w:p>
    <w:p>
      <w:pPr>
        <w:spacing w:after="0" w:line="215" w:lineRule="exact"/>
        <w:rPr>
          <w:sz w:val="20"/>
          <w:szCs w:val="20"/>
          <w:color w:val="auto"/>
        </w:rPr>
      </w:pPr>
    </w:p>
    <w:p>
      <w:pPr>
        <w:ind w:right="120"/>
        <w:spacing w:after="0" w:line="293" w:lineRule="auto"/>
        <w:rPr>
          <w:sz w:val="20"/>
          <w:szCs w:val="20"/>
          <w:color w:val="auto"/>
        </w:rPr>
      </w:pPr>
      <w:r>
        <w:rPr>
          <w:rFonts w:ascii="Arial" w:cs="Arial" w:eastAsia="Arial" w:hAnsi="Arial"/>
          <w:sz w:val="16"/>
          <w:szCs w:val="16"/>
          <w:color w:val="auto"/>
        </w:rPr>
        <w:t>During the six months ended June 30, 2023, we granted 37,536 stock-settled performance share unit (“PSU”) awards at a weighted average grant-date fair value of $306.91 per share to eligible employees. These awards are earned based on the Company’s performance against pre-established targets, including annual growth rate of revenue and return on invested capital, over a specified performance period. Depending on the achievement of the targets, recipients of stock-settled PSU awards are entitled to receive a certain number of shares of common stock. Shares earned under PSU awards may vary from 0% to 200% of an employee’s targeted award. The fair value of stock-settled PSU awards is based on the market price of our stock at the grant date and is recognized as expense over the performance period, adjusted for estimated target outcomes and net of forfeitures.</w:t>
      </w:r>
    </w:p>
    <w:p>
      <w:pPr>
        <w:spacing w:after="0" w:line="191"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During the six months ended June 30, 2023, we granted 4,479 stock-settled restricted share unit (“RSU”) awards at a weighted average grant-date fair value of $309.42 per share to eligible employees. These awards are earned over a specified performance period. The fair value of stock-settled RSU awards is based on the market price of our stock at the grant date and is recognized as expense over the vesting period, net of forfeitures.</w:t>
      </w:r>
    </w:p>
    <w:p>
      <w:pPr>
        <w:spacing w:after="0" w:line="19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Stock-based compensation expense was $7.5 million and $16.0 million for the three and six months ended June 30, 2023, respectively. For the three and six months ended June 30, 2022, stock-based compensation expense was $5.5 million and $11.0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2" w:name="page23"/>
    <w:bookmarkEnd w:id="2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r>
              <w:rPr>
                <w:rFonts w:ascii="Arial" w:cs="Arial" w:eastAsia="Arial" w:hAnsi="Arial"/>
                <w:sz w:val="18"/>
                <w:szCs w:val="18"/>
                <w:b w:val="1"/>
                <w:bCs w:val="1"/>
                <w:color w:val="auto"/>
              </w:rPr>
              <w:t>Note 14: Benefit Plans</w:t>
            </w: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459"/>
        </w:trPr>
        <w:tc>
          <w:tcPr>
            <w:tcW w:w="7380" w:type="dxa"/>
            <w:vAlign w:val="bottom"/>
            <w:gridSpan w:val="9"/>
          </w:tcPr>
          <w:p>
            <w:pPr>
              <w:spacing w:after="0"/>
              <w:rPr>
                <w:sz w:val="20"/>
                <w:szCs w:val="20"/>
                <w:color w:val="auto"/>
              </w:rPr>
            </w:pPr>
            <w:r>
              <w:rPr>
                <w:rFonts w:ascii="Arial" w:cs="Arial" w:eastAsia="Arial" w:hAnsi="Arial"/>
                <w:sz w:val="18"/>
                <w:szCs w:val="18"/>
                <w:color w:val="auto"/>
                <w:w w:val="95"/>
              </w:rPr>
              <w:t>The components of net periodic benefit cost for the three months ended June 30 were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6"/>
        </w:trPr>
        <w:tc>
          <w:tcPr>
            <w:tcW w:w="3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Pension benefits</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2"/>
                <w:szCs w:val="22"/>
                <w:color w:val="auto"/>
              </w:rPr>
            </w:pP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7"/>
              </w:rPr>
              <w:t>1.6</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(2.4)</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860" w:type="dxa"/>
            <w:vAlign w:val="bottom"/>
            <w:shd w:val="clear" w:color="auto" w:fill="CCEEFF"/>
          </w:tcPr>
          <w:p>
            <w:pPr>
              <w:spacing w:after="0"/>
              <w:rPr>
                <w:sz w:val="21"/>
                <w:szCs w:val="21"/>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7"/>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(0.3)</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0.6</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0.4</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(0.3)</w:t>
            </w:r>
          </w:p>
        </w:tc>
        <w:tc>
          <w:tcPr>
            <w:tcW w:w="140" w:type="dxa"/>
            <w:vAlign w:val="bottom"/>
          </w:tcPr>
          <w:p>
            <w:pPr>
              <w:spacing w:after="0"/>
              <w:rPr>
                <w:sz w:val="20"/>
                <w:szCs w:val="20"/>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1"/>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Pension benefits</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4"/>
                <w:szCs w:val="24"/>
                <w:color w:val="auto"/>
              </w:rPr>
            </w:pPr>
          </w:p>
        </w:tc>
      </w:tr>
      <w:tr>
        <w:trPr>
          <w:trHeight w:val="229"/>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(0.3)</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0.1</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1"/>
                <w:szCs w:val="21"/>
                <w:color w:val="auto"/>
              </w:rPr>
            </w:pPr>
          </w:p>
        </w:tc>
        <w:tc>
          <w:tcPr>
            <w:tcW w:w="860" w:type="dxa"/>
            <w:vAlign w:val="bottom"/>
            <w:tcBorders>
              <w:bottom w:val="single" w:sz="8" w:color="auto"/>
            </w:tcBorders>
          </w:tcPr>
          <w:p>
            <w:pPr>
              <w:spacing w:after="0"/>
              <w:rPr>
                <w:sz w:val="21"/>
                <w:szCs w:val="21"/>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r>
      <w:tr>
        <w:trPr>
          <w:trHeight w:val="248"/>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0.4</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(0.3)</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r>
        <w:trPr>
          <w:trHeight w:val="528"/>
        </w:trPr>
        <w:tc>
          <w:tcPr>
            <w:tcW w:w="7380" w:type="dxa"/>
            <w:vAlign w:val="bottom"/>
            <w:gridSpan w:val="9"/>
          </w:tcPr>
          <w:p>
            <w:pPr>
              <w:spacing w:after="0"/>
              <w:rPr>
                <w:sz w:val="20"/>
                <w:szCs w:val="20"/>
                <w:color w:val="auto"/>
              </w:rPr>
            </w:pPr>
            <w:r>
              <w:rPr>
                <w:rFonts w:ascii="Arial" w:cs="Arial" w:eastAsia="Arial" w:hAnsi="Arial"/>
                <w:sz w:val="18"/>
                <w:szCs w:val="18"/>
                <w:color w:val="auto"/>
                <w:w w:val="97"/>
              </w:rPr>
              <w:t>The components of net periodic benefit cost for the six months ended June 30 were as follows:</w:t>
            </w:r>
          </w:p>
        </w:tc>
        <w:tc>
          <w:tcPr>
            <w:tcW w:w="1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257"/>
        </w:trPr>
        <w:tc>
          <w:tcPr>
            <w:tcW w:w="366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21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Pension benefits</w:t>
            </w: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Borders>
              <w:bottom w:val="single" w:sz="8" w:color="auto"/>
            </w:tcBorders>
          </w:tcPr>
          <w:p>
            <w:pPr>
              <w:spacing w:after="0"/>
              <w:rPr>
                <w:sz w:val="22"/>
                <w:szCs w:val="22"/>
                <w:color w:val="auto"/>
              </w:rPr>
            </w:pPr>
          </w:p>
        </w:tc>
        <w:tc>
          <w:tcPr>
            <w:tcW w:w="14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2"/>
                <w:szCs w:val="22"/>
                <w:color w:val="auto"/>
              </w:rPr>
            </w:pP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Borders>
              <w:bottom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2022</w:t>
            </w:r>
          </w:p>
        </w:tc>
      </w:tr>
      <w:tr>
        <w:trPr>
          <w:trHeight w:val="23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0.7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7"/>
              </w:rPr>
              <w:t>3.2</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60" w:type="dxa"/>
            <w:vAlign w:val="bottom"/>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assets</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center"/>
              <w:ind w:left="390"/>
              <w:spacing w:after="0"/>
              <w:rPr>
                <w:sz w:val="20"/>
                <w:szCs w:val="20"/>
                <w:color w:val="auto"/>
              </w:rPr>
            </w:pPr>
            <w:r>
              <w:rPr>
                <w:rFonts w:ascii="Arial" w:cs="Arial" w:eastAsia="Arial" w:hAnsi="Arial"/>
                <w:sz w:val="18"/>
                <w:szCs w:val="18"/>
                <w:color w:val="auto"/>
                <w:w w:val="91"/>
              </w:rPr>
              <w:t>(4.6)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3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r>
      <w:tr>
        <w:trPr>
          <w:trHeight w:val="237"/>
        </w:trPr>
        <w:tc>
          <w:tcPr>
            <w:tcW w:w="3660" w:type="dxa"/>
            <w:vAlign w:val="bottom"/>
          </w:tcPr>
          <w:p>
            <w:pPr>
              <w:ind w:left="20"/>
              <w:spacing w:after="0"/>
              <w:rPr>
                <w:sz w:val="20"/>
                <w:szCs w:val="20"/>
                <w:color w:val="auto"/>
              </w:rPr>
            </w:pPr>
            <w:r>
              <w:rPr>
                <w:rFonts w:ascii="Arial" w:cs="Arial" w:eastAsia="Arial" w:hAnsi="Arial"/>
                <w:sz w:val="18"/>
                <w:szCs w:val="18"/>
                <w:color w:val="auto"/>
              </w:rPr>
              <w:t>Recognized actuarial losses (gains)</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center"/>
              <w:ind w:left="430"/>
              <w:spacing w:after="0"/>
              <w:rPr>
                <w:sz w:val="20"/>
                <w:szCs w:val="20"/>
                <w:color w:val="auto"/>
              </w:rPr>
            </w:pPr>
            <w:r>
              <w:rPr>
                <w:rFonts w:ascii="Arial" w:cs="Arial" w:eastAsia="Arial" w:hAnsi="Arial"/>
                <w:sz w:val="18"/>
                <w:szCs w:val="18"/>
                <w:color w:val="auto"/>
                <w:w w:val="87"/>
              </w:rPr>
              <w:t>0.7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360" w:type="dxa"/>
            <w:vAlign w:val="bottom"/>
          </w:tcPr>
          <w:p>
            <w:pPr>
              <w:spacing w:after="0"/>
              <w:rPr>
                <w:sz w:val="20"/>
                <w:szCs w:val="20"/>
                <w:color w:val="auto"/>
              </w:rPr>
            </w:pPr>
            <w:r>
              <w:rPr>
                <w:rFonts w:ascii="Arial" w:cs="Arial" w:eastAsia="Arial" w:hAnsi="Arial"/>
                <w:sz w:val="18"/>
                <w:szCs w:val="18"/>
                <w:color w:val="auto"/>
                <w:w w:val="91"/>
              </w:rPr>
              <w:t>(0.7)</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Settlements</w:t>
            </w: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1.2</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spacing w:after="0"/>
              <w:rPr>
                <w:sz w:val="20"/>
                <w:szCs w:val="20"/>
                <w:color w:val="auto"/>
              </w:rPr>
            </w:pPr>
          </w:p>
        </w:tc>
        <w:tc>
          <w:tcPr>
            <w:tcW w:w="360" w:type="dxa"/>
            <w:vAlign w:val="bottom"/>
            <w:tcBorders>
              <w:bottom w:val="single" w:sz="8" w:color="auto"/>
            </w:tcBorders>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spacing w:after="0"/>
              <w:rPr>
                <w:sz w:val="20"/>
                <w:szCs w:val="20"/>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3660" w:type="dxa"/>
            <w:vAlign w:val="bottom"/>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1.2</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860" w:type="dxa"/>
            <w:vAlign w:val="bottom"/>
            <w:tcBorders>
              <w:bottom w:val="single" w:sz="8" w:color="auto"/>
            </w:tcBorders>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(0.7)</w:t>
            </w:r>
          </w:p>
        </w:tc>
        <w:tc>
          <w:tcPr>
            <w:tcW w:w="14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36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345"/>
        </w:trPr>
        <w:tc>
          <w:tcPr>
            <w:tcW w:w="366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100" w:type="dxa"/>
            <w:vAlign w:val="bottom"/>
            <w:tcBorders>
              <w:bottom w:val="single" w:sz="8" w:color="auto"/>
            </w:tcBorders>
            <w:gridSpan w:val="4"/>
          </w:tcPr>
          <w:p>
            <w:pPr>
              <w:jc w:val="right"/>
              <w:ind w:right="490"/>
              <w:spacing w:after="0"/>
              <w:rPr>
                <w:sz w:val="20"/>
                <w:szCs w:val="20"/>
                <w:color w:val="auto"/>
              </w:rPr>
            </w:pPr>
            <w:r>
              <w:rPr>
                <w:rFonts w:ascii="Arial" w:cs="Arial" w:eastAsia="Arial" w:hAnsi="Arial"/>
                <w:sz w:val="18"/>
                <w:szCs w:val="18"/>
                <w:color w:val="auto"/>
              </w:rPr>
              <w:t>Pension benefits</w:t>
            </w: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w w:val="96"/>
              </w:rPr>
              <w:t>Other retirement benefits</w:t>
            </w:r>
          </w:p>
        </w:tc>
        <w:tc>
          <w:tcPr>
            <w:tcW w:w="3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Total</w:t>
            </w:r>
          </w:p>
        </w:tc>
        <w:tc>
          <w:tcPr>
            <w:tcW w:w="860" w:type="dxa"/>
            <w:vAlign w:val="bottom"/>
            <w:tcBorders>
              <w:bottom w:val="single" w:sz="8" w:color="auto"/>
            </w:tcBorders>
          </w:tcPr>
          <w:p>
            <w:pPr>
              <w:spacing w:after="0"/>
              <w:rPr>
                <w:sz w:val="24"/>
                <w:szCs w:val="24"/>
                <w:color w:val="auto"/>
              </w:rPr>
            </w:pPr>
          </w:p>
        </w:tc>
      </w:tr>
      <w:tr>
        <w:trPr>
          <w:trHeight w:val="236"/>
        </w:trPr>
        <w:tc>
          <w:tcPr>
            <w:tcW w:w="366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color w:val="auto"/>
              </w:rPr>
              <w:t>2023</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color w:val="auto"/>
              </w:rPr>
              <w:t>2022</w:t>
            </w:r>
          </w:p>
        </w:tc>
      </w:tr>
      <w:tr>
        <w:trPr>
          <w:trHeight w:val="223"/>
        </w:trPr>
        <w:tc>
          <w:tcPr>
            <w:tcW w:w="36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U.S. plans</w:t>
            </w: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shd w:val="clear" w:color="auto" w:fill="CCEEFF"/>
          </w:tcPr>
          <w:p>
            <w:pPr>
              <w:jc w:val="center"/>
              <w:ind w:left="430"/>
              <w:spacing w:after="0"/>
              <w:rPr>
                <w:sz w:val="20"/>
                <w:szCs w:val="20"/>
                <w:color w:val="auto"/>
              </w:rPr>
            </w:pPr>
            <w:r>
              <w:rPr>
                <w:rFonts w:ascii="Arial" w:cs="Arial" w:eastAsia="Arial" w:hAnsi="Arial"/>
                <w:sz w:val="18"/>
                <w:szCs w:val="18"/>
                <w:color w:val="auto"/>
                <w:w w:val="87"/>
              </w:rPr>
              <w:t>0.7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top w:val="single" w:sz="8" w:color="CCEEFF"/>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1"/>
              </w:rPr>
              <w:t>(0.7)</w:t>
            </w:r>
          </w:p>
        </w:tc>
        <w:tc>
          <w:tcPr>
            <w:tcW w:w="14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3660" w:type="dxa"/>
            <w:vAlign w:val="bottom"/>
          </w:tcPr>
          <w:p>
            <w:pPr>
              <w:ind w:left="20"/>
              <w:spacing w:after="0"/>
              <w:rPr>
                <w:sz w:val="20"/>
                <w:szCs w:val="20"/>
                <w:color w:val="auto"/>
              </w:rPr>
            </w:pPr>
            <w:r>
              <w:rPr>
                <w:rFonts w:ascii="Arial" w:cs="Arial" w:eastAsia="Arial" w:hAnsi="Arial"/>
                <w:sz w:val="18"/>
                <w:szCs w:val="18"/>
                <w:color w:val="auto"/>
              </w:rPr>
              <w:t>International plans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center"/>
              <w:ind w:left="430"/>
              <w:spacing w:after="0"/>
              <w:rPr>
                <w:sz w:val="20"/>
                <w:szCs w:val="20"/>
                <w:color w:val="auto"/>
              </w:rPr>
            </w:pPr>
            <w:r>
              <w:rPr>
                <w:rFonts w:ascii="Arial" w:cs="Arial" w:eastAsia="Arial" w:hAnsi="Arial"/>
                <w:sz w:val="18"/>
                <w:szCs w:val="18"/>
                <w:color w:val="auto"/>
                <w:w w:val="87"/>
              </w:rPr>
              <w:t>0.5</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0.5</w:t>
            </w:r>
          </w:p>
        </w:tc>
      </w:tr>
      <w:tr>
        <w:trPr>
          <w:trHeight w:val="257"/>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center"/>
              <w:ind w:left="430"/>
              <w:spacing w:after="0"/>
              <w:rPr>
                <w:sz w:val="20"/>
                <w:szCs w:val="20"/>
                <w:color w:val="auto"/>
              </w:rPr>
            </w:pPr>
            <w:r>
              <w:rPr>
                <w:rFonts w:ascii="Arial" w:cs="Arial" w:eastAsia="Arial" w:hAnsi="Arial"/>
                <w:sz w:val="18"/>
                <w:szCs w:val="18"/>
                <w:color w:val="auto"/>
                <w:w w:val="87"/>
              </w:rPr>
              <w:t>1.2</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980" w:type="dxa"/>
            <w:vAlign w:val="bottom"/>
            <w:gridSpan w:val="2"/>
            <w:shd w:val="clear" w:color="auto" w:fill="CCEEFF"/>
          </w:tcPr>
          <w:p>
            <w:pPr>
              <w:jc w:val="right"/>
              <w:ind w:right="65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20"/>
                <w:szCs w:val="20"/>
                <w:color w:val="auto"/>
              </w:rPr>
            </w:pPr>
            <w:r>
              <w:rPr>
                <w:rFonts w:ascii="Arial" w:cs="Arial" w:eastAsia="Arial" w:hAnsi="Arial"/>
                <w:sz w:val="18"/>
                <w:szCs w:val="18"/>
                <w:color w:val="auto"/>
                <w:w w:val="91"/>
              </w:rPr>
              <w:t>(0.7)</w:t>
            </w:r>
          </w:p>
        </w:tc>
        <w:tc>
          <w:tcPr>
            <w:tcW w:w="380" w:type="dxa"/>
            <w:vAlign w:val="bottom"/>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38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During the three and six months ended June 30, 2022, we recorded a $0.6 million and $1.2 million pension settlement charge, respectively, within other nonoperating (income) expense, as we determined that normal-course lump-sum payments for our U.S. qualified defined benefit pension plan exceeded the threshold for settlement accounting under U.S. GAAP for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3" w:name="page24"/>
    <w:bookmarkEnd w:id="2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00" w:type="dxa"/>
            <w:vAlign w:val="bottom"/>
          </w:tcPr>
          <w:p>
            <w:pPr>
              <w:spacing w:after="0"/>
              <w:rPr>
                <w:sz w:val="20"/>
                <w:szCs w:val="20"/>
                <w:color w:val="auto"/>
              </w:rPr>
            </w:pPr>
            <w:r>
              <w:rPr>
                <w:rFonts w:ascii="Arial" w:cs="Arial" w:eastAsia="Arial" w:hAnsi="Arial"/>
                <w:sz w:val="18"/>
                <w:szCs w:val="18"/>
                <w:b w:val="1"/>
                <w:bCs w:val="1"/>
                <w:color w:val="auto"/>
              </w:rPr>
              <w:t>Note 15: Other Expense (Income)</w:t>
            </w:r>
          </w:p>
        </w:tc>
        <w:tc>
          <w:tcPr>
            <w:tcW w:w="3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459"/>
        </w:trPr>
        <w:tc>
          <w:tcPr>
            <w:tcW w:w="5000" w:type="dxa"/>
            <w:vAlign w:val="bottom"/>
          </w:tcPr>
          <w:p>
            <w:pPr>
              <w:spacing w:after="0"/>
              <w:rPr>
                <w:sz w:val="20"/>
                <w:szCs w:val="20"/>
                <w:color w:val="auto"/>
              </w:rPr>
            </w:pPr>
            <w:r>
              <w:rPr>
                <w:rFonts w:ascii="Arial" w:cs="Arial" w:eastAsia="Arial" w:hAnsi="Arial"/>
                <w:sz w:val="18"/>
                <w:szCs w:val="18"/>
                <w:color w:val="auto"/>
              </w:rPr>
              <w:t>Other expense (income) consists of:</w:t>
            </w: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03"/>
        </w:trPr>
        <w:tc>
          <w:tcPr>
            <w:tcW w:w="50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700" w:type="dxa"/>
            <w:vAlign w:val="bottom"/>
            <w:gridSpan w:val="4"/>
          </w:tcPr>
          <w:p>
            <w:pPr>
              <w:jc w:val="right"/>
              <w:ind w:right="670"/>
              <w:spacing w:after="0" w:line="202"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4"/>
          </w:tcPr>
          <w:p>
            <w:pPr>
              <w:jc w:val="right"/>
              <w:ind w:right="790"/>
              <w:spacing w:after="0" w:line="202" w:lineRule="exact"/>
              <w:rPr>
                <w:sz w:val="20"/>
                <w:szCs w:val="20"/>
                <w:color w:val="auto"/>
              </w:rPr>
            </w:pPr>
            <w:r>
              <w:rPr>
                <w:rFonts w:ascii="Arial" w:cs="Arial" w:eastAsia="Arial" w:hAnsi="Arial"/>
                <w:sz w:val="18"/>
                <w:szCs w:val="18"/>
                <w:color w:val="auto"/>
              </w:rPr>
              <w:t>Six Months Ended</w:t>
            </w:r>
          </w:p>
        </w:tc>
      </w:tr>
      <w:tr>
        <w:trPr>
          <w:trHeight w:val="236"/>
        </w:trPr>
        <w:tc>
          <w:tcPr>
            <w:tcW w:w="50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20"/>
                <w:szCs w:val="20"/>
                <w:color w:val="auto"/>
              </w:rPr>
            </w:pPr>
          </w:p>
        </w:tc>
      </w:tr>
      <w:tr>
        <w:trPr>
          <w:trHeight w:val="230"/>
        </w:trPr>
        <w:tc>
          <w:tcPr>
            <w:tcW w:w="50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on disposal of plant</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7"/>
              </w:rPr>
              <w:t>2.2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Asset impairments</w:t>
            </w:r>
          </w:p>
        </w:tc>
        <w:tc>
          <w:tcPr>
            <w:tcW w:w="320" w:type="dxa"/>
            <w:vAlign w:val="bottom"/>
          </w:tcPr>
          <w:p>
            <w:pPr>
              <w:spacing w:after="0"/>
              <w:rPr>
                <w:sz w:val="20"/>
                <w:szCs w:val="20"/>
                <w:color w:val="auto"/>
              </w:rPr>
            </w:pP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7"/>
              </w:rPr>
              <w:t>1.5</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3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Restructuring and related charges</w:t>
            </w: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1"/>
              </w:rPr>
              <w:t>(0.8)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Loss (gain) on oil hedges</w:t>
            </w:r>
          </w:p>
        </w:tc>
        <w:tc>
          <w:tcPr>
            <w:tcW w:w="320" w:type="dxa"/>
            <w:vAlign w:val="bottom"/>
          </w:tcPr>
          <w:p>
            <w:pPr>
              <w:spacing w:after="0"/>
              <w:rPr>
                <w:sz w:val="19"/>
                <w:szCs w:val="19"/>
                <w:color w:val="auto"/>
              </w:rPr>
            </w:pP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7"/>
              </w:rPr>
              <w:t>0.4</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Contingent consideration</w:t>
            </w:r>
          </w:p>
        </w:tc>
        <w:tc>
          <w:tcPr>
            <w:tcW w:w="320" w:type="dxa"/>
            <w:vAlign w:val="bottom"/>
            <w:shd w:val="clear" w:color="auto" w:fill="CCEEFF"/>
          </w:tcPr>
          <w:p>
            <w:pPr>
              <w:spacing w:after="0"/>
              <w:rPr>
                <w:sz w:val="21"/>
                <w:szCs w:val="21"/>
                <w:color w:val="auto"/>
              </w:rPr>
            </w:pPr>
          </w:p>
        </w:tc>
        <w:tc>
          <w:tcPr>
            <w:tcW w:w="112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87"/>
              </w:rPr>
              <w:t>0.5</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5000" w:type="dxa"/>
            <w:vAlign w:val="bottom"/>
          </w:tcPr>
          <w:p>
            <w:pPr>
              <w:ind w:left="20"/>
              <w:spacing w:after="0"/>
              <w:rPr>
                <w:sz w:val="20"/>
                <w:szCs w:val="20"/>
                <w:color w:val="auto"/>
              </w:rPr>
            </w:pPr>
            <w:r>
              <w:rPr>
                <w:rFonts w:ascii="Arial" w:cs="Arial" w:eastAsia="Arial" w:hAnsi="Arial"/>
                <w:sz w:val="18"/>
                <w:szCs w:val="18"/>
                <w:color w:val="auto"/>
              </w:rPr>
              <w:t>Foreign exchange transaction losses (gains)</w:t>
            </w:r>
          </w:p>
        </w:tc>
        <w:tc>
          <w:tcPr>
            <w:tcW w:w="320" w:type="dxa"/>
            <w:vAlign w:val="bottom"/>
          </w:tcPr>
          <w:p>
            <w:pPr>
              <w:spacing w:after="0"/>
              <w:rPr>
                <w:sz w:val="19"/>
                <w:szCs w:val="19"/>
                <w:color w:val="auto"/>
              </w:rPr>
            </w:pP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7"/>
              </w:rPr>
              <w:t>0.3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29"/>
        </w:trPr>
        <w:tc>
          <w:tcPr>
            <w:tcW w:w="50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items</w:t>
            </w:r>
          </w:p>
        </w:tc>
        <w:tc>
          <w:tcPr>
            <w:tcW w:w="32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center"/>
              <w:ind w:left="650"/>
              <w:spacing w:after="0"/>
              <w:rPr>
                <w:sz w:val="20"/>
                <w:szCs w:val="20"/>
                <w:color w:val="auto"/>
              </w:rPr>
            </w:pPr>
            <w:r>
              <w:rPr>
                <w:rFonts w:ascii="Arial" w:cs="Arial" w:eastAsia="Arial" w:hAnsi="Arial"/>
                <w:sz w:val="18"/>
                <w:szCs w:val="18"/>
                <w:color w:val="auto"/>
                <w:w w:val="91"/>
              </w:rPr>
              <w:t>(0.1)</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Total other expense (income)</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center"/>
              <w:ind w:left="690"/>
              <w:spacing w:after="0"/>
              <w:rPr>
                <w:sz w:val="20"/>
                <w:szCs w:val="20"/>
                <w:color w:val="auto"/>
              </w:rPr>
            </w:pPr>
            <w:r>
              <w:rPr>
                <w:rFonts w:ascii="Arial" w:cs="Arial" w:eastAsia="Arial" w:hAnsi="Arial"/>
                <w:sz w:val="18"/>
                <w:szCs w:val="18"/>
                <w:color w:val="auto"/>
                <w:w w:val="87"/>
              </w:rPr>
              <w:t>4.0</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16.9</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1"/>
        </w:trPr>
        <w:tc>
          <w:tcPr>
            <w:tcW w:w="50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Restructuring and Related Charges</w:t>
      </w:r>
    </w:p>
    <w:p>
      <w:pPr>
        <w:spacing w:after="0" w:line="256" w:lineRule="exact"/>
        <w:rPr>
          <w:sz w:val="20"/>
          <w:szCs w:val="20"/>
          <w:color w:val="auto"/>
        </w:rPr>
      </w:pPr>
    </w:p>
    <w:p>
      <w:pPr>
        <w:ind w:right="20"/>
        <w:spacing w:after="0" w:line="311" w:lineRule="auto"/>
        <w:rPr>
          <w:sz w:val="20"/>
          <w:szCs w:val="20"/>
          <w:color w:val="auto"/>
        </w:rPr>
      </w:pPr>
      <w:r>
        <w:rPr>
          <w:rFonts w:ascii="Arial" w:cs="Arial" w:eastAsia="Arial" w:hAnsi="Arial"/>
          <w:sz w:val="16"/>
          <w:szCs w:val="16"/>
          <w:color w:val="auto"/>
        </w:rPr>
        <w:t>In December 2022, the Company approved a restructuring plan to adjust our operating cost base to better respond to the macroeconomic factors influencing our business. These changes are expected to be implemented over a period of up to twelve months from the date of approval. The plan is expected to require restructuring and related charges of approximately $25 million to $27 million, with annualized savings in the range of $22 million to $24 million.</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activity related to our restructuring obligations related to our 2022 restructuring plan:</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6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color w:val="auto"/>
              </w:rPr>
              <w:t>Severance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jc w:val="right"/>
              <w:ind w:right="150"/>
              <w:spacing w:after="0"/>
              <w:rPr>
                <w:sz w:val="20"/>
                <w:szCs w:val="20"/>
                <w:color w:val="auto"/>
              </w:rPr>
            </w:pPr>
            <w:r>
              <w:rPr>
                <w:rFonts w:ascii="Arial" w:cs="Arial" w:eastAsia="Arial" w:hAnsi="Arial"/>
                <w:sz w:val="18"/>
                <w:szCs w:val="18"/>
                <w:color w:val="auto"/>
                <w:w w:val="94"/>
              </w:rPr>
              <w:t>Asset-related</w:t>
            </w: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0"/>
        </w:trPr>
        <w:tc>
          <w:tcPr>
            <w:tcW w:w="6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5"/>
              </w:rPr>
              <w:t>and benefits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charges</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Total</w:t>
            </w:r>
          </w:p>
        </w:tc>
      </w:tr>
      <w:tr>
        <w:trPr>
          <w:trHeight w:val="223"/>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December 31, 2022</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r>
      <w:tr>
        <w:trPr>
          <w:trHeight w:val="237"/>
        </w:trPr>
        <w:tc>
          <w:tcPr>
            <w:tcW w:w="6660" w:type="dxa"/>
            <w:vAlign w:val="bottom"/>
          </w:tcPr>
          <w:p>
            <w:pPr>
              <w:ind w:left="20"/>
              <w:spacing w:after="0"/>
              <w:rPr>
                <w:sz w:val="20"/>
                <w:szCs w:val="20"/>
                <w:color w:val="auto"/>
              </w:rPr>
            </w:pPr>
            <w:r>
              <w:rPr>
                <w:rFonts w:ascii="Arial" w:cs="Arial" w:eastAsia="Arial" w:hAnsi="Arial"/>
                <w:sz w:val="18"/>
                <w:szCs w:val="18"/>
                <w:color w:val="auto"/>
              </w:rPr>
              <w:t>(Credits) Charges</w:t>
            </w: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(0.8)</w:t>
            </w:r>
          </w:p>
        </w:tc>
      </w:tr>
      <w:tr>
        <w:trPr>
          <w:trHeight w:val="23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payments</w:t>
            </w: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r>
      <w:tr>
        <w:trPr>
          <w:trHeight w:val="230"/>
        </w:trPr>
        <w:tc>
          <w:tcPr>
            <w:tcW w:w="6660" w:type="dxa"/>
            <w:vAlign w:val="bottom"/>
          </w:tcPr>
          <w:p>
            <w:pPr>
              <w:ind w:left="20"/>
              <w:spacing w:after="0"/>
              <w:rPr>
                <w:sz w:val="20"/>
                <w:szCs w:val="20"/>
                <w:color w:val="auto"/>
              </w:rPr>
            </w:pPr>
            <w:r>
              <w:rPr>
                <w:rFonts w:ascii="Arial" w:cs="Arial" w:eastAsia="Arial" w:hAnsi="Arial"/>
                <w:sz w:val="18"/>
                <w:szCs w:val="18"/>
                <w:color w:val="auto"/>
              </w:rPr>
              <w:t>Non-cash asset write downs</w:t>
            </w: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r>
      <w:tr>
        <w:trPr>
          <w:trHeight w:val="25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June 30, 2023</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r>
      <w:tr>
        <w:trPr>
          <w:trHeight w:val="20"/>
        </w:trPr>
        <w:tc>
          <w:tcPr>
            <w:tcW w:w="66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on Disposal of Plant</w:t>
      </w:r>
    </w:p>
    <w:p>
      <w:pPr>
        <w:spacing w:after="0" w:line="256"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During the three and six months ended June 30, 2023, the Company recorded expense of $2.2 million and $11.6 million, respectively, within other expense (income), as a result of the sale of one of the Company’s manufacturing facilities within the Proprietary Products segment. The transaction closed during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4" w:name="page25"/>
    <w:bookmarkEnd w:id="2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Contingent Consideration</w:t>
      </w:r>
    </w:p>
    <w:p>
      <w:pPr>
        <w:spacing w:after="0" w:line="251" w:lineRule="exact"/>
        <w:rPr>
          <w:sz w:val="20"/>
          <w:szCs w:val="20"/>
          <w:color w:val="auto"/>
        </w:rPr>
      </w:pPr>
    </w:p>
    <w:p>
      <w:pPr>
        <w:ind w:right="1020"/>
        <w:spacing w:after="0" w:line="229" w:lineRule="auto"/>
        <w:rPr>
          <w:sz w:val="20"/>
          <w:szCs w:val="20"/>
          <w:color w:val="auto"/>
        </w:rPr>
      </w:pPr>
      <w:r>
        <w:rPr>
          <w:rFonts w:ascii="Arial" w:cs="Arial" w:eastAsia="Arial" w:hAnsi="Arial"/>
          <w:sz w:val="18"/>
          <w:szCs w:val="18"/>
          <w:color w:val="auto"/>
        </w:rPr>
        <w:t>Contingent consideration represents changes in the fair value of the SmartDose</w:t>
      </w:r>
      <w:r>
        <w:rPr>
          <w:rFonts w:ascii="Arial" w:cs="Arial" w:eastAsia="Arial" w:hAnsi="Arial"/>
          <w:sz w:val="23"/>
          <w:szCs w:val="23"/>
          <w:color w:val="auto"/>
          <w:vertAlign w:val="superscript"/>
        </w:rPr>
        <w:t>®</w:t>
      </w:r>
      <w:r>
        <w:rPr>
          <w:rFonts w:ascii="Arial" w:cs="Arial" w:eastAsia="Arial" w:hAnsi="Arial"/>
          <w:sz w:val="18"/>
          <w:szCs w:val="18"/>
          <w:color w:val="auto"/>
        </w:rPr>
        <w:t xml:space="preserve"> contingent consideration. Please refer to Note 10, </w:t>
      </w:r>
      <w:r>
        <w:rPr>
          <w:rFonts w:ascii="Arial" w:cs="Arial" w:eastAsia="Arial" w:hAnsi="Arial"/>
          <w:sz w:val="18"/>
          <w:szCs w:val="18"/>
          <w:i w:val="1"/>
          <w:iCs w:val="1"/>
          <w:u w:val="single" w:color="auto"/>
          <w:color w:val="0000FF"/>
        </w:rPr>
        <w:t>Fair Value</w:t>
      </w:r>
      <w:r>
        <w:rPr>
          <w:rFonts w:ascii="Arial" w:cs="Arial" w:eastAsia="Arial" w:hAnsi="Arial"/>
          <w:sz w:val="18"/>
          <w:szCs w:val="18"/>
          <w:color w:val="auto"/>
        </w:rPr>
        <w:t xml:space="preserve"> </w:t>
      </w:r>
      <w:r>
        <w:rPr>
          <w:rFonts w:ascii="Arial" w:cs="Arial" w:eastAsia="Arial" w:hAnsi="Arial"/>
          <w:sz w:val="18"/>
          <w:szCs w:val="18"/>
          <w:i w:val="1"/>
          <w:iCs w:val="1"/>
          <w:u w:val="single" w:color="auto"/>
          <w:color w:val="0000FF"/>
        </w:rPr>
        <w:t>Measurements</w:t>
      </w:r>
      <w:r>
        <w:rPr>
          <w:rFonts w:ascii="Arial" w:cs="Arial" w:eastAsia="Arial" w:hAnsi="Arial"/>
          <w:sz w:val="18"/>
          <w:szCs w:val="18"/>
          <w:color w:val="000000"/>
        </w:rPr>
        <w:t>, for additional details.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Oil Hedges</w:t>
      </w:r>
    </w:p>
    <w:p>
      <w:pPr>
        <w:spacing w:after="0" w:line="256" w:lineRule="exact"/>
        <w:rPr>
          <w:sz w:val="20"/>
          <w:szCs w:val="20"/>
          <w:color w:val="auto"/>
        </w:rPr>
      </w:pPr>
    </w:p>
    <w:p>
      <w:pPr>
        <w:jc w:val="both"/>
        <w:ind w:right="200"/>
        <w:spacing w:after="0" w:line="263" w:lineRule="auto"/>
        <w:rPr>
          <w:sz w:val="20"/>
          <w:szCs w:val="20"/>
          <w:color w:val="auto"/>
        </w:rPr>
      </w:pPr>
      <w:r>
        <w:rPr>
          <w:rFonts w:ascii="Arial" w:cs="Arial" w:eastAsia="Arial" w:hAnsi="Arial"/>
          <w:sz w:val="18"/>
          <w:szCs w:val="18"/>
          <w:color w:val="auto"/>
        </w:rPr>
        <w:t xml:space="preserve">During the three and six months ended June 30, 2023, we recorded a loss of $0.4 million and $1.0 million, respectively, related to oil hedges. During the three and six months ended June 30, 2022, we recorded a gain of $0.3 million and $3.1 million, respectively, related to oil hedges. Please refer to Note 9, </w:t>
      </w:r>
      <w:r>
        <w:rPr>
          <w:rFonts w:ascii="Arial" w:cs="Arial" w:eastAsia="Arial" w:hAnsi="Arial"/>
          <w:sz w:val="18"/>
          <w:szCs w:val="18"/>
          <w:i w:val="1"/>
          <w:iCs w:val="1"/>
          <w:u w:val="single" w:color="auto"/>
          <w:color w:val="0000FF"/>
        </w:rPr>
        <w:t>Derivative Financial Instruments</w:t>
      </w:r>
      <w:r>
        <w:rPr>
          <w:rFonts w:ascii="Arial" w:cs="Arial" w:eastAsia="Arial" w:hAnsi="Arial"/>
          <w:sz w:val="18"/>
          <w:szCs w:val="18"/>
          <w:color w:val="000000"/>
        </w:rPr>
        <w:t>, for further discussion of our hedging activity.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Income Taxes</w:t>
      </w:r>
    </w:p>
    <w:p>
      <w:pPr>
        <w:spacing w:after="0" w:line="256"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The tax provision for interim periods is determined using the estimated annual effective consolidated tax rate, based on the current estimate of full-year earnings before taxes, adjusted for the impact of discrete quarterly items.</w:t>
      </w:r>
    </w:p>
    <w:p>
      <w:pPr>
        <w:spacing w:after="0" w:line="197"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The provision for income taxes was $34.8 million and $44.2 million for the three months ended June 30, 2023 and 2022, respectively, and the effective tax rate was 18.8% and 19.5%, respectively. The decrease in the effective tax rate is primarily due to an increase in the tax benefit related to stock-based compensation for the three months ended June 30, 2023 as compared to the same period in 2022.</w:t>
      </w:r>
    </w:p>
    <w:p>
      <w:pPr>
        <w:spacing w:after="0" w:line="211" w:lineRule="exact"/>
        <w:rPr>
          <w:sz w:val="20"/>
          <w:szCs w:val="20"/>
          <w:color w:val="auto"/>
        </w:rPr>
      </w:pPr>
    </w:p>
    <w:p>
      <w:pPr>
        <w:ind w:right="120"/>
        <w:spacing w:after="0" w:line="257" w:lineRule="auto"/>
        <w:rPr>
          <w:sz w:val="20"/>
          <w:szCs w:val="20"/>
          <w:color w:val="auto"/>
        </w:rPr>
      </w:pPr>
      <w:r>
        <w:rPr>
          <w:rFonts w:ascii="Arial" w:cs="Arial" w:eastAsia="Arial" w:hAnsi="Arial"/>
          <w:sz w:val="18"/>
          <w:szCs w:val="18"/>
          <w:color w:val="auto"/>
        </w:rPr>
        <w:t>The provision for income taxes was $58.4 million and $65.4 million for the six months ended June 30, 2023 and 2022, respectively, and the effective tax rate was 17.0% and 15.8%, respectively. The increase in the effective tax rate is primarily due to a shift in the geographic earnings mix and a $5.9 million tax benefit recorded as the result of a state tax valuation allowance reversal in the six months ended June 30, 2022 that was not repeated in 2023. This was offset by an increase in the tax benefit related to stock-based compensation for the six months ended June 30, 2023, as compared to the same period in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17: Commitments and Contingencies</w:t>
      </w:r>
    </w:p>
    <w:p>
      <w:pPr>
        <w:spacing w:after="0" w:line="256"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From time to time, we are involved in product liability matters and other legal proceedings and claims generally incidental to our normal business activities. We accrue for loss contingencies when it is probable that a liability has been incurred and the amount of the loss can be reasonably estimated. While the outcome of current proceedings cannot be accurately predicted, we believe their ultimate resolution should not have a material adverse effect on our business, financial condition, results of operations or liquidity.</w:t>
      </w:r>
    </w:p>
    <w:p>
      <w:pPr>
        <w:spacing w:after="0" w:line="214" w:lineRule="exact"/>
        <w:rPr>
          <w:sz w:val="20"/>
          <w:szCs w:val="20"/>
          <w:color w:val="auto"/>
        </w:rPr>
      </w:pPr>
    </w:p>
    <w:p>
      <w:pPr>
        <w:spacing w:after="0"/>
        <w:rPr>
          <w:rFonts w:ascii="Arial" w:cs="Arial" w:eastAsia="Arial" w:hAnsi="Arial"/>
          <w:sz w:val="18"/>
          <w:szCs w:val="18"/>
          <w:color w:val="auto"/>
        </w:rPr>
      </w:pPr>
      <w:r>
        <w:rPr>
          <w:rFonts w:ascii="Arial" w:cs="Arial" w:eastAsia="Arial" w:hAnsi="Arial"/>
          <w:sz w:val="18"/>
          <w:szCs w:val="18"/>
          <w:color w:val="auto"/>
        </w:rPr>
        <w:t xml:space="preserve">There have been no significant changes to the commitments and contingencies included in our </w:t>
      </w:r>
      <w:hyperlink r:id="rId38">
        <w:r>
          <w:rPr>
            <w:rFonts w:ascii="Arial" w:cs="Arial" w:eastAsia="Arial" w:hAnsi="Arial"/>
            <w:sz w:val="18"/>
            <w:szCs w:val="18"/>
            <w:u w:val="single" w:color="auto"/>
            <w:color w:val="0000FF"/>
          </w:rPr>
          <w:t>2022 Annual Report</w:t>
        </w:r>
      </w:hyperlink>
      <w:r>
        <w:rPr>
          <w:rFonts w:ascii="Arial" w:cs="Arial" w:eastAsia="Arial" w:hAnsi="Arial"/>
          <w:sz w:val="18"/>
          <w:szCs w:val="18"/>
          <w:color w:val="auto"/>
        </w:rPr>
        <w: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18: Segment Information</w:t>
      </w:r>
    </w:p>
    <w:p>
      <w:pPr>
        <w:spacing w:after="0" w:line="256" w:lineRule="exact"/>
        <w:rPr>
          <w:sz w:val="20"/>
          <w:szCs w:val="20"/>
          <w:color w:val="auto"/>
        </w:rPr>
      </w:pPr>
    </w:p>
    <w:p>
      <w:pPr>
        <w:jc w:val="both"/>
        <w:ind w:right="120"/>
        <w:spacing w:after="0" w:line="257" w:lineRule="auto"/>
        <w:rPr>
          <w:sz w:val="20"/>
          <w:szCs w:val="20"/>
          <w:color w:val="auto"/>
        </w:rPr>
      </w:pPr>
      <w:r>
        <w:rPr>
          <w:rFonts w:ascii="Arial" w:cs="Arial" w:eastAsia="Arial" w:hAnsi="Arial"/>
          <w:sz w:val="18"/>
          <w:szCs w:val="18"/>
          <w:color w:val="auto"/>
        </w:rPr>
        <w:t>Our business operations are organized into two reportable segments, Proprietary Products and Contract-Manufactured Products. Our Proprietary Products reportable segment offers proprietary packaging, containment solutions and drug delivery products,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w:t>
      </w:r>
    </w:p>
    <w:p>
      <w:pPr>
        <w:spacing w:after="0" w:line="21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Chief Operating Decision Maker ("CODM") evaluates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the CODM considers not representative of ongoing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5" w:name="page26"/>
    <w:bookmarkEnd w:id="2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Such items are referred to as other unallocated items and generally include restructuring and related charges, certain asset impairments and other specifically-identified income or expense items. The segment operating profit metric is what the CODM uses in evaluating our results of operations and the financial measure that provides a valuable insight into our overall performance and financial position.</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700" w:type="dxa"/>
            <w:vAlign w:val="bottom"/>
            <w:gridSpan w:val="5"/>
          </w:tcPr>
          <w:p>
            <w:pPr>
              <w:spacing w:after="0"/>
              <w:rPr>
                <w:sz w:val="20"/>
                <w:szCs w:val="20"/>
                <w:color w:val="auto"/>
              </w:rPr>
            </w:pPr>
            <w:r>
              <w:rPr>
                <w:rFonts w:ascii="Arial" w:cs="Arial" w:eastAsia="Arial" w:hAnsi="Arial"/>
                <w:sz w:val="18"/>
                <w:szCs w:val="18"/>
                <w:color w:val="auto"/>
                <w:w w:val="91"/>
              </w:rPr>
              <w:t>The following table presents information about our reportable segments, reconciled to consolidated totals:</w:t>
            </w:r>
          </w:p>
        </w:tc>
        <w:tc>
          <w:tcPr>
            <w:tcW w:w="5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03"/>
        </w:trPr>
        <w:tc>
          <w:tcPr>
            <w:tcW w:w="4980" w:type="dxa"/>
            <w:vAlign w:val="bottom"/>
          </w:tcPr>
          <w:p>
            <w:pPr>
              <w:spacing w:after="0"/>
              <w:rPr>
                <w:sz w:val="17"/>
                <w:szCs w:val="17"/>
                <w:color w:val="auto"/>
              </w:rPr>
            </w:pPr>
          </w:p>
        </w:tc>
        <w:tc>
          <w:tcPr>
            <w:tcW w:w="2720" w:type="dxa"/>
            <w:vAlign w:val="bottom"/>
            <w:gridSpan w:val="4"/>
          </w:tcPr>
          <w:p>
            <w:pPr>
              <w:jc w:val="right"/>
              <w:ind w:right="340"/>
              <w:spacing w:after="0" w:line="202" w:lineRule="exact"/>
              <w:rPr>
                <w:sz w:val="20"/>
                <w:szCs w:val="20"/>
                <w:color w:val="auto"/>
              </w:rPr>
            </w:pPr>
            <w:r>
              <w:rPr>
                <w:rFonts w:ascii="Arial" w:cs="Arial" w:eastAsia="Arial" w:hAnsi="Arial"/>
                <w:sz w:val="18"/>
                <w:szCs w:val="18"/>
                <w:color w:val="auto"/>
              </w:rPr>
              <w:t>Three Months Ended</w:t>
            </w:r>
          </w:p>
        </w:tc>
        <w:tc>
          <w:tcPr>
            <w:tcW w:w="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37"/>
        </w:trPr>
        <w:tc>
          <w:tcPr>
            <w:tcW w:w="4980" w:type="dxa"/>
            <w:vAlign w:val="bottom"/>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800"/>
              <w:spacing w:after="0"/>
              <w:rPr>
                <w:sz w:val="20"/>
                <w:szCs w:val="20"/>
                <w:color w:val="auto"/>
              </w:rPr>
            </w:pPr>
            <w:r>
              <w:rPr>
                <w:rFonts w:ascii="Arial" w:cs="Arial" w:eastAsia="Arial" w:hAnsi="Arial"/>
                <w:sz w:val="18"/>
                <w:szCs w:val="18"/>
                <w:color w:val="auto"/>
              </w:rPr>
              <w:t>June 30,</w:t>
            </w:r>
          </w:p>
        </w:tc>
        <w:tc>
          <w:tcPr>
            <w:tcW w:w="5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14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40" w:type="dxa"/>
            <w:vAlign w:val="bottom"/>
          </w:tcPr>
          <w:p>
            <w:pPr>
              <w:jc w:val="right"/>
              <w:spacing w:after="0"/>
              <w:rPr>
                <w:sz w:val="20"/>
                <w:szCs w:val="20"/>
                <w:color w:val="auto"/>
              </w:rPr>
            </w:pPr>
            <w:r>
              <w:rPr>
                <w:rFonts w:ascii="Arial" w:cs="Arial" w:eastAsia="Arial" w:hAnsi="Arial"/>
                <w:sz w:val="18"/>
                <w:szCs w:val="18"/>
                <w:color w:val="auto"/>
              </w:rPr>
              <w:t>2023</w:t>
            </w:r>
          </w:p>
        </w:tc>
        <w:tc>
          <w:tcPr>
            <w:tcW w:w="54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2022</w:t>
            </w:r>
          </w:p>
        </w:tc>
        <w:tc>
          <w:tcPr>
            <w:tcW w:w="5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tcPr>
          <w:p>
            <w:pPr>
              <w:jc w:val="right"/>
              <w:ind w:right="4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040" w:type="dxa"/>
            <w:vAlign w:val="bottom"/>
            <w:tcBorders>
              <w:top w:val="single" w:sz="8" w:color="auto"/>
            </w:tcBorders>
            <w:shd w:val="clear" w:color="auto" w:fill="CCEEFF"/>
          </w:tcPr>
          <w:p>
            <w:pPr>
              <w:spacing w:after="0"/>
              <w:rPr>
                <w:sz w:val="19"/>
                <w:szCs w:val="19"/>
                <w:color w:val="auto"/>
              </w:rPr>
            </w:pPr>
          </w:p>
        </w:tc>
        <w:tc>
          <w:tcPr>
            <w:tcW w:w="5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40" w:type="dxa"/>
            <w:vAlign w:val="bottom"/>
            <w:tcBorders>
              <w:top w:val="single" w:sz="8" w:color="auto"/>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r>
      <w:tr>
        <w:trPr>
          <w:trHeight w:val="237"/>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1040" w:type="dxa"/>
            <w:vAlign w:val="bottom"/>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7"/>
              </w:rPr>
              <w:t>618.0</w:t>
            </w:r>
          </w:p>
        </w:tc>
        <w:tc>
          <w:tcPr>
            <w:tcW w:w="1140" w:type="dxa"/>
            <w:vAlign w:val="bottom"/>
            <w:gridSpan w:val="2"/>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w w:val="97"/>
              </w:rPr>
              <w:t>653.7</w:t>
            </w:r>
          </w:p>
        </w:tc>
        <w:tc>
          <w:tcPr>
            <w:tcW w:w="4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1,201.1</w:t>
            </w:r>
          </w:p>
        </w:tc>
        <w:tc>
          <w:tcPr>
            <w:tcW w:w="5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1,255.0</w:t>
            </w:r>
          </w:p>
        </w:tc>
      </w:tr>
      <w:tr>
        <w:trPr>
          <w:trHeight w:val="23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1040" w:type="dxa"/>
            <w:vAlign w:val="bottom"/>
            <w:shd w:val="clear" w:color="auto" w:fill="CCEEFF"/>
          </w:tcPr>
          <w:p>
            <w:pPr>
              <w:spacing w:after="0"/>
              <w:rPr>
                <w:sz w:val="20"/>
                <w:szCs w:val="20"/>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135.8</w:t>
            </w:r>
          </w:p>
        </w:tc>
        <w:tc>
          <w:tcPr>
            <w:tcW w:w="1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117.8</w:t>
            </w:r>
          </w:p>
        </w:tc>
        <w:tc>
          <w:tcPr>
            <w:tcW w:w="14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236.5</w:t>
            </w:r>
          </w:p>
        </w:tc>
      </w:tr>
      <w:tr>
        <w:trPr>
          <w:trHeight w:val="229"/>
        </w:trPr>
        <w:tc>
          <w:tcPr>
            <w:tcW w:w="4980" w:type="dxa"/>
            <w:vAlign w:val="bottom"/>
          </w:tcPr>
          <w:p>
            <w:pPr>
              <w:ind w:left="220"/>
              <w:spacing w:after="0"/>
              <w:rPr>
                <w:sz w:val="20"/>
                <w:szCs w:val="20"/>
                <w:color w:val="auto"/>
              </w:rPr>
            </w:pPr>
            <w:r>
              <w:rPr>
                <w:rFonts w:ascii="Arial" w:cs="Arial" w:eastAsia="Arial" w:hAnsi="Arial"/>
                <w:sz w:val="18"/>
                <w:szCs w:val="18"/>
                <w:color w:val="auto"/>
              </w:rPr>
              <w:t>Intersegment sales elimination</w:t>
            </w:r>
          </w:p>
        </w:tc>
        <w:tc>
          <w:tcPr>
            <w:tcW w:w="104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c>
          <w:tcPr>
            <w:tcW w:w="14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(0.2)</w:t>
            </w:r>
          </w:p>
        </w:tc>
      </w:tr>
      <w:tr>
        <w:trPr>
          <w:trHeight w:val="257"/>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net sales</w:t>
            </w:r>
          </w:p>
        </w:tc>
        <w:tc>
          <w:tcPr>
            <w:tcW w:w="1040" w:type="dxa"/>
            <w:vAlign w:val="bottom"/>
            <w:shd w:val="clear" w:color="auto" w:fill="CCEEFF"/>
          </w:tcPr>
          <w:p>
            <w:pPr>
              <w:jc w:val="right"/>
              <w:ind w:right="830"/>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753.8</w:t>
            </w:r>
          </w:p>
        </w:tc>
        <w:tc>
          <w:tcPr>
            <w:tcW w:w="1140" w:type="dxa"/>
            <w:vAlign w:val="bottom"/>
            <w:gridSpan w:val="2"/>
            <w:shd w:val="clear" w:color="auto" w:fill="CCEEFF"/>
          </w:tcPr>
          <w:p>
            <w:pPr>
              <w:jc w:val="right"/>
              <w:ind w:right="92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771.3</w:t>
            </w:r>
          </w:p>
        </w:tc>
        <w:tc>
          <w:tcPr>
            <w:tcW w:w="4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1,470.4</w:t>
            </w:r>
          </w:p>
        </w:tc>
        <w:tc>
          <w:tcPr>
            <w:tcW w:w="52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1,491.3</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40" w:type="dxa"/>
            <w:vAlign w:val="bottom"/>
            <w:gridSpan w:val="3"/>
          </w:tcPr>
          <w:p>
            <w:pPr>
              <w:spacing w:after="0"/>
              <w:rPr>
                <w:sz w:val="20"/>
                <w:szCs w:val="20"/>
                <w:color w:val="auto"/>
              </w:rPr>
            </w:pPr>
            <w:r>
              <w:rPr>
                <w:rFonts w:ascii="Arial" w:cs="Arial" w:eastAsia="Arial" w:hAnsi="Arial"/>
                <w:sz w:val="18"/>
                <w:szCs w:val="18"/>
                <w:color w:val="auto"/>
              </w:rPr>
              <w:t>The following table provides summarized financial information for our segments:</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49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670"/>
              <w:spacing w:after="0"/>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60" w:type="dxa"/>
            <w:vAlign w:val="bottom"/>
            <w:gridSpan w:val="4"/>
          </w:tcPr>
          <w:p>
            <w:pPr>
              <w:jc w:val="right"/>
              <w:ind w:right="790"/>
              <w:spacing w:after="0"/>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profit (loss):</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Pr>
          <w:p>
            <w:pPr>
              <w:ind w:left="220"/>
              <w:spacing w:after="0"/>
              <w:rPr>
                <w:sz w:val="20"/>
                <w:szCs w:val="20"/>
                <w:color w:val="auto"/>
              </w:rPr>
            </w:pPr>
            <w:r>
              <w:rPr>
                <w:rFonts w:ascii="Arial" w:cs="Arial" w:eastAsia="Arial" w:hAnsi="Arial"/>
                <w:sz w:val="18"/>
                <w:szCs w:val="18"/>
                <w:color w:val="auto"/>
              </w:rPr>
              <w:t>Proprietary Products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194.2</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233.9</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364.9</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Contract-Manufactured Products</w:t>
            </w:r>
          </w:p>
        </w:tc>
        <w:tc>
          <w:tcPr>
            <w:tcW w:w="340" w:type="dxa"/>
            <w:vAlign w:val="bottom"/>
            <w:tcBorders>
              <w:bottom w:val="single" w:sz="8" w:color="auto"/>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20" w:type="dxa"/>
            <w:vAlign w:val="bottom"/>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23"/>
        </w:trPr>
        <w:tc>
          <w:tcPr>
            <w:tcW w:w="4980" w:type="dxa"/>
            <w:vAlign w:val="bottom"/>
          </w:tcPr>
          <w:p>
            <w:pPr>
              <w:ind w:left="140"/>
              <w:spacing w:after="0"/>
              <w:rPr>
                <w:sz w:val="20"/>
                <w:szCs w:val="20"/>
                <w:color w:val="auto"/>
              </w:rPr>
            </w:pPr>
            <w:r>
              <w:rPr>
                <w:rFonts w:ascii="Arial" w:cs="Arial" w:eastAsia="Arial" w:hAnsi="Arial"/>
                <w:sz w:val="18"/>
                <w:szCs w:val="18"/>
                <w:color w:val="auto"/>
              </w:rPr>
              <w:t>Total business segment operating profit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209.1</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248.1</w:t>
            </w:r>
          </w:p>
        </w:tc>
        <w:tc>
          <w:tcPr>
            <w:tcW w:w="120" w:type="dxa"/>
            <w:vAlign w:val="bottom"/>
          </w:tcPr>
          <w:p>
            <w:pPr>
              <w:spacing w:after="0"/>
              <w:rPr>
                <w:sz w:val="19"/>
                <w:szCs w:val="19"/>
                <w:color w:val="auto"/>
              </w:rPr>
            </w:pP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397.2</w:t>
            </w:r>
          </w:p>
        </w:tc>
        <w:tc>
          <w:tcPr>
            <w:tcW w:w="120" w:type="dxa"/>
            <w:vAlign w:val="bottom"/>
          </w:tcPr>
          <w:p>
            <w:pPr>
              <w:spacing w:after="0"/>
              <w:rPr>
                <w:sz w:val="19"/>
                <w:szCs w:val="19"/>
                <w:color w:val="auto"/>
              </w:rPr>
            </w:pPr>
          </w:p>
        </w:tc>
        <w:tc>
          <w:tcPr>
            <w:tcW w:w="400" w:type="dxa"/>
            <w:vAlign w:val="bottom"/>
          </w:tcPr>
          <w:p>
            <w:pPr>
              <w:jc w:val="right"/>
              <w:ind w:right="2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460.6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34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980" w:type="dxa"/>
            <w:vAlign w:val="bottom"/>
          </w:tcPr>
          <w:p>
            <w:pPr>
              <w:ind w:left="140"/>
              <w:spacing w:after="0"/>
              <w:rPr>
                <w:sz w:val="20"/>
                <w:szCs w:val="20"/>
                <w:color w:val="auto"/>
              </w:rPr>
            </w:pPr>
            <w:r>
              <w:rPr>
                <w:rFonts w:ascii="Arial" w:cs="Arial" w:eastAsia="Arial" w:hAnsi="Arial"/>
                <w:sz w:val="18"/>
                <w:szCs w:val="18"/>
                <w:color w:val="auto"/>
              </w:rPr>
              <w:t>Stock-based compensation expense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(7.5)</w:t>
            </w:r>
          </w:p>
        </w:tc>
        <w:tc>
          <w:tcPr>
            <w:tcW w:w="52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(5.5)</w:t>
            </w:r>
          </w:p>
        </w:tc>
        <w:tc>
          <w:tcPr>
            <w:tcW w:w="460" w:type="dxa"/>
            <w:vAlign w:val="bottom"/>
            <w:gridSpan w:val="2"/>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(16.0)</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140"/>
              <w:spacing w:after="0" w:line="236" w:lineRule="exact"/>
              <w:rPr>
                <w:sz w:val="20"/>
                <w:szCs w:val="20"/>
                <w:color w:val="auto"/>
              </w:rPr>
            </w:pPr>
            <w:r>
              <w:rPr>
                <w:rFonts w:ascii="Arial" w:cs="Arial" w:eastAsia="Arial" w:hAnsi="Arial"/>
                <w:sz w:val="18"/>
                <w:szCs w:val="18"/>
                <w:color w:val="auto"/>
              </w:rPr>
              <w:t xml:space="preserve">Corporate general costs </w:t>
            </w:r>
            <w:r>
              <w:rPr>
                <w:rFonts w:ascii="Arial" w:cs="Arial" w:eastAsia="Arial" w:hAnsi="Arial"/>
                <w:sz w:val="23"/>
                <w:szCs w:val="23"/>
                <w:color w:val="auto"/>
                <w:vertAlign w:val="superscript"/>
              </w:rPr>
              <w:t>(1)</w:t>
            </w:r>
          </w:p>
        </w:tc>
        <w:tc>
          <w:tcPr>
            <w:tcW w:w="34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3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980" w:type="dxa"/>
            <w:vAlign w:val="bottom"/>
            <w:shd w:val="clear" w:color="auto" w:fill="CCEEFF"/>
          </w:tcPr>
          <w:p>
            <w:pPr>
              <w:ind w:left="140"/>
              <w:spacing w:after="0" w:line="243" w:lineRule="exact"/>
              <w:rPr>
                <w:sz w:val="20"/>
                <w:szCs w:val="20"/>
                <w:color w:val="auto"/>
              </w:rPr>
            </w:pPr>
            <w:r>
              <w:rPr>
                <w:rFonts w:ascii="Arial" w:cs="Arial" w:eastAsia="Arial" w:hAnsi="Arial"/>
                <w:sz w:val="18"/>
                <w:szCs w:val="18"/>
                <w:color w:val="auto"/>
              </w:rPr>
              <w:t xml:space="preserve">Loss on disposal of plant </w:t>
            </w:r>
            <w:r>
              <w:rPr>
                <w:rFonts w:ascii="Arial" w:cs="Arial" w:eastAsia="Arial" w:hAnsi="Arial"/>
                <w:sz w:val="23"/>
                <w:szCs w:val="23"/>
                <w:color w:val="auto"/>
                <w:vertAlign w:val="superscript"/>
              </w:rPr>
              <w:t>(2)</w:t>
            </w:r>
          </w:p>
        </w:tc>
        <w:tc>
          <w:tcPr>
            <w:tcW w:w="340" w:type="dxa"/>
            <w:vAlign w:val="bottom"/>
            <w:shd w:val="clear" w:color="auto" w:fill="CCEEFF"/>
          </w:tcPr>
          <w:p>
            <w:pPr>
              <w:spacing w:after="0"/>
              <w:rPr>
                <w:sz w:val="21"/>
                <w:szCs w:val="21"/>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20" w:type="dxa"/>
            <w:vAlign w:val="bottom"/>
            <w:shd w:val="clear" w:color="auto" w:fill="CCEEFF"/>
          </w:tcPr>
          <w:p>
            <w:pPr>
              <w:spacing w:after="0"/>
              <w:rPr>
                <w:sz w:val="21"/>
                <w:szCs w:val="21"/>
                <w:color w:val="auto"/>
              </w:rPr>
            </w:pPr>
          </w:p>
        </w:tc>
        <w:tc>
          <w:tcPr>
            <w:tcW w:w="40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8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(3)</w:t>
            </w:r>
          </w:p>
        </w:tc>
        <w:tc>
          <w:tcPr>
            <w:tcW w:w="3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4980" w:type="dxa"/>
            <w:vAlign w:val="bottom"/>
            <w:shd w:val="clear" w:color="auto" w:fill="CCEEFF"/>
          </w:tcPr>
          <w:p>
            <w:pPr>
              <w:ind w:left="14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(4)</w:t>
            </w:r>
          </w:p>
        </w:tc>
        <w:tc>
          <w:tcPr>
            <w:tcW w:w="34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 Corporate and Unallocated</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(26.6)</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(19.7)</w:t>
            </w: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(59.4)</w:t>
            </w: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36"/>
        </w:trPr>
        <w:tc>
          <w:tcPr>
            <w:tcW w:w="4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Total consolidated operating profit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5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155"/>
        </w:trPr>
        <w:tc>
          <w:tcPr>
            <w:tcW w:w="4980" w:type="dxa"/>
            <w:vAlign w:val="bottom"/>
          </w:tcPr>
          <w:p>
            <w:pPr>
              <w:ind w:left="20"/>
              <w:spacing w:after="0" w:line="156" w:lineRule="exact"/>
              <w:rPr>
                <w:sz w:val="20"/>
                <w:szCs w:val="20"/>
                <w:color w:val="auto"/>
              </w:rPr>
            </w:pPr>
            <w:r>
              <w:rPr>
                <w:rFonts w:ascii="Arial" w:cs="Arial" w:eastAsia="Arial" w:hAnsi="Arial"/>
                <w:sz w:val="18"/>
                <w:szCs w:val="18"/>
                <w:color w:val="auto"/>
                <w:w w:val="96"/>
              </w:rPr>
              <w:t>Interest (income) expense, net and other nonoperating (income)</w:t>
            </w:r>
          </w:p>
        </w:tc>
        <w:tc>
          <w:tcPr>
            <w:tcW w:w="340" w:type="dxa"/>
            <w:vAlign w:val="bottom"/>
            <w:tcBorders>
              <w:top w:val="single" w:sz="8" w:color="auto"/>
            </w:tcBorders>
          </w:tcPr>
          <w:p>
            <w:pPr>
              <w:spacing w:after="0"/>
              <w:rPr>
                <w:sz w:val="13"/>
                <w:szCs w:val="13"/>
                <w:color w:val="auto"/>
              </w:rPr>
            </w:pPr>
          </w:p>
        </w:tc>
        <w:tc>
          <w:tcPr>
            <w:tcW w:w="11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13"/>
                <w:szCs w:val="13"/>
                <w:color w:val="auto"/>
              </w:rPr>
            </w:pPr>
          </w:p>
        </w:tc>
        <w:tc>
          <w:tcPr>
            <w:tcW w:w="3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13"/>
                <w:szCs w:val="13"/>
                <w:color w:val="auto"/>
              </w:rPr>
            </w:pPr>
          </w:p>
        </w:tc>
        <w:tc>
          <w:tcPr>
            <w:tcW w:w="400" w:type="dxa"/>
            <w:vAlign w:val="bottom"/>
            <w:tcBorders>
              <w:top w:val="single" w:sz="8" w:color="auto"/>
            </w:tcBorders>
          </w:tcPr>
          <w:p>
            <w:pPr>
              <w:spacing w:after="0"/>
              <w:rPr>
                <w:sz w:val="13"/>
                <w:szCs w:val="13"/>
                <w:color w:val="auto"/>
              </w:rPr>
            </w:pPr>
          </w:p>
        </w:tc>
        <w:tc>
          <w:tcPr>
            <w:tcW w:w="108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expense, net</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4980" w:type="dxa"/>
            <w:vAlign w:val="bottom"/>
            <w:shd w:val="clear" w:color="auto" w:fill="CCEEFF"/>
          </w:tcPr>
          <w:p>
            <w:pPr>
              <w:ind w:left="140"/>
              <w:spacing w:after="0" w:line="169" w:lineRule="exact"/>
              <w:rPr>
                <w:sz w:val="20"/>
                <w:szCs w:val="20"/>
                <w:color w:val="auto"/>
              </w:rPr>
            </w:pPr>
            <w:r>
              <w:rPr>
                <w:rFonts w:ascii="Arial" w:cs="Arial" w:eastAsia="Arial" w:hAnsi="Arial"/>
                <w:sz w:val="18"/>
                <w:szCs w:val="18"/>
                <w:color w:val="auto"/>
                <w:w w:val="92"/>
              </w:rPr>
              <w:t>Income before income taxes and equity in net income of affiliated</w:t>
            </w:r>
          </w:p>
        </w:tc>
        <w:tc>
          <w:tcPr>
            <w:tcW w:w="340" w:type="dxa"/>
            <w:vAlign w:val="bottom"/>
            <w:vMerge w:val="restart"/>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184.9</w:t>
            </w:r>
          </w:p>
        </w:tc>
        <w:tc>
          <w:tcPr>
            <w:tcW w:w="520" w:type="dxa"/>
            <w:vAlign w:val="bottom"/>
            <w:gridSpan w:val="2"/>
            <w:vMerge w:val="restart"/>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227.2</w:t>
            </w:r>
          </w:p>
        </w:tc>
        <w:tc>
          <w:tcPr>
            <w:tcW w:w="460" w:type="dxa"/>
            <w:vAlign w:val="bottom"/>
            <w:gridSpan w:val="2"/>
            <w:vMerge w:val="restart"/>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520" w:type="dxa"/>
            <w:vAlign w:val="bottom"/>
            <w:gridSpan w:val="2"/>
            <w:vMerge w:val="restart"/>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415.0</w:t>
            </w: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ind w:left="140"/>
              <w:spacing w:after="0" w:line="202" w:lineRule="exact"/>
              <w:rPr>
                <w:sz w:val="20"/>
                <w:szCs w:val="20"/>
                <w:color w:val="auto"/>
              </w:rPr>
            </w:pPr>
            <w:r>
              <w:rPr>
                <w:rFonts w:ascii="Arial" w:cs="Arial" w:eastAsia="Arial" w:hAnsi="Arial"/>
                <w:sz w:val="18"/>
                <w:szCs w:val="18"/>
                <w:color w:val="auto"/>
              </w:rPr>
              <w:t>companies</w:t>
            </w:r>
          </w:p>
        </w:tc>
        <w:tc>
          <w:tcPr>
            <w:tcW w:w="3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460" w:type="dxa"/>
            <w:vAlign w:val="bottom"/>
            <w:gridSpan w:val="2"/>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520" w:type="dxa"/>
            <w:vAlign w:val="bottom"/>
            <w:gridSpan w:val="2"/>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26" w:name="page27"/>
    <w:bookmarkEnd w:id="2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140" w:firstLine="8"/>
        <w:spacing w:after="0" w:line="277"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Corporate general costs includes executive and director compensation, certain pension and other retirement benefit costs, and other corporate facilities and administrative expenses not allocated to the segments.</w:t>
      </w:r>
    </w:p>
    <w:p>
      <w:pPr>
        <w:spacing w:after="0" w:line="197" w:lineRule="exact"/>
        <w:rPr>
          <w:rFonts w:ascii="Arial" w:cs="Arial" w:eastAsia="Arial" w:hAnsi="Arial"/>
          <w:sz w:val="18"/>
          <w:szCs w:val="18"/>
          <w:color w:val="auto"/>
        </w:rPr>
      </w:pPr>
    </w:p>
    <w:p>
      <w:pPr>
        <w:ind w:right="120" w:firstLine="8"/>
        <w:spacing w:after="0" w:line="263"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and six months ended June 30, 2023, the Company recorded expense of $2.2 million and $11.6 million, respectively, within other expense (income), as a result of the sale of one of the Company’s manufacturing facilities within the Proprietary Products segment. The transaction closed during the second quarter of 2023.</w:t>
      </w:r>
    </w:p>
    <w:p>
      <w:pPr>
        <w:spacing w:after="0" w:line="210" w:lineRule="exact"/>
        <w:rPr>
          <w:rFonts w:ascii="Arial" w:cs="Arial" w:eastAsia="Arial" w:hAnsi="Arial"/>
          <w:sz w:val="18"/>
          <w:szCs w:val="18"/>
          <w:color w:val="auto"/>
        </w:rPr>
      </w:pPr>
    </w:p>
    <w:p>
      <w:pPr>
        <w:ind w:right="200" w:firstLine="8"/>
        <w:spacing w:after="0" w:line="301" w:lineRule="auto"/>
        <w:tabs>
          <w:tab w:leader="none" w:pos="255" w:val="left"/>
        </w:tabs>
        <w:numPr>
          <w:ilvl w:val="0"/>
          <w:numId w:val="5"/>
        </w:numPr>
        <w:rPr>
          <w:rFonts w:ascii="Arial" w:cs="Arial" w:eastAsia="Arial" w:hAnsi="Arial"/>
          <w:sz w:val="16"/>
          <w:szCs w:val="16"/>
          <w:color w:val="auto"/>
        </w:rPr>
      </w:pPr>
      <w:r>
        <w:rPr>
          <w:rFonts w:ascii="Arial" w:cs="Arial" w:eastAsia="Arial" w:hAnsi="Arial"/>
          <w:sz w:val="16"/>
          <w:szCs w:val="16"/>
          <w:color w:val="252525"/>
        </w:rPr>
        <w:t xml:space="preserve">Restructuring and other charges of </w:t>
      </w:r>
      <w:r>
        <w:rPr>
          <w:rFonts w:ascii="Arial" w:cs="Arial" w:eastAsia="Arial" w:hAnsi="Arial"/>
          <w:sz w:val="16"/>
          <w:szCs w:val="16"/>
          <w:color w:val="000000"/>
        </w:rPr>
        <w:t>$0.1 million</w:t>
      </w:r>
      <w:r>
        <w:rPr>
          <w:rFonts w:ascii="Arial" w:cs="Arial" w:eastAsia="Arial" w:hAnsi="Arial"/>
          <w:sz w:val="16"/>
          <w:szCs w:val="16"/>
          <w:color w:val="252525"/>
        </w:rPr>
        <w:t xml:space="preserve"> for both the </w:t>
      </w:r>
      <w:r>
        <w:rPr>
          <w:rFonts w:ascii="Arial" w:cs="Arial" w:eastAsia="Arial" w:hAnsi="Arial"/>
          <w:sz w:val="16"/>
          <w:szCs w:val="16"/>
          <w:color w:val="000000"/>
        </w:rPr>
        <w:t>three and six months ended June 30, 2023 represents the net impact of an</w:t>
      </w:r>
      <w:r>
        <w:rPr>
          <w:rFonts w:ascii="Arial" w:cs="Arial" w:eastAsia="Arial" w:hAnsi="Arial"/>
          <w:sz w:val="16"/>
          <w:szCs w:val="16"/>
          <w:color w:val="252525"/>
        </w:rPr>
        <w:t xml:space="preserve"> inventory write down of </w:t>
      </w:r>
      <w:r>
        <w:rPr>
          <w:rFonts w:ascii="Arial" w:cs="Arial" w:eastAsia="Arial" w:hAnsi="Arial"/>
          <w:sz w:val="16"/>
          <w:szCs w:val="16"/>
          <w:color w:val="000000"/>
        </w:rPr>
        <w:t>$0.9 million within cost of goods and services sold and a $0.8 million</w:t>
      </w:r>
      <w:r>
        <w:rPr>
          <w:rFonts w:ascii="Arial" w:cs="Arial" w:eastAsia="Arial" w:hAnsi="Arial"/>
          <w:sz w:val="16"/>
          <w:szCs w:val="16"/>
          <w:color w:val="252525"/>
        </w:rPr>
        <w:t xml:space="preserve"> benefit </w:t>
      </w:r>
      <w:r>
        <w:rPr>
          <w:rFonts w:ascii="Arial" w:cs="Arial" w:eastAsia="Arial" w:hAnsi="Arial"/>
          <w:sz w:val="16"/>
          <w:szCs w:val="16"/>
          <w:color w:val="000000"/>
        </w:rPr>
        <w:t>within other expense (income)</w:t>
      </w:r>
      <w:r>
        <w:rPr>
          <w:rFonts w:ascii="Arial" w:cs="Arial" w:eastAsia="Arial" w:hAnsi="Arial"/>
          <w:sz w:val="16"/>
          <w:szCs w:val="16"/>
          <w:color w:val="252525"/>
        </w:rPr>
        <w:t xml:space="preserve"> for revised severance estimates in connection with its 2022 restructuring plan. During the </w:t>
      </w:r>
      <w:r>
        <w:rPr>
          <w:rFonts w:ascii="Arial" w:cs="Arial" w:eastAsia="Arial" w:hAnsi="Arial"/>
          <w:sz w:val="16"/>
          <w:szCs w:val="16"/>
          <w:color w:val="000000"/>
        </w:rPr>
        <w:t>three and six months ended June 30, 2022, the Company recorded a benefit within other expense</w:t>
      </w:r>
      <w:r>
        <w:rPr>
          <w:rFonts w:ascii="Arial" w:cs="Arial" w:eastAsia="Arial" w:hAnsi="Arial"/>
          <w:sz w:val="16"/>
          <w:szCs w:val="16"/>
          <w:color w:val="252525"/>
        </w:rPr>
        <w:t xml:space="preserve"> </w:t>
      </w:r>
      <w:r>
        <w:rPr>
          <w:rFonts w:ascii="Arial" w:cs="Arial" w:eastAsia="Arial" w:hAnsi="Arial"/>
          <w:sz w:val="16"/>
          <w:szCs w:val="16"/>
          <w:color w:val="000000"/>
        </w:rPr>
        <w:t xml:space="preserve">(income) of $1.6 million for restructuring and severance related costs </w:t>
      </w:r>
      <w:r>
        <w:rPr>
          <w:rFonts w:ascii="Arial" w:cs="Arial" w:eastAsia="Arial" w:hAnsi="Arial"/>
          <w:sz w:val="16"/>
          <w:szCs w:val="16"/>
          <w:color w:val="252525"/>
        </w:rPr>
        <w:t>in connection with its 2020 plan related to revised severance estimates.</w:t>
      </w:r>
    </w:p>
    <w:p>
      <w:pPr>
        <w:spacing w:after="0" w:line="184" w:lineRule="exact"/>
        <w:rPr>
          <w:rFonts w:ascii="Arial" w:cs="Arial" w:eastAsia="Arial" w:hAnsi="Arial"/>
          <w:sz w:val="16"/>
          <w:szCs w:val="16"/>
          <w:color w:val="auto"/>
        </w:rPr>
      </w:pPr>
    </w:p>
    <w:p>
      <w:pPr>
        <w:ind w:firstLine="8"/>
        <w:spacing w:after="0" w:line="259" w:lineRule="auto"/>
        <w:tabs>
          <w:tab w:leader="none" w:pos="255" w:val="left"/>
        </w:tabs>
        <w:numPr>
          <w:ilvl w:val="0"/>
          <w:numId w:val="5"/>
        </w:numPr>
        <w:rPr>
          <w:rFonts w:ascii="Arial" w:cs="Arial" w:eastAsia="Arial" w:hAnsi="Arial"/>
          <w:sz w:val="18"/>
          <w:szCs w:val="18"/>
          <w:color w:val="auto"/>
        </w:rPr>
      </w:pPr>
      <w:r>
        <w:rPr>
          <w:rFonts w:ascii="Arial" w:cs="Arial" w:eastAsia="Arial" w:hAnsi="Arial"/>
          <w:sz w:val="18"/>
          <w:szCs w:val="18"/>
          <w:color w:val="auto"/>
        </w:rPr>
        <w:t>During the three and six months ended June 30, 2023, the Company recorded $0.2 million and $0.4 million, respectively, of amortization expense within operating profit associated with an intangible asset acquired during the second quarter of 2020. During the three and six months ended June 30, 2022, the Company recorded $0.2 million and $0.4 million, respectively, of amortization expense within operating profit associated with an intangible asset acquired during the second quarter of 2020.</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Please refer to Note 15, </w:t>
      </w:r>
      <w:r>
        <w:rPr>
          <w:rFonts w:ascii="Arial" w:cs="Arial" w:eastAsia="Arial" w:hAnsi="Arial"/>
          <w:sz w:val="18"/>
          <w:szCs w:val="18"/>
          <w:i w:val="1"/>
          <w:iCs w:val="1"/>
          <w:u w:val="single" w:color="auto"/>
          <w:color w:val="0000FF"/>
        </w:rPr>
        <w:t>Other Expense (Income)</w:t>
      </w:r>
      <w:r>
        <w:rPr>
          <w:rFonts w:ascii="Arial" w:cs="Arial" w:eastAsia="Arial" w:hAnsi="Arial"/>
          <w:sz w:val="18"/>
          <w:szCs w:val="18"/>
          <w:color w:val="auto"/>
        </w:rPr>
        <w:t>, for further discussion of these items.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following discussion is intended to further the reader’s understanding of the consolidated financial condition and results of operations of our Company. It should be read in conjunction with our condensed consolidated financial statements and accompanying notes elsewhere in this Quarterly Report on Form 10-Q (“Form 10-Q”) as well as Management’s Discussion and Analysis of Financial Condition and Results of Operations and the consolidated financial statements and accompanying notes included in our 2022 Annual Report. Our historical financial statements may not be indicative of our future performance. This Management’s Discussion and Analysis of Financial Condition and Results of Operations contains a number of forward-looking statements, all of which are based on our current expectations and could be affected by the uncertainties and risks discussed in Part I, Item 1A of our 2022 Annual Report and in Part II, Item 1A of this Form 10-Q.</w:t>
      </w:r>
    </w:p>
    <w:p>
      <w:pPr>
        <w:spacing w:after="0" w:line="222"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Throughout this section, references to “Notes” refer to the notes to our condensed consolidated financial statements (unaudited) in Part I, Item 1 of this Form 10-Q, unless otherwise indicated.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7" w:name="page28"/>
    <w:bookmarkEnd w:id="2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GAAP Financial Measures</w:t>
      </w:r>
    </w:p>
    <w:p>
      <w:pPr>
        <w:spacing w:after="0" w:line="256"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For the purpose of aiding the comparison of our year-over-year results, we may refer to net sales and other financial results excluding the effects of changes in foreign currency exchange rates. Organic net sales exclude the impact from acquisitions and/or divestitures and translate the current-period reported sales of subsidiaries whose functional currency is other than USD at the applicable foreign exchange rates in effect during the comparable prior-year period. We may also refer to adjusted consolidated operating profit and adjusted consolidated operating profit margin, which exclude the effects of unallocated items. The unallocated items are not representative of ongoing operations, and generally include restructuring and related charges, certain asset impairments, and other specifically-identified income or expense items. The re-measured results excluding effects from currency translation, the impact from acquisitions and/or divestitures, and excluding the effects of unallocated items are not in conformity with U.S. Generally Accepted Accounting Principles ("GAAP") and should not be used as a substitute for the comparable U.S. GAAP financial measures. The non-U.S. GAAP financial measures are incorporated in our discussion and analysis as management uses them in evaluating our results of operations and believes that this information provides users with a valuable insight into our overall performance and financial position.</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Operations</w:t>
      </w:r>
    </w:p>
    <w:p>
      <w:pPr>
        <w:spacing w:after="0" w:line="256" w:lineRule="exact"/>
        <w:rPr>
          <w:sz w:val="20"/>
          <w:szCs w:val="20"/>
          <w:color w:val="auto"/>
        </w:rPr>
      </w:pPr>
    </w:p>
    <w:p>
      <w:pPr>
        <w:ind w:right="100"/>
        <w:spacing w:after="0" w:line="272" w:lineRule="auto"/>
        <w:rPr>
          <w:sz w:val="20"/>
          <w:szCs w:val="20"/>
          <w:color w:val="auto"/>
        </w:rPr>
      </w:pPr>
      <w:r>
        <w:rPr>
          <w:rFonts w:ascii="Arial" w:cs="Arial" w:eastAsia="Arial" w:hAnsi="Arial"/>
          <w:sz w:val="17"/>
          <w:szCs w:val="17"/>
          <w:color w:val="auto"/>
        </w:rPr>
        <w:t>We are a leading global manufacturer in the design and production of technologically advanced, high-quality, integrated containment and delivery systems for injectable drugs and healthcare products. Our products include a variety of primary proprietary packaging, containment solutions, reconstitution and transfer systems, and drug delivery systems, as well as contract manufacturing, analytical lab services and integrated solutions. Our customers include leading biologic, generic, pharmaceutical, diagnostic, and medical device companies around the world. Our top priority is delivering quality products that meet the exact product specifications and quality standards customers require and expect. This focus on quality includes a commitment to excellence in manufacturing, scientific and technical expertise and management, which enables us to partner with our customers in order to deliver safe, effective drug products to patients quickly and efficiently.</w:t>
      </w:r>
    </w:p>
    <w:p>
      <w:pPr>
        <w:spacing w:after="0" w:line="204" w:lineRule="exact"/>
        <w:rPr>
          <w:sz w:val="20"/>
          <w:szCs w:val="20"/>
          <w:color w:val="auto"/>
        </w:rPr>
      </w:pPr>
    </w:p>
    <w:p>
      <w:pPr>
        <w:ind w:right="140"/>
        <w:spacing w:after="0" w:line="296" w:lineRule="auto"/>
        <w:rPr>
          <w:sz w:val="20"/>
          <w:szCs w:val="20"/>
          <w:color w:val="auto"/>
        </w:rPr>
      </w:pPr>
      <w:r>
        <w:rPr>
          <w:rFonts w:ascii="Arial" w:cs="Arial" w:eastAsia="Arial" w:hAnsi="Arial"/>
          <w:sz w:val="16"/>
          <w:szCs w:val="16"/>
          <w:color w:val="auto"/>
        </w:rPr>
        <w:t>Our business operations are organized into two global segments, Proprietary Products and Contract-Manufactured Products. Our Proprietary Products reportable segment offers proprietary packaging, containment solutions and drug delivery systems, along with analytical lab services and other integrated services and solutions, primarily to biologic, generic and pharmaceutical drug customers. Our Contract-Manufactured Products reportable segment serves as a fully integrated business, focused on the design, manufacture, and automated assembly of complex devices, primarily for pharmaceutical, diagnostic, and medical device customers. We also maintain collaborations to share technologies and market products with affiliates in Japan and Mexico.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Macroeconomic Factors</w:t>
      </w:r>
    </w:p>
    <w:p>
      <w:pPr>
        <w:spacing w:after="0" w:line="256" w:lineRule="exact"/>
        <w:rPr>
          <w:sz w:val="20"/>
          <w:szCs w:val="20"/>
          <w:color w:val="auto"/>
        </w:rPr>
      </w:pPr>
    </w:p>
    <w:p>
      <w:pPr>
        <w:ind w:right="200"/>
        <w:spacing w:after="0" w:line="290" w:lineRule="auto"/>
        <w:rPr>
          <w:sz w:val="20"/>
          <w:szCs w:val="20"/>
          <w:color w:val="auto"/>
        </w:rPr>
      </w:pPr>
      <w:r>
        <w:rPr>
          <w:rFonts w:ascii="Arial" w:cs="Arial" w:eastAsia="Arial" w:hAnsi="Arial"/>
          <w:sz w:val="16"/>
          <w:szCs w:val="16"/>
          <w:color w:val="auto"/>
        </w:rPr>
        <w:t>Through the six months ended June 30, 2023, the war between Russia and Ukraine has not had a material impact on the Company’s business, financial condition or results of operations as we do not have manufacturing operations or significant commercial relationships in either country. However, the continuation of the Russia-Ukraine military conflict and/or an escalation of the conflict beyond its current scope may further weaken the global economy and could result in additional inflationary pressures and supply chain constraints, including the unavailability and cost of energy.</w:t>
      </w:r>
    </w:p>
    <w:p>
      <w:pPr>
        <w:spacing w:after="0" w:line="177" w:lineRule="exact"/>
        <w:rPr>
          <w:sz w:val="20"/>
          <w:szCs w:val="20"/>
          <w:color w:val="auto"/>
        </w:rPr>
      </w:pPr>
    </w:p>
    <w:p>
      <w:pPr>
        <w:spacing w:after="0"/>
        <w:rPr>
          <w:sz w:val="20"/>
          <w:szCs w:val="20"/>
          <w:color w:val="auto"/>
        </w:rPr>
      </w:pPr>
      <w:r>
        <w:rPr>
          <w:rFonts w:ascii="Arial" w:cs="Arial" w:eastAsia="Arial" w:hAnsi="Arial"/>
          <w:sz w:val="17"/>
          <w:szCs w:val="17"/>
          <w:color w:val="auto"/>
        </w:rPr>
        <w:t>During the six months ended June 30, 2023 we continued to experience high costs for raw materials in both domestic and international markets.</w:t>
      </w:r>
    </w:p>
    <w:p>
      <w:pPr>
        <w:spacing w:after="0" w:line="264" w:lineRule="exact"/>
        <w:rPr>
          <w:sz w:val="20"/>
          <w:szCs w:val="20"/>
          <w:color w:val="auto"/>
        </w:rPr>
      </w:pPr>
    </w:p>
    <w:p>
      <w:pPr>
        <w:ind w:right="180"/>
        <w:spacing w:after="0" w:line="259" w:lineRule="auto"/>
        <w:rPr>
          <w:sz w:val="20"/>
          <w:szCs w:val="20"/>
          <w:color w:val="auto"/>
        </w:rPr>
      </w:pPr>
      <w:r>
        <w:rPr>
          <w:rFonts w:ascii="Arial" w:cs="Arial" w:eastAsia="Arial" w:hAnsi="Arial"/>
          <w:sz w:val="18"/>
          <w:szCs w:val="18"/>
          <w:color w:val="auto"/>
        </w:rPr>
        <w:t xml:space="preserve">Due to the uncertainty that exists relative to the duration and overall impact of the macroeconomic factors discussed above, our future operating performance, particularly in the short-term, may be subject to volatility. The impacts of macroeconomic conditions on our business, results of operations, financial condition and cash flows are dependent on certain factors, including those discussed in Item 1A. </w:t>
      </w:r>
      <w:r>
        <w:rPr>
          <w:rFonts w:ascii="Arial" w:cs="Arial" w:eastAsia="Arial" w:hAnsi="Arial"/>
          <w:sz w:val="18"/>
          <w:szCs w:val="18"/>
          <w:i w:val="1"/>
          <w:iCs w:val="1"/>
          <w:u w:val="single" w:color="auto"/>
          <w:color w:val="0000FF"/>
        </w:rPr>
        <w:t>Risk Factors</w:t>
      </w:r>
      <w:r>
        <w:rPr>
          <w:rFonts w:ascii="Arial" w:cs="Arial" w:eastAsia="Arial" w:hAnsi="Arial"/>
          <w:sz w:val="18"/>
          <w:szCs w:val="18"/>
          <w:color w:val="auto"/>
        </w:rPr>
        <w:t xml:space="preserve"> and the risk factors described in Part I, Item 1A of our 2022 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8" w:name="page29"/>
    <w:bookmarkEnd w:id="2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2023 Financial Performance Summary</w:t>
      </w:r>
    </w:p>
    <w:p>
      <w:pPr>
        <w:spacing w:after="0" w:line="256"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following tables present a reconciliation from U.S. GAAP to non-U.S. GAAP financial measures for the three and six months ended </w:t>
      </w:r>
      <w:r>
        <w:rPr>
          <w:rFonts w:ascii="Arial" w:cs="Arial" w:eastAsia="Arial" w:hAnsi="Arial"/>
          <w:sz w:val="16"/>
          <w:szCs w:val="16"/>
          <w:color w:val="000000"/>
        </w:rPr>
        <w:t>June 30, 2023:</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00" w:type="dxa"/>
            <w:vAlign w:val="bottom"/>
            <w:vMerge w:val="restart"/>
          </w:tcPr>
          <w:p>
            <w:pPr>
              <w:jc w:val="right"/>
              <w:ind w:right="170"/>
              <w:spacing w:after="0"/>
              <w:rPr>
                <w:sz w:val="20"/>
                <w:szCs w:val="20"/>
                <w:color w:val="auto"/>
              </w:rPr>
            </w:pPr>
            <w:r>
              <w:rPr>
                <w:rFonts w:ascii="Arial" w:cs="Arial" w:eastAsia="Arial" w:hAnsi="Arial"/>
                <w:sz w:val="18"/>
                <w:szCs w:val="18"/>
                <w:color w:val="auto"/>
                <w:w w:val="96"/>
              </w:rPr>
              <w:t>Operating Profit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0"/>
              </w:rPr>
              <w:t>Income tax</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w w:val="98"/>
              </w:rPr>
              <w:t>Net income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expense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2023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Loss on disposal of plant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(2)</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168"/>
        </w:trPr>
        <w:tc>
          <w:tcPr>
            <w:tcW w:w="4680" w:type="dxa"/>
            <w:vAlign w:val="bottom"/>
          </w:tcPr>
          <w:p>
            <w:pPr>
              <w:ind w:left="20"/>
              <w:spacing w:after="0" w:line="168" w:lineRule="exact"/>
              <w:rPr>
                <w:sz w:val="20"/>
                <w:szCs w:val="20"/>
                <w:color w:val="auto"/>
              </w:rPr>
            </w:pPr>
            <w:r>
              <w:rPr>
                <w:rFonts w:ascii="Arial" w:cs="Arial" w:eastAsia="Arial" w:hAnsi="Arial"/>
                <w:sz w:val="18"/>
                <w:szCs w:val="18"/>
                <w:color w:val="auto"/>
                <w:w w:val="90"/>
              </w:rPr>
              <w:t>Three months ended June 30, 2023 adjusted amounts (non-U.S.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185.0</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33.8</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159.1</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03"/>
        </w:trPr>
        <w:tc>
          <w:tcPr>
            <w:tcW w:w="4680" w:type="dxa"/>
            <w:vAlign w:val="bottom"/>
          </w:tcPr>
          <w:p>
            <w:pPr>
              <w:ind w:left="20"/>
              <w:spacing w:after="0" w:line="203" w:lineRule="exact"/>
              <w:rPr>
                <w:sz w:val="20"/>
                <w:szCs w:val="20"/>
                <w:color w:val="auto"/>
              </w:rPr>
            </w:pPr>
            <w:r>
              <w:rPr>
                <w:rFonts w:ascii="Arial" w:cs="Arial" w:eastAsia="Arial" w:hAnsi="Arial"/>
                <w:sz w:val="18"/>
                <w:szCs w:val="18"/>
                <w:color w:val="auto"/>
              </w:rPr>
              <w:t>GAAP)</w:t>
            </w:r>
          </w:p>
        </w:tc>
        <w:tc>
          <w:tcPr>
            <w:tcW w:w="180" w:type="dxa"/>
            <w:vAlign w:val="bottom"/>
            <w:vMerge w:val="continue"/>
          </w:tcPr>
          <w:p>
            <w:pPr>
              <w:spacing w:after="0"/>
              <w:rPr>
                <w:sz w:val="17"/>
                <w:szCs w:val="17"/>
                <w:color w:val="auto"/>
              </w:rPr>
            </w:pPr>
          </w:p>
        </w:tc>
        <w:tc>
          <w:tcPr>
            <w:tcW w:w="150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1240" w:type="dxa"/>
            <w:vAlign w:val="bottom"/>
            <w:vMerge w:val="continue"/>
          </w:tcPr>
          <w:p>
            <w:pPr>
              <w:spacing w:after="0"/>
              <w:rPr>
                <w:sz w:val="17"/>
                <w:szCs w:val="17"/>
                <w:color w:val="auto"/>
              </w:rPr>
            </w:pPr>
          </w:p>
        </w:tc>
        <w:tc>
          <w:tcPr>
            <w:tcW w:w="280" w:type="dxa"/>
            <w:vAlign w:val="bottom"/>
            <w:gridSpan w:val="2"/>
            <w:vMerge w:val="continue"/>
          </w:tcPr>
          <w:p>
            <w:pPr>
              <w:spacing w:after="0"/>
              <w:rPr>
                <w:sz w:val="17"/>
                <w:szCs w:val="17"/>
                <w:color w:val="auto"/>
              </w:rPr>
            </w:pPr>
          </w:p>
        </w:tc>
        <w:tc>
          <w:tcPr>
            <w:tcW w:w="12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33"/>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24"/>
                <w:szCs w:val="24"/>
                <w:color w:val="auto"/>
              </w:rPr>
            </w:pPr>
          </w:p>
        </w:tc>
        <w:tc>
          <w:tcPr>
            <w:tcW w:w="1500" w:type="dxa"/>
            <w:vAlign w:val="bottom"/>
            <w:vMerge w:val="restart"/>
          </w:tcPr>
          <w:p>
            <w:pPr>
              <w:jc w:val="right"/>
              <w:ind w:right="170"/>
              <w:spacing w:after="0"/>
              <w:rPr>
                <w:sz w:val="20"/>
                <w:szCs w:val="20"/>
                <w:color w:val="auto"/>
              </w:rPr>
            </w:pPr>
            <w:r>
              <w:rPr>
                <w:rFonts w:ascii="Arial" w:cs="Arial" w:eastAsia="Arial" w:hAnsi="Arial"/>
                <w:sz w:val="18"/>
                <w:szCs w:val="18"/>
                <w:color w:val="auto"/>
                <w:w w:val="96"/>
              </w:rPr>
              <w:t>Operating Profit</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jc w:val="center"/>
              <w:ind w:right="110"/>
              <w:spacing w:after="0"/>
              <w:rPr>
                <w:sz w:val="20"/>
                <w:szCs w:val="20"/>
                <w:color w:val="auto"/>
              </w:rPr>
            </w:pPr>
            <w:r>
              <w:rPr>
                <w:rFonts w:ascii="Arial" w:cs="Arial" w:eastAsia="Arial" w:hAnsi="Arial"/>
                <w:sz w:val="18"/>
                <w:szCs w:val="18"/>
                <w:color w:val="auto"/>
                <w:w w:val="90"/>
              </w:rPr>
              <w:t>Income tax</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w w:val="98"/>
              </w:rPr>
              <w:t>Net income</w:t>
            </w: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vMerge w:val="restart"/>
          </w:tcPr>
          <w:p>
            <w:pPr>
              <w:jc w:val="right"/>
              <w:ind w:right="190"/>
              <w:spacing w:after="0"/>
              <w:rPr>
                <w:sz w:val="20"/>
                <w:szCs w:val="20"/>
                <w:color w:val="auto"/>
              </w:rPr>
            </w:pPr>
            <w:r>
              <w:rPr>
                <w:rFonts w:ascii="Arial" w:cs="Arial" w:eastAsia="Arial" w:hAnsi="Arial"/>
                <w:sz w:val="18"/>
                <w:szCs w:val="18"/>
                <w:color w:val="auto"/>
                <w:w w:val="98"/>
              </w:rPr>
              <w:t>Diluted EPS</w:t>
            </w:r>
          </w:p>
        </w:tc>
        <w:tc>
          <w:tcPr>
            <w:tcW w:w="0" w:type="dxa"/>
            <w:vAlign w:val="bottom"/>
          </w:tcPr>
          <w:p>
            <w:pPr>
              <w:spacing w:after="0"/>
              <w:rPr>
                <w:sz w:val="1"/>
                <w:szCs w:val="1"/>
                <w:color w:val="auto"/>
              </w:rPr>
            </w:pPr>
          </w:p>
        </w:tc>
      </w:tr>
      <w:tr>
        <w:trPr>
          <w:trHeight w:val="229"/>
        </w:trPr>
        <w:tc>
          <w:tcPr>
            <w:tcW w:w="4680" w:type="dxa"/>
            <w:vAlign w:val="bottom"/>
            <w:tcBorders>
              <w:bottom w:val="single" w:sz="8" w:color="auto"/>
            </w:tcBorders>
            <w:vMerge w:val="continue"/>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color w:val="auto"/>
                <w:w w:val="85"/>
              </w:rPr>
              <w:t>expense</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2023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337.8</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3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Loss on disposal of plant </w:t>
            </w:r>
            <w:r>
              <w:rPr>
                <w:rFonts w:ascii="Arial" w:cs="Arial" w:eastAsia="Arial" w:hAnsi="Arial"/>
                <w:sz w:val="23"/>
                <w:szCs w:val="23"/>
                <w:color w:val="auto"/>
                <w:vertAlign w:val="superscript"/>
              </w:rPr>
              <w:t>(1)</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0" w:type="dxa"/>
            <w:vAlign w:val="bottom"/>
          </w:tcPr>
          <w:p>
            <w:pPr>
              <w:spacing w:after="0"/>
              <w:rPr>
                <w:sz w:val="1"/>
                <w:szCs w:val="1"/>
                <w:color w:val="auto"/>
              </w:rPr>
            </w:pPr>
          </w:p>
        </w:tc>
      </w:tr>
      <w:tr>
        <w:trPr>
          <w:trHeight w:val="243"/>
        </w:trPr>
        <w:tc>
          <w:tcPr>
            <w:tcW w:w="4680" w:type="dxa"/>
            <w:vAlign w:val="bottom"/>
          </w:tcPr>
          <w:p>
            <w:pPr>
              <w:ind w:left="20"/>
              <w:spacing w:after="0" w:line="243"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(2)</w:t>
            </w:r>
          </w:p>
        </w:tc>
        <w:tc>
          <w:tcPr>
            <w:tcW w:w="18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680" w:type="dxa"/>
            <w:vAlign w:val="bottom"/>
            <w:tcBorders>
              <w:bottom w:val="single" w:sz="8" w:color="CCEEFF"/>
            </w:tcBorders>
            <w:shd w:val="clear" w:color="auto" w:fill="CCEEFF"/>
          </w:tcPr>
          <w:p>
            <w:pPr>
              <w:ind w:left="20"/>
              <w:spacing w:after="0" w:line="216"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tcBorders>
              <w:bottom w:val="single" w:sz="8" w:color="auto"/>
            </w:tcBorders>
            <w:shd w:val="clear" w:color="auto" w:fill="CCEEFF"/>
          </w:tcPr>
          <w:p>
            <w:pPr>
              <w:spacing w:after="0"/>
              <w:rPr>
                <w:sz w:val="18"/>
                <w:szCs w:val="18"/>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0" w:type="dxa"/>
            <w:vAlign w:val="bottom"/>
          </w:tcPr>
          <w:p>
            <w:pPr>
              <w:spacing w:after="0"/>
              <w:rPr>
                <w:sz w:val="1"/>
                <w:szCs w:val="1"/>
                <w:color w:val="auto"/>
              </w:rPr>
            </w:pPr>
          </w:p>
        </w:tc>
      </w:tr>
      <w:tr>
        <w:trPr>
          <w:trHeight w:val="169"/>
        </w:trPr>
        <w:tc>
          <w:tcPr>
            <w:tcW w:w="4680" w:type="dxa"/>
            <w:vAlign w:val="bottom"/>
          </w:tcPr>
          <w:p>
            <w:pPr>
              <w:ind w:left="20"/>
              <w:spacing w:after="0" w:line="169" w:lineRule="exact"/>
              <w:rPr>
                <w:sz w:val="20"/>
                <w:szCs w:val="20"/>
                <w:color w:val="auto"/>
              </w:rPr>
            </w:pPr>
            <w:r>
              <w:rPr>
                <w:rFonts w:ascii="Arial" w:cs="Arial" w:eastAsia="Arial" w:hAnsi="Arial"/>
                <w:sz w:val="18"/>
                <w:szCs w:val="18"/>
                <w:color w:val="auto"/>
                <w:w w:val="94"/>
              </w:rPr>
              <w:t>Six months ended June 30, 2023 adjusted amounts (non-U.S.</w:t>
            </w:r>
          </w:p>
        </w:tc>
        <w:tc>
          <w:tcPr>
            <w:tcW w:w="18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vMerge w:val="restart"/>
          </w:tcPr>
          <w:p>
            <w:pPr>
              <w:jc w:val="right"/>
              <w:spacing w:after="0"/>
              <w:rPr>
                <w:sz w:val="20"/>
                <w:szCs w:val="20"/>
                <w:color w:val="auto"/>
              </w:rPr>
            </w:pPr>
            <w:r>
              <w:rPr>
                <w:rFonts w:ascii="Arial" w:cs="Arial" w:eastAsia="Arial" w:hAnsi="Arial"/>
                <w:sz w:val="18"/>
                <w:szCs w:val="18"/>
                <w:color w:val="auto"/>
              </w:rPr>
              <w:t>349.9</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57.4</w:t>
            </w:r>
          </w:p>
        </w:tc>
        <w:tc>
          <w:tcPr>
            <w:tcW w:w="300" w:type="dxa"/>
            <w:vAlign w:val="bottom"/>
            <w:gridSpan w:val="2"/>
            <w:vMerge w:val="restart"/>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309.2</w:t>
            </w:r>
          </w:p>
        </w:tc>
        <w:tc>
          <w:tcPr>
            <w:tcW w:w="28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tcPr>
          <w:p>
            <w:pPr>
              <w:jc w:val="right"/>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16"/>
        </w:trPr>
        <w:tc>
          <w:tcPr>
            <w:tcW w:w="4680" w:type="dxa"/>
            <w:vAlign w:val="bottom"/>
          </w:tcPr>
          <w:p>
            <w:pPr>
              <w:ind w:left="20"/>
              <w:spacing w:after="0"/>
              <w:rPr>
                <w:sz w:val="20"/>
                <w:szCs w:val="20"/>
                <w:color w:val="auto"/>
              </w:rPr>
            </w:pPr>
            <w:r>
              <w:rPr>
                <w:rFonts w:ascii="Arial" w:cs="Arial" w:eastAsia="Arial" w:hAnsi="Arial"/>
                <w:sz w:val="18"/>
                <w:szCs w:val="18"/>
                <w:color w:val="auto"/>
              </w:rPr>
              <w:t>GAAP)</w:t>
            </w:r>
          </w:p>
        </w:tc>
        <w:tc>
          <w:tcPr>
            <w:tcW w:w="18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300" w:type="dxa"/>
            <w:vAlign w:val="bottom"/>
            <w:gridSpan w:val="2"/>
            <w:vMerge w:val="continue"/>
          </w:tcPr>
          <w:p>
            <w:pPr>
              <w:spacing w:after="0"/>
              <w:rPr>
                <w:sz w:val="18"/>
                <w:szCs w:val="18"/>
                <w:color w:val="auto"/>
              </w:rPr>
            </w:pPr>
          </w:p>
        </w:tc>
        <w:tc>
          <w:tcPr>
            <w:tcW w:w="1240" w:type="dxa"/>
            <w:vAlign w:val="bottom"/>
            <w:vMerge w:val="continue"/>
          </w:tcPr>
          <w:p>
            <w:pPr>
              <w:spacing w:after="0"/>
              <w:rPr>
                <w:sz w:val="18"/>
                <w:szCs w:val="18"/>
                <w:color w:val="auto"/>
              </w:rPr>
            </w:pPr>
          </w:p>
        </w:tc>
        <w:tc>
          <w:tcPr>
            <w:tcW w:w="280" w:type="dxa"/>
            <w:vAlign w:val="bottom"/>
            <w:gridSpan w:val="2"/>
            <w:vMerge w:val="continue"/>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2023, we recorded a tax benefit of $7.7 million and $19.3 million, respectively, associated with stock-based compensation.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252525"/>
        </w:rPr>
        <w:t xml:space="preserve">The following tables present a reconciliation from U.S. GAAP to non-U.S. GAAP financial measures for the three and six months ended </w:t>
      </w:r>
      <w:r>
        <w:rPr>
          <w:rFonts w:ascii="Arial" w:cs="Arial" w:eastAsia="Arial" w:hAnsi="Arial"/>
          <w:sz w:val="16"/>
          <w:szCs w:val="16"/>
          <w:color w:val="000000"/>
        </w:rPr>
        <w:t>June 30, 2022:</w:t>
      </w:r>
    </w:p>
    <w:p>
      <w:pPr>
        <w:spacing w:after="0" w:line="29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6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6"/>
              </w:rPr>
              <w:t>Operating Profit</w:t>
            </w: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expense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w w:val="98"/>
              </w:rPr>
              <w:t>Net income</w:t>
            </w: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Three months ended June 30, 2022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228.4</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188.5</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2.48</w:t>
            </w:r>
          </w:p>
        </w:tc>
        <w:tc>
          <w:tcPr>
            <w:tcW w:w="0" w:type="dxa"/>
            <w:vAlign w:val="bottom"/>
          </w:tcPr>
          <w:p>
            <w:pPr>
              <w:spacing w:after="0"/>
              <w:rPr>
                <w:sz w:val="1"/>
                <w:szCs w:val="1"/>
                <w:color w:val="auto"/>
              </w:rPr>
            </w:pPr>
          </w:p>
        </w:tc>
      </w:tr>
      <w:tr>
        <w:trPr>
          <w:trHeight w:val="237"/>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line="236"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2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r>
        <w:trPr>
          <w:trHeight w:val="230"/>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30"/>
        </w:trPr>
        <w:tc>
          <w:tcPr>
            <w:tcW w:w="468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(5)</w:t>
            </w:r>
          </w:p>
        </w:tc>
        <w:tc>
          <w:tcPr>
            <w:tcW w:w="1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168"/>
        </w:trPr>
        <w:tc>
          <w:tcPr>
            <w:tcW w:w="4680" w:type="dxa"/>
            <w:vAlign w:val="bottom"/>
            <w:shd w:val="clear" w:color="auto" w:fill="CCEEFF"/>
          </w:tcPr>
          <w:p>
            <w:pPr>
              <w:ind w:left="20"/>
              <w:spacing w:after="0" w:line="168" w:lineRule="exact"/>
              <w:rPr>
                <w:sz w:val="20"/>
                <w:szCs w:val="20"/>
                <w:color w:val="auto"/>
              </w:rPr>
            </w:pPr>
            <w:r>
              <w:rPr>
                <w:rFonts w:ascii="Arial" w:cs="Arial" w:eastAsia="Arial" w:hAnsi="Arial"/>
                <w:sz w:val="18"/>
                <w:szCs w:val="18"/>
                <w:color w:val="auto"/>
                <w:w w:val="90"/>
              </w:rPr>
              <w:t>Three months ended June 30, 2022 adjusted amounts (non-U.S.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227.0</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45.3</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center"/>
              <w:ind w:left="690"/>
              <w:spacing w:after="0"/>
              <w:rPr>
                <w:sz w:val="20"/>
                <w:szCs w:val="20"/>
                <w:color w:val="auto"/>
              </w:rPr>
            </w:pPr>
            <w:r>
              <w:rPr>
                <w:rFonts w:ascii="Arial" w:cs="Arial" w:eastAsia="Arial" w:hAnsi="Arial"/>
                <w:sz w:val="18"/>
                <w:szCs w:val="18"/>
                <w:color w:val="auto"/>
                <w:w w:val="91"/>
              </w:rPr>
              <w:t>2.47</w:t>
            </w:r>
          </w:p>
        </w:tc>
        <w:tc>
          <w:tcPr>
            <w:tcW w:w="0" w:type="dxa"/>
            <w:vAlign w:val="bottom"/>
          </w:tcPr>
          <w:p>
            <w:pPr>
              <w:spacing w:after="0"/>
              <w:rPr>
                <w:sz w:val="1"/>
                <w:szCs w:val="1"/>
                <w:color w:val="auto"/>
              </w:rPr>
            </w:pPr>
          </w:p>
        </w:tc>
      </w:tr>
      <w:tr>
        <w:trPr>
          <w:trHeight w:val="223"/>
        </w:trPr>
        <w:tc>
          <w:tcPr>
            <w:tcW w:w="4680" w:type="dxa"/>
            <w:vAlign w:val="bottom"/>
            <w:shd w:val="clear" w:color="auto" w:fill="CCEEFF"/>
          </w:tcPr>
          <w:p>
            <w:pPr>
              <w:ind w:left="20"/>
              <w:spacing w:after="0" w:line="203" w:lineRule="exact"/>
              <w:rPr>
                <w:sz w:val="20"/>
                <w:szCs w:val="20"/>
                <w:color w:val="auto"/>
              </w:rPr>
            </w:pPr>
            <w:r>
              <w:rPr>
                <w:rFonts w:ascii="Arial" w:cs="Arial" w:eastAsia="Arial" w:hAnsi="Arial"/>
                <w:sz w:val="18"/>
                <w:szCs w:val="18"/>
                <w:color w:val="auto"/>
              </w:rPr>
              <w:t>GAAP)</w:t>
            </w:r>
          </w:p>
        </w:tc>
        <w:tc>
          <w:tcPr>
            <w:tcW w:w="180" w:type="dxa"/>
            <w:vAlign w:val="bottom"/>
            <w:vMerge w:val="continue"/>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300" w:type="dxa"/>
            <w:vAlign w:val="bottom"/>
            <w:gridSpan w:val="2"/>
            <w:vMerge w:val="continue"/>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280" w:type="dxa"/>
            <w:vAlign w:val="bottom"/>
            <w:gridSpan w:val="2"/>
            <w:vMerge w:val="continue"/>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29" w:name="page30"/>
    <w:bookmarkEnd w:id="2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680" w:type="dxa"/>
            <w:vAlign w:val="bottom"/>
            <w:vMerge w:val="restart"/>
          </w:tcPr>
          <w:p>
            <w:pPr>
              <w:ind w:left="20"/>
              <w:spacing w:after="0"/>
              <w:rPr>
                <w:sz w:val="20"/>
                <w:szCs w:val="20"/>
                <w:color w:val="auto"/>
              </w:rPr>
            </w:pPr>
            <w:r>
              <w:rPr>
                <w:rFonts w:ascii="Arial" w:cs="Arial" w:eastAsia="Arial" w:hAnsi="Arial"/>
                <w:sz w:val="18"/>
                <w:szCs w:val="18"/>
                <w:color w:val="auto"/>
              </w:rPr>
              <w:t>($ in millions, except per share data)</w:t>
            </w:r>
          </w:p>
        </w:tc>
        <w:tc>
          <w:tcPr>
            <w:tcW w:w="180" w:type="dxa"/>
            <w:vAlign w:val="bottom"/>
          </w:tcPr>
          <w:p>
            <w:pPr>
              <w:spacing w:after="0"/>
              <w:rPr>
                <w:sz w:val="17"/>
                <w:szCs w:val="17"/>
                <w:color w:val="auto"/>
              </w:rPr>
            </w:pPr>
          </w:p>
        </w:tc>
        <w:tc>
          <w:tcPr>
            <w:tcW w:w="1500" w:type="dxa"/>
            <w:vAlign w:val="bottom"/>
            <w:vMerge w:val="restart"/>
          </w:tcPr>
          <w:p>
            <w:pPr>
              <w:jc w:val="right"/>
              <w:ind w:right="170"/>
              <w:spacing w:after="0"/>
              <w:rPr>
                <w:sz w:val="20"/>
                <w:szCs w:val="20"/>
                <w:color w:val="auto"/>
              </w:rPr>
            </w:pPr>
            <w:r>
              <w:rPr>
                <w:rFonts w:ascii="Arial" w:cs="Arial" w:eastAsia="Arial" w:hAnsi="Arial"/>
                <w:sz w:val="18"/>
                <w:szCs w:val="18"/>
                <w:color w:val="auto"/>
                <w:w w:val="96"/>
              </w:rPr>
              <w:t>Operating Profit</w:t>
            </w: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jc w:val="right"/>
              <w:ind w:right="230"/>
              <w:spacing w:after="0"/>
              <w:rPr>
                <w:sz w:val="20"/>
                <w:szCs w:val="20"/>
                <w:color w:val="auto"/>
              </w:rPr>
            </w:pPr>
            <w:r>
              <w:rPr>
                <w:rFonts w:ascii="Arial" w:cs="Arial" w:eastAsia="Arial" w:hAnsi="Arial"/>
                <w:sz w:val="18"/>
                <w:szCs w:val="18"/>
                <w:color w:val="auto"/>
              </w:rPr>
              <w:t>Income tax</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40" w:type="dxa"/>
            <w:vAlign w:val="bottom"/>
            <w:vMerge w:val="restart"/>
          </w:tcPr>
          <w:p>
            <w:pPr>
              <w:jc w:val="right"/>
              <w:ind w:right="230"/>
              <w:spacing w:after="0"/>
              <w:rPr>
                <w:sz w:val="20"/>
                <w:szCs w:val="20"/>
                <w:color w:val="auto"/>
              </w:rPr>
            </w:pPr>
            <w:r>
              <w:rPr>
                <w:rFonts w:ascii="Arial" w:cs="Arial" w:eastAsia="Arial" w:hAnsi="Arial"/>
                <w:sz w:val="18"/>
                <w:szCs w:val="18"/>
                <w:color w:val="auto"/>
                <w:w w:val="98"/>
              </w:rPr>
              <w:t>Net income</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vMerge w:val="restart"/>
          </w:tcPr>
          <w:p>
            <w:pPr>
              <w:ind w:left="80"/>
              <w:spacing w:after="0"/>
              <w:rPr>
                <w:sz w:val="20"/>
                <w:szCs w:val="20"/>
                <w:color w:val="auto"/>
              </w:rPr>
            </w:pPr>
            <w:r>
              <w:rPr>
                <w:rFonts w:ascii="Arial" w:cs="Arial" w:eastAsia="Arial" w:hAnsi="Arial"/>
                <w:sz w:val="18"/>
                <w:szCs w:val="18"/>
                <w:color w:val="auto"/>
              </w:rPr>
              <w:t>Diluted EPS</w:t>
            </w:r>
          </w:p>
        </w:tc>
        <w:tc>
          <w:tcPr>
            <w:tcW w:w="0" w:type="dxa"/>
            <w:vAlign w:val="bottom"/>
          </w:tcPr>
          <w:p>
            <w:pPr>
              <w:spacing w:after="0"/>
              <w:rPr>
                <w:sz w:val="1"/>
                <w:szCs w:val="1"/>
                <w:color w:val="auto"/>
              </w:rPr>
            </w:pPr>
          </w:p>
        </w:tc>
      </w:tr>
      <w:tr>
        <w:trPr>
          <w:trHeight w:val="237"/>
        </w:trPr>
        <w:tc>
          <w:tcPr>
            <w:tcW w:w="4680" w:type="dxa"/>
            <w:vAlign w:val="bottom"/>
            <w:tcBorders>
              <w:bottom w:val="single" w:sz="8" w:color="auto"/>
            </w:tcBorders>
            <w:vMerge w:val="continue"/>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expense</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Six months ended June 30, 2022 GAAP</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418.1</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362.3</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4.77</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rPr>
                <w:sz w:val="20"/>
                <w:szCs w:val="20"/>
                <w:color w:val="auto"/>
              </w:rPr>
            </w:pPr>
            <w:r>
              <w:rPr>
                <w:rFonts w:ascii="Arial" w:cs="Arial" w:eastAsia="Arial" w:hAnsi="Arial"/>
                <w:sz w:val="18"/>
                <w:szCs w:val="18"/>
                <w:color w:val="auto"/>
              </w:rPr>
              <w:t>Unallocated items:</w:t>
            </w:r>
          </w:p>
        </w:tc>
        <w:tc>
          <w:tcPr>
            <w:tcW w:w="18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680" w:type="dxa"/>
            <w:vAlign w:val="bottom"/>
            <w:shd w:val="clear" w:color="auto" w:fill="CCEEFF"/>
          </w:tcPr>
          <w:p>
            <w:pPr>
              <w:ind w:left="20"/>
              <w:spacing w:after="0" w:line="243" w:lineRule="exact"/>
              <w:rPr>
                <w:sz w:val="20"/>
                <w:szCs w:val="20"/>
                <w:color w:val="auto"/>
              </w:rPr>
            </w:pPr>
            <w:r>
              <w:rPr>
                <w:rFonts w:ascii="Arial" w:cs="Arial" w:eastAsia="Arial" w:hAnsi="Arial"/>
                <w:sz w:val="18"/>
                <w:szCs w:val="18"/>
                <w:color w:val="auto"/>
              </w:rPr>
              <w:t xml:space="preserve">Restructuring and other charges </w:t>
            </w:r>
            <w:r>
              <w:rPr>
                <w:rFonts w:ascii="Arial" w:cs="Arial" w:eastAsia="Arial" w:hAnsi="Arial"/>
                <w:sz w:val="23"/>
                <w:szCs w:val="23"/>
                <w:color w:val="auto"/>
                <w:vertAlign w:val="superscript"/>
              </w:rPr>
              <w:t>(2)</w:t>
            </w:r>
          </w:p>
        </w:tc>
        <w:tc>
          <w:tcPr>
            <w:tcW w:w="180" w:type="dxa"/>
            <w:vAlign w:val="bottom"/>
            <w:shd w:val="clear" w:color="auto" w:fill="CCEEFF"/>
          </w:tcPr>
          <w:p>
            <w:pPr>
              <w:spacing w:after="0"/>
              <w:rPr>
                <w:sz w:val="21"/>
                <w:szCs w:val="21"/>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8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8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260" w:type="dxa"/>
            <w:vAlign w:val="bottom"/>
            <w:shd w:val="clear" w:color="auto" w:fill="CCEEFF"/>
          </w:tcPr>
          <w:p>
            <w:pPr>
              <w:jc w:val="center"/>
              <w:ind w:left="650"/>
              <w:spacing w:after="0"/>
              <w:rPr>
                <w:sz w:val="20"/>
                <w:szCs w:val="20"/>
                <w:color w:val="auto"/>
              </w:rPr>
            </w:pPr>
            <w:r>
              <w:rPr>
                <w:rFonts w:ascii="Arial" w:cs="Arial" w:eastAsia="Arial" w:hAnsi="Arial"/>
                <w:sz w:val="18"/>
                <w:szCs w:val="18"/>
                <w:color w:val="auto"/>
                <w:w w:val="93"/>
              </w:rPr>
              <w:t>(0.01)</w:t>
            </w:r>
          </w:p>
        </w:tc>
        <w:tc>
          <w:tcPr>
            <w:tcW w:w="0" w:type="dxa"/>
            <w:vAlign w:val="bottom"/>
          </w:tcPr>
          <w:p>
            <w:pPr>
              <w:spacing w:after="0"/>
              <w:rPr>
                <w:sz w:val="1"/>
                <w:szCs w:val="1"/>
                <w:color w:val="auto"/>
              </w:rPr>
            </w:pPr>
          </w:p>
        </w:tc>
      </w:tr>
      <w:tr>
        <w:trPr>
          <w:trHeight w:val="229"/>
        </w:trPr>
        <w:tc>
          <w:tcPr>
            <w:tcW w:w="4680" w:type="dxa"/>
            <w:vAlign w:val="bottom"/>
          </w:tcPr>
          <w:p>
            <w:pPr>
              <w:ind w:left="20"/>
              <w:spacing w:after="0" w:line="230" w:lineRule="exact"/>
              <w:rPr>
                <w:sz w:val="20"/>
                <w:szCs w:val="20"/>
                <w:color w:val="auto"/>
              </w:rPr>
            </w:pPr>
            <w:r>
              <w:rPr>
                <w:rFonts w:ascii="Arial" w:cs="Arial" w:eastAsia="Arial" w:hAnsi="Arial"/>
                <w:sz w:val="18"/>
                <w:szCs w:val="18"/>
                <w:color w:val="auto"/>
              </w:rPr>
              <w:t xml:space="preserve">Amortization of acquisition-related intangible assets </w:t>
            </w:r>
            <w:r>
              <w:rPr>
                <w:rFonts w:ascii="Arial" w:cs="Arial" w:eastAsia="Arial" w:hAnsi="Arial"/>
                <w:sz w:val="23"/>
                <w:szCs w:val="23"/>
                <w:color w:val="auto"/>
                <w:vertAlign w:val="superscript"/>
              </w:rPr>
              <w:t>(3)</w:t>
            </w:r>
          </w:p>
        </w:tc>
        <w:tc>
          <w:tcPr>
            <w:tcW w:w="1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0.4</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60" w:type="dxa"/>
            <w:vAlign w:val="bottom"/>
          </w:tcPr>
          <w:p>
            <w:pPr>
              <w:jc w:val="center"/>
              <w:ind w:left="690"/>
              <w:spacing w:after="0"/>
              <w:rPr>
                <w:sz w:val="20"/>
                <w:szCs w:val="20"/>
                <w:color w:val="auto"/>
              </w:rPr>
            </w:pPr>
            <w:r>
              <w:rPr>
                <w:rFonts w:ascii="Arial" w:cs="Arial" w:eastAsia="Arial" w:hAnsi="Arial"/>
                <w:sz w:val="18"/>
                <w:szCs w:val="18"/>
                <w:color w:val="auto"/>
                <w:w w:val="91"/>
              </w:rPr>
              <w:t>0.02</w:t>
            </w:r>
          </w:p>
        </w:tc>
        <w:tc>
          <w:tcPr>
            <w:tcW w:w="0" w:type="dxa"/>
            <w:vAlign w:val="bottom"/>
          </w:tcPr>
          <w:p>
            <w:pPr>
              <w:spacing w:after="0"/>
              <w:rPr>
                <w:sz w:val="1"/>
                <w:szCs w:val="1"/>
                <w:color w:val="auto"/>
              </w:rPr>
            </w:pPr>
          </w:p>
        </w:tc>
      </w:tr>
      <w:tr>
        <w:trPr>
          <w:trHeight w:val="230"/>
        </w:trPr>
        <w:tc>
          <w:tcPr>
            <w:tcW w:w="46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Pension settlement </w:t>
            </w:r>
            <w:r>
              <w:rPr>
                <w:rFonts w:ascii="Arial" w:cs="Arial" w:eastAsia="Arial" w:hAnsi="Arial"/>
                <w:sz w:val="23"/>
                <w:szCs w:val="23"/>
                <w:color w:val="auto"/>
                <w:vertAlign w:val="superscript"/>
              </w:rPr>
              <w:t>(4)</w:t>
            </w:r>
          </w:p>
        </w:tc>
        <w:tc>
          <w:tcPr>
            <w:tcW w:w="1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60" w:type="dxa"/>
            <w:vAlign w:val="bottom"/>
            <w:shd w:val="clear" w:color="auto" w:fill="CCEEFF"/>
          </w:tcPr>
          <w:p>
            <w:pPr>
              <w:jc w:val="center"/>
              <w:ind w:left="690"/>
              <w:spacing w:after="0"/>
              <w:rPr>
                <w:sz w:val="20"/>
                <w:szCs w:val="20"/>
                <w:color w:val="auto"/>
              </w:rPr>
            </w:pPr>
            <w:r>
              <w:rPr>
                <w:rFonts w:ascii="Arial" w:cs="Arial" w:eastAsia="Arial" w:hAnsi="Arial"/>
                <w:sz w:val="18"/>
                <w:szCs w:val="18"/>
                <w:color w:val="auto"/>
                <w:w w:val="91"/>
              </w:rPr>
              <w:t>0.01</w:t>
            </w:r>
          </w:p>
        </w:tc>
        <w:tc>
          <w:tcPr>
            <w:tcW w:w="0" w:type="dxa"/>
            <w:vAlign w:val="bottom"/>
          </w:tcPr>
          <w:p>
            <w:pPr>
              <w:spacing w:after="0"/>
              <w:rPr>
                <w:sz w:val="1"/>
                <w:szCs w:val="1"/>
                <w:color w:val="auto"/>
              </w:rPr>
            </w:pPr>
          </w:p>
        </w:tc>
      </w:tr>
      <w:tr>
        <w:trPr>
          <w:trHeight w:val="243"/>
        </w:trPr>
        <w:tc>
          <w:tcPr>
            <w:tcW w:w="4680" w:type="dxa"/>
            <w:vAlign w:val="bottom"/>
            <w:tcBorders>
              <w:bottom w:val="single" w:sz="8" w:color="CCEEFF"/>
            </w:tcBorders>
          </w:tcPr>
          <w:p>
            <w:pPr>
              <w:ind w:left="20"/>
              <w:spacing w:after="0" w:line="243" w:lineRule="exact"/>
              <w:rPr>
                <w:sz w:val="20"/>
                <w:szCs w:val="20"/>
                <w:color w:val="auto"/>
              </w:rPr>
            </w:pPr>
            <w:r>
              <w:rPr>
                <w:rFonts w:ascii="Arial" w:cs="Arial" w:eastAsia="Arial" w:hAnsi="Arial"/>
                <w:sz w:val="18"/>
                <w:szCs w:val="18"/>
                <w:color w:val="auto"/>
              </w:rPr>
              <w:t xml:space="preserve">Royalty acceleration </w:t>
            </w:r>
            <w:r>
              <w:rPr>
                <w:rFonts w:ascii="Arial" w:cs="Arial" w:eastAsia="Arial" w:hAnsi="Arial"/>
                <w:sz w:val="23"/>
                <w:szCs w:val="23"/>
                <w:color w:val="auto"/>
                <w:vertAlign w:val="superscript"/>
              </w:rPr>
              <w:t>(5)</w:t>
            </w:r>
          </w:p>
        </w:tc>
        <w:tc>
          <w:tcPr>
            <w:tcW w:w="180" w:type="dxa"/>
            <w:vAlign w:val="bottom"/>
            <w:tcBorders>
              <w:bottom w:val="single" w:sz="8" w:color="auto"/>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w:t>
            </w:r>
          </w:p>
        </w:tc>
        <w:tc>
          <w:tcPr>
            <w:tcW w:w="8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center"/>
              <w:ind w:left="650"/>
              <w:spacing w:after="0"/>
              <w:rPr>
                <w:sz w:val="20"/>
                <w:szCs w:val="20"/>
                <w:color w:val="auto"/>
              </w:rPr>
            </w:pPr>
            <w:r>
              <w:rPr>
                <w:rFonts w:ascii="Arial" w:cs="Arial" w:eastAsia="Arial" w:hAnsi="Arial"/>
                <w:sz w:val="18"/>
                <w:szCs w:val="18"/>
                <w:color w:val="auto"/>
                <w:w w:val="93"/>
              </w:rPr>
              <w:t>(0.02)</w:t>
            </w:r>
          </w:p>
        </w:tc>
        <w:tc>
          <w:tcPr>
            <w:tcW w:w="0" w:type="dxa"/>
            <w:vAlign w:val="bottom"/>
          </w:tcPr>
          <w:p>
            <w:pPr>
              <w:spacing w:after="0"/>
              <w:rPr>
                <w:sz w:val="1"/>
                <w:szCs w:val="1"/>
                <w:color w:val="auto"/>
              </w:rPr>
            </w:pPr>
          </w:p>
        </w:tc>
      </w:tr>
      <w:tr>
        <w:trPr>
          <w:trHeight w:val="156"/>
        </w:trPr>
        <w:tc>
          <w:tcPr>
            <w:tcW w:w="468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w w:val="94"/>
              </w:rPr>
              <w:t>Six months ended June 30, 2022 adjusted amounts (non-U.S.</w:t>
            </w: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416.9</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66.6</w:t>
            </w:r>
          </w:p>
        </w:tc>
        <w:tc>
          <w:tcPr>
            <w:tcW w:w="300" w:type="dxa"/>
            <w:vAlign w:val="bottom"/>
            <w:gridSpan w:val="2"/>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362.1</w:t>
            </w:r>
          </w:p>
        </w:tc>
        <w:tc>
          <w:tcPr>
            <w:tcW w:w="28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vMerge w:val="restart"/>
            <w:shd w:val="clear" w:color="auto" w:fill="CCEEFF"/>
          </w:tcPr>
          <w:p>
            <w:pPr>
              <w:jc w:val="center"/>
              <w:ind w:left="690"/>
              <w:spacing w:after="0"/>
              <w:rPr>
                <w:sz w:val="20"/>
                <w:szCs w:val="20"/>
                <w:color w:val="auto"/>
              </w:rPr>
            </w:pPr>
            <w:r>
              <w:rPr>
                <w:rFonts w:ascii="Arial" w:cs="Arial" w:eastAsia="Arial" w:hAnsi="Arial"/>
                <w:sz w:val="18"/>
                <w:szCs w:val="18"/>
                <w:color w:val="auto"/>
                <w:w w:val="91"/>
              </w:rPr>
              <w:t>4.77</w:t>
            </w:r>
          </w:p>
        </w:tc>
        <w:tc>
          <w:tcPr>
            <w:tcW w:w="0" w:type="dxa"/>
            <w:vAlign w:val="bottom"/>
          </w:tcPr>
          <w:p>
            <w:pPr>
              <w:spacing w:after="0"/>
              <w:rPr>
                <w:sz w:val="1"/>
                <w:szCs w:val="1"/>
                <w:color w:val="auto"/>
              </w:rPr>
            </w:pPr>
          </w:p>
        </w:tc>
      </w:tr>
      <w:tr>
        <w:trPr>
          <w:trHeight w:val="236"/>
        </w:trPr>
        <w:tc>
          <w:tcPr>
            <w:tcW w:w="4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180" w:type="dxa"/>
            <w:vAlign w:val="bottom"/>
            <w:vMerge w:val="continue"/>
            <w:shd w:val="clear" w:color="auto" w:fill="CCEEFF"/>
          </w:tcPr>
          <w:p>
            <w:pPr>
              <w:spacing w:after="0"/>
              <w:rPr>
                <w:sz w:val="20"/>
                <w:szCs w:val="20"/>
                <w:color w:val="auto"/>
              </w:rPr>
            </w:pPr>
          </w:p>
        </w:tc>
        <w:tc>
          <w:tcPr>
            <w:tcW w:w="150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300" w:type="dxa"/>
            <w:vAlign w:val="bottom"/>
            <w:gridSpan w:val="2"/>
            <w:vMerge w:val="continue"/>
            <w:shd w:val="clear" w:color="auto" w:fill="CCEEFF"/>
          </w:tcPr>
          <w:p>
            <w:pPr>
              <w:spacing w:after="0"/>
              <w:rPr>
                <w:sz w:val="20"/>
                <w:szCs w:val="20"/>
                <w:color w:val="auto"/>
              </w:rPr>
            </w:pPr>
          </w:p>
        </w:tc>
        <w:tc>
          <w:tcPr>
            <w:tcW w:w="1240" w:type="dxa"/>
            <w:vAlign w:val="bottom"/>
            <w:vMerge w:val="continue"/>
            <w:shd w:val="clear" w:color="auto" w:fill="CCEEFF"/>
          </w:tcPr>
          <w:p>
            <w:pPr>
              <w:spacing w:after="0"/>
              <w:rPr>
                <w:sz w:val="20"/>
                <w:szCs w:val="20"/>
                <w:color w:val="auto"/>
              </w:rPr>
            </w:pPr>
          </w:p>
        </w:tc>
        <w:tc>
          <w:tcPr>
            <w:tcW w:w="280" w:type="dxa"/>
            <w:vAlign w:val="bottom"/>
            <w:gridSpan w:val="2"/>
            <w:vMerge w:val="continue"/>
            <w:shd w:val="clear" w:color="auto" w:fill="CCEEFF"/>
          </w:tcPr>
          <w:p>
            <w:pPr>
              <w:spacing w:after="0"/>
              <w:rPr>
                <w:sz w:val="20"/>
                <w:szCs w:val="20"/>
                <w:color w:val="auto"/>
              </w:rPr>
            </w:pPr>
          </w:p>
        </w:tc>
        <w:tc>
          <w:tcPr>
            <w:tcW w:w="126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6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 xml:space="preserve">During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2022, we recorded a tax benefit of $1.3 million and $10.2 million, respectively, associated with stock-based compensation.</w:t>
      </w:r>
    </w:p>
    <w:p>
      <w:pPr>
        <w:spacing w:after="0" w:line="197" w:lineRule="exact"/>
        <w:rPr>
          <w:sz w:val="20"/>
          <w:szCs w:val="20"/>
          <w:color w:val="auto"/>
        </w:rPr>
      </w:pPr>
    </w:p>
    <w:p>
      <w:pPr>
        <w:ind w:left="660" w:right="20" w:hanging="328"/>
        <w:spacing w:after="0" w:line="263" w:lineRule="auto"/>
        <w:tabs>
          <w:tab w:leader="none" w:pos="660" w:val="left"/>
        </w:tabs>
        <w:numPr>
          <w:ilvl w:val="0"/>
          <w:numId w:val="6"/>
        </w:numPr>
        <w:rPr>
          <w:rFonts w:ascii="Arial" w:cs="Arial" w:eastAsia="Arial" w:hAnsi="Arial"/>
          <w:sz w:val="18"/>
          <w:szCs w:val="18"/>
          <w:color w:val="252525"/>
        </w:rPr>
      </w:pPr>
      <w:r>
        <w:rPr>
          <w:rFonts w:ascii="Arial" w:cs="Arial" w:eastAsia="Arial" w:hAnsi="Arial"/>
          <w:sz w:val="18"/>
          <w:szCs w:val="18"/>
          <w:color w:val="auto"/>
        </w:rPr>
        <w:t>During the three and six months ended June 30, 2023, the Company recorded expense of $2.2 million and $11.6 million, respectively, within other expense (income), as a result of the sale of one of the Company’s manufacturing facilities within the Proprietary Products segment. The transaction closed during the second quarter of 2023.</w:t>
      </w:r>
    </w:p>
    <w:p>
      <w:pPr>
        <w:spacing w:after="0" w:line="210" w:lineRule="exact"/>
        <w:rPr>
          <w:rFonts w:ascii="Arial" w:cs="Arial" w:eastAsia="Arial" w:hAnsi="Arial"/>
          <w:sz w:val="18"/>
          <w:szCs w:val="18"/>
          <w:color w:val="252525"/>
        </w:rPr>
      </w:pPr>
    </w:p>
    <w:p>
      <w:pPr>
        <w:ind w:left="660" w:right="140" w:hanging="328"/>
        <w:spacing w:after="0" w:line="257" w:lineRule="auto"/>
        <w:tabs>
          <w:tab w:leader="none" w:pos="660"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Restructuring and other charges of </w:t>
      </w:r>
      <w:r>
        <w:rPr>
          <w:rFonts w:ascii="Arial" w:cs="Arial" w:eastAsia="Arial" w:hAnsi="Arial"/>
          <w:sz w:val="18"/>
          <w:szCs w:val="18"/>
          <w:color w:val="000000"/>
        </w:rPr>
        <w:t>$0.1 million</w:t>
      </w:r>
      <w:r>
        <w:rPr>
          <w:rFonts w:ascii="Arial" w:cs="Arial" w:eastAsia="Arial" w:hAnsi="Arial"/>
          <w:sz w:val="18"/>
          <w:szCs w:val="18"/>
          <w:color w:val="252525"/>
        </w:rPr>
        <w:t xml:space="preserve"> for both the </w:t>
      </w:r>
      <w:r>
        <w:rPr>
          <w:rFonts w:ascii="Arial" w:cs="Arial" w:eastAsia="Arial" w:hAnsi="Arial"/>
          <w:sz w:val="18"/>
          <w:szCs w:val="18"/>
          <w:color w:val="000000"/>
        </w:rPr>
        <w:t>three and six months ended June 30, 2023 represents the net impact of an</w:t>
      </w:r>
      <w:r>
        <w:rPr>
          <w:rFonts w:ascii="Arial" w:cs="Arial" w:eastAsia="Arial" w:hAnsi="Arial"/>
          <w:sz w:val="18"/>
          <w:szCs w:val="18"/>
          <w:color w:val="252525"/>
        </w:rPr>
        <w:t xml:space="preserve"> inventory write down of </w:t>
      </w:r>
      <w:r>
        <w:rPr>
          <w:rFonts w:ascii="Arial" w:cs="Arial" w:eastAsia="Arial" w:hAnsi="Arial"/>
          <w:sz w:val="18"/>
          <w:szCs w:val="18"/>
          <w:color w:val="000000"/>
        </w:rPr>
        <w:t>$0.9 million within cost of goods and services sold and a $0.8 million</w:t>
      </w:r>
      <w:r>
        <w:rPr>
          <w:rFonts w:ascii="Arial" w:cs="Arial" w:eastAsia="Arial" w:hAnsi="Arial"/>
          <w:sz w:val="18"/>
          <w:szCs w:val="18"/>
          <w:color w:val="252525"/>
        </w:rPr>
        <w:t xml:space="preserve"> benefit </w:t>
      </w:r>
      <w:r>
        <w:rPr>
          <w:rFonts w:ascii="Arial" w:cs="Arial" w:eastAsia="Arial" w:hAnsi="Arial"/>
          <w:sz w:val="18"/>
          <w:szCs w:val="18"/>
          <w:color w:val="000000"/>
        </w:rPr>
        <w:t>within other expense (income)</w:t>
      </w:r>
      <w:r>
        <w:rPr>
          <w:rFonts w:ascii="Arial" w:cs="Arial" w:eastAsia="Arial" w:hAnsi="Arial"/>
          <w:sz w:val="18"/>
          <w:szCs w:val="18"/>
          <w:color w:val="252525"/>
        </w:rPr>
        <w:t xml:space="preserve"> for revised severance estimates in connection with its 2022 restructuring plan. During the </w:t>
      </w:r>
      <w:r>
        <w:rPr>
          <w:rFonts w:ascii="Arial" w:cs="Arial" w:eastAsia="Arial" w:hAnsi="Arial"/>
          <w:sz w:val="18"/>
          <w:szCs w:val="18"/>
          <w:color w:val="000000"/>
        </w:rPr>
        <w:t>three and six months ended June 30, 2022, the Company recorded a benefit</w:t>
      </w:r>
      <w:r>
        <w:rPr>
          <w:rFonts w:ascii="Arial" w:cs="Arial" w:eastAsia="Arial" w:hAnsi="Arial"/>
          <w:sz w:val="18"/>
          <w:szCs w:val="18"/>
          <w:color w:val="252525"/>
        </w:rPr>
        <w:t xml:space="preserve"> </w:t>
      </w:r>
      <w:r>
        <w:rPr>
          <w:rFonts w:ascii="Arial" w:cs="Arial" w:eastAsia="Arial" w:hAnsi="Arial"/>
          <w:sz w:val="18"/>
          <w:szCs w:val="18"/>
          <w:color w:val="000000"/>
        </w:rPr>
        <w:t xml:space="preserve">within other expense (income) of $1.6 million for restructuring and severance related costs </w:t>
      </w:r>
      <w:r>
        <w:rPr>
          <w:rFonts w:ascii="Arial" w:cs="Arial" w:eastAsia="Arial" w:hAnsi="Arial"/>
          <w:sz w:val="18"/>
          <w:szCs w:val="18"/>
          <w:color w:val="252525"/>
        </w:rPr>
        <w:t>in connection with its 2020 plan related to revised</w:t>
      </w:r>
      <w:r>
        <w:rPr>
          <w:rFonts w:ascii="Arial" w:cs="Arial" w:eastAsia="Arial" w:hAnsi="Arial"/>
          <w:sz w:val="18"/>
          <w:szCs w:val="18"/>
          <w:color w:val="000000"/>
        </w:rPr>
        <w:t xml:space="preserve"> </w:t>
      </w:r>
      <w:r>
        <w:rPr>
          <w:rFonts w:ascii="Arial" w:cs="Arial" w:eastAsia="Arial" w:hAnsi="Arial"/>
          <w:sz w:val="18"/>
          <w:szCs w:val="18"/>
          <w:color w:val="252525"/>
        </w:rPr>
        <w:t>severance estimates.</w:t>
      </w:r>
    </w:p>
    <w:p>
      <w:pPr>
        <w:spacing w:after="0" w:line="214" w:lineRule="exact"/>
        <w:rPr>
          <w:rFonts w:ascii="Arial" w:cs="Arial" w:eastAsia="Arial" w:hAnsi="Arial"/>
          <w:sz w:val="18"/>
          <w:szCs w:val="18"/>
          <w:color w:val="252525"/>
        </w:rPr>
      </w:pPr>
    </w:p>
    <w:p>
      <w:pPr>
        <w:ind w:left="660" w:hanging="328"/>
        <w:spacing w:after="0" w:line="259" w:lineRule="auto"/>
        <w:tabs>
          <w:tab w:leader="none" w:pos="660"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During the three and six months ended </w:t>
      </w:r>
      <w:r>
        <w:rPr>
          <w:rFonts w:ascii="Arial" w:cs="Arial" w:eastAsia="Arial" w:hAnsi="Arial"/>
          <w:sz w:val="18"/>
          <w:szCs w:val="18"/>
          <w:color w:val="000000"/>
        </w:rPr>
        <w:t>June 30, 2023 and</w:t>
      </w:r>
      <w:r>
        <w:rPr>
          <w:rFonts w:ascii="Arial" w:cs="Arial" w:eastAsia="Arial" w:hAnsi="Arial"/>
          <w:sz w:val="18"/>
          <w:szCs w:val="18"/>
          <w:color w:val="252525"/>
        </w:rPr>
        <w:t xml:space="preserve"> 2022, the Company recorded </w:t>
      </w:r>
      <w:r>
        <w:rPr>
          <w:rFonts w:ascii="Arial" w:cs="Arial" w:eastAsia="Arial" w:hAnsi="Arial"/>
          <w:sz w:val="18"/>
          <w:szCs w:val="18"/>
          <w:color w:val="000000"/>
        </w:rPr>
        <w:t>$0.2 million</w:t>
      </w:r>
      <w:r>
        <w:rPr>
          <w:rFonts w:ascii="Arial" w:cs="Arial" w:eastAsia="Arial" w:hAnsi="Arial"/>
          <w:sz w:val="18"/>
          <w:szCs w:val="18"/>
          <w:color w:val="252525"/>
        </w:rPr>
        <w:t xml:space="preserve"> and </w:t>
      </w:r>
      <w:r>
        <w:rPr>
          <w:rFonts w:ascii="Arial" w:cs="Arial" w:eastAsia="Arial" w:hAnsi="Arial"/>
          <w:sz w:val="18"/>
          <w:szCs w:val="18"/>
          <w:color w:val="000000"/>
        </w:rPr>
        <w:t>$0.4 million</w:t>
      </w:r>
      <w:r>
        <w:rPr>
          <w:rFonts w:ascii="Arial" w:cs="Arial" w:eastAsia="Arial" w:hAnsi="Arial"/>
          <w:sz w:val="18"/>
          <w:szCs w:val="18"/>
          <w:color w:val="252525"/>
        </w:rPr>
        <w:t xml:space="preserve">, respectively, of amortization expense within operating profit associated with an intangible asset acquired during the second quarter of </w:t>
      </w:r>
      <w:r>
        <w:rPr>
          <w:rFonts w:ascii="Arial" w:cs="Arial" w:eastAsia="Arial" w:hAnsi="Arial"/>
          <w:sz w:val="18"/>
          <w:szCs w:val="18"/>
          <w:color w:val="000000"/>
        </w:rPr>
        <w:t>2020. During the three and six months</w:t>
      </w:r>
      <w:r>
        <w:rPr>
          <w:rFonts w:ascii="Arial" w:cs="Arial" w:eastAsia="Arial" w:hAnsi="Arial"/>
          <w:sz w:val="18"/>
          <w:szCs w:val="18"/>
          <w:color w:val="252525"/>
        </w:rPr>
        <w:t xml:space="preserve"> </w:t>
      </w:r>
      <w:r>
        <w:rPr>
          <w:rFonts w:ascii="Arial" w:cs="Arial" w:eastAsia="Arial" w:hAnsi="Arial"/>
          <w:sz w:val="18"/>
          <w:szCs w:val="18"/>
          <w:color w:val="000000"/>
        </w:rPr>
        <w:t xml:space="preserve">ended June 30, 2023 and </w:t>
      </w:r>
      <w:r>
        <w:rPr>
          <w:rFonts w:ascii="Arial" w:cs="Arial" w:eastAsia="Arial" w:hAnsi="Arial"/>
          <w:sz w:val="18"/>
          <w:szCs w:val="18"/>
          <w:color w:val="252525"/>
        </w:rPr>
        <w:t>2022</w:t>
      </w:r>
      <w:r>
        <w:rPr>
          <w:rFonts w:ascii="Arial" w:cs="Arial" w:eastAsia="Arial" w:hAnsi="Arial"/>
          <w:sz w:val="18"/>
          <w:szCs w:val="18"/>
          <w:color w:val="000000"/>
        </w:rPr>
        <w:t xml:space="preserve">, the Company recorded $0.5 million and $1.0 million, respectively, of amortization expense </w:t>
      </w:r>
      <w:r>
        <w:rPr>
          <w:rFonts w:ascii="Arial" w:cs="Arial" w:eastAsia="Arial" w:hAnsi="Arial"/>
          <w:sz w:val="18"/>
          <w:szCs w:val="18"/>
          <w:color w:val="252525"/>
        </w:rPr>
        <w:t>in association with an</w:t>
      </w:r>
      <w:r>
        <w:rPr>
          <w:rFonts w:ascii="Arial" w:cs="Arial" w:eastAsia="Arial" w:hAnsi="Arial"/>
          <w:sz w:val="18"/>
          <w:szCs w:val="18"/>
          <w:color w:val="000000"/>
        </w:rPr>
        <w:t xml:space="preserve"> </w:t>
      </w:r>
      <w:r>
        <w:rPr>
          <w:rFonts w:ascii="Arial" w:cs="Arial" w:eastAsia="Arial" w:hAnsi="Arial"/>
          <w:sz w:val="18"/>
          <w:szCs w:val="18"/>
          <w:color w:val="252525"/>
        </w:rPr>
        <w:t>acquisition of increased ownership interest in Daikyo.</w:t>
      </w:r>
    </w:p>
    <w:p>
      <w:pPr>
        <w:spacing w:after="0" w:line="213" w:lineRule="exact"/>
        <w:rPr>
          <w:rFonts w:ascii="Arial" w:cs="Arial" w:eastAsia="Arial" w:hAnsi="Arial"/>
          <w:sz w:val="18"/>
          <w:szCs w:val="18"/>
          <w:color w:val="252525"/>
        </w:rPr>
      </w:pPr>
    </w:p>
    <w:p>
      <w:pPr>
        <w:ind w:left="660" w:right="180" w:hanging="328"/>
        <w:spacing w:after="0" w:line="277" w:lineRule="auto"/>
        <w:tabs>
          <w:tab w:leader="none" w:pos="660"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The Company recorded a pension settlement charge within other nonoperating (income) expense, as it determined that normal-course lump-sum payments for our U.S. qualified defined benefit pension plan exceeded the threshold for settlement accounting.</w:t>
      </w:r>
    </w:p>
    <w:p>
      <w:pPr>
        <w:spacing w:after="0" w:line="197" w:lineRule="exact"/>
        <w:rPr>
          <w:rFonts w:ascii="Arial" w:cs="Arial" w:eastAsia="Arial" w:hAnsi="Arial"/>
          <w:sz w:val="18"/>
          <w:szCs w:val="18"/>
          <w:color w:val="252525"/>
        </w:rPr>
      </w:pPr>
    </w:p>
    <w:p>
      <w:pPr>
        <w:ind w:left="660" w:right="20" w:hanging="328"/>
        <w:spacing w:after="0" w:line="277" w:lineRule="auto"/>
        <w:tabs>
          <w:tab w:leader="none" w:pos="660" w:val="left"/>
        </w:tabs>
        <w:numPr>
          <w:ilvl w:val="0"/>
          <w:numId w:val="6"/>
        </w:numPr>
        <w:rPr>
          <w:rFonts w:ascii="Arial" w:cs="Arial" w:eastAsia="Arial" w:hAnsi="Arial"/>
          <w:sz w:val="18"/>
          <w:szCs w:val="18"/>
          <w:color w:val="252525"/>
        </w:rPr>
      </w:pPr>
      <w:r>
        <w:rPr>
          <w:rFonts w:ascii="Arial" w:cs="Arial" w:eastAsia="Arial" w:hAnsi="Arial"/>
          <w:sz w:val="18"/>
          <w:szCs w:val="18"/>
          <w:color w:val="252525"/>
        </w:rPr>
        <w:t xml:space="preserve">During the three and six months ended </w:t>
      </w:r>
      <w:r>
        <w:rPr>
          <w:rFonts w:ascii="Arial" w:cs="Arial" w:eastAsia="Arial" w:hAnsi="Arial"/>
          <w:sz w:val="18"/>
          <w:szCs w:val="18"/>
          <w:color w:val="000000"/>
        </w:rPr>
        <w:t>June 30, 2022</w:t>
      </w:r>
      <w:r>
        <w:rPr>
          <w:rFonts w:ascii="Arial" w:cs="Arial" w:eastAsia="Arial" w:hAnsi="Arial"/>
          <w:sz w:val="18"/>
          <w:szCs w:val="18"/>
          <w:color w:val="252525"/>
        </w:rPr>
        <w:t>, the Company increased its expected tax benefit related to the prepayment of future royalties from one of its subsidiaries by $1.3 million.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We evaluate the performance of our segments based upon, among other things, segment net sales and operating profit. Segment operating profit excludes general corporate costs, which include executive and director compensation, stock-based compensation, certain pension and other retirement benefit costs, and other corporate facilities and administrative expenses not allocated to the segments. Also excluded are items that we consider not representative of ongoing operations. Such items are referred to as other unallocated items for which further information can be found above in the reconciliation from U.S. GAAP to non-U.S. GAAP financial measures.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Percentages in the following tables and throughout the </w:t>
      </w:r>
      <w:r>
        <w:rPr>
          <w:rFonts w:ascii="Arial" w:cs="Arial" w:eastAsia="Arial" w:hAnsi="Arial"/>
          <w:sz w:val="18"/>
          <w:szCs w:val="18"/>
          <w:i w:val="1"/>
          <w:iCs w:val="1"/>
          <w:color w:val="auto"/>
        </w:rPr>
        <w:t>Results of Operations</w:t>
      </w:r>
      <w:r>
        <w:rPr>
          <w:rFonts w:ascii="Arial" w:cs="Arial" w:eastAsia="Arial" w:hAnsi="Arial"/>
          <w:sz w:val="18"/>
          <w:szCs w:val="18"/>
          <w:color w:val="auto"/>
        </w:rPr>
        <w:t xml:space="preserve"> section may reflect rounding adjustments.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30" w:name="page31"/>
    <w:bookmarkEnd w:id="3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80" w:type="dxa"/>
            <w:vAlign w:val="bottom"/>
          </w:tcPr>
          <w:p>
            <w:pPr>
              <w:spacing w:after="0"/>
              <w:rPr>
                <w:sz w:val="20"/>
                <w:szCs w:val="20"/>
                <w:color w:val="auto"/>
              </w:rPr>
            </w:pPr>
            <w:r>
              <w:rPr>
                <w:rFonts w:ascii="Arial" w:cs="Arial" w:eastAsia="Arial" w:hAnsi="Arial"/>
                <w:sz w:val="18"/>
                <w:szCs w:val="18"/>
                <w:b w:val="1"/>
                <w:bCs w:val="1"/>
                <w:color w:val="auto"/>
              </w:rPr>
              <w:t>Net Sales</w:t>
            </w: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520" w:type="dxa"/>
            <w:vAlign w:val="bottom"/>
            <w:gridSpan w:val="8"/>
          </w:tcPr>
          <w:p>
            <w:pPr>
              <w:spacing w:after="0"/>
              <w:rPr>
                <w:sz w:val="20"/>
                <w:szCs w:val="20"/>
                <w:color w:val="auto"/>
              </w:rPr>
            </w:pPr>
            <w:r>
              <w:rPr>
                <w:rFonts w:ascii="Arial" w:cs="Arial" w:eastAsia="Arial" w:hAnsi="Arial"/>
                <w:sz w:val="18"/>
                <w:szCs w:val="18"/>
                <w:color w:val="auto"/>
                <w:w w:val="89"/>
              </w:rPr>
              <w:t>The following table presents net sales, consolidated and by reportable segment, for the three months ended June 30, 2023 and 2022:</w:t>
            </w:r>
          </w:p>
        </w:tc>
        <w:tc>
          <w:tcPr>
            <w:tcW w:w="12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00" w:type="dxa"/>
            <w:vAlign w:val="bottom"/>
            <w:gridSpan w:val="4"/>
          </w:tcPr>
          <w:p>
            <w:pPr>
              <w:jc w:val="right"/>
              <w:ind w:right="670"/>
              <w:spacing w:after="0" w:line="202" w:lineRule="exact"/>
              <w:rPr>
                <w:sz w:val="20"/>
                <w:szCs w:val="20"/>
                <w:color w:val="auto"/>
              </w:rPr>
            </w:pPr>
            <w:r>
              <w:rPr>
                <w:rFonts w:ascii="Arial" w:cs="Arial" w:eastAsia="Arial" w:hAnsi="Arial"/>
                <w:sz w:val="18"/>
                <w:szCs w:val="18"/>
                <w:color w:val="auto"/>
              </w:rPr>
              <w:t>Three Months Ended</w:t>
            </w:r>
          </w:p>
        </w:tc>
        <w:tc>
          <w:tcPr>
            <w:tcW w:w="120" w:type="dxa"/>
            <w:vAlign w:val="bottom"/>
          </w:tcPr>
          <w:p>
            <w:pPr>
              <w:spacing w:after="0"/>
              <w:rPr>
                <w:sz w:val="17"/>
                <w:szCs w:val="17"/>
                <w:color w:val="auto"/>
              </w:rPr>
            </w:pPr>
          </w:p>
        </w:tc>
        <w:tc>
          <w:tcPr>
            <w:tcW w:w="3300" w:type="dxa"/>
            <w:vAlign w:val="bottom"/>
            <w:gridSpan w:val="3"/>
            <w:vMerge w:val="restart"/>
          </w:tcPr>
          <w:p>
            <w:pPr>
              <w:jc w:val="right"/>
              <w:ind w:right="87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36"/>
        </w:trPr>
        <w:tc>
          <w:tcPr>
            <w:tcW w:w="478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30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color w:val="auto"/>
              </w:rPr>
              <w:t>As-Reported</w:t>
            </w:r>
          </w:p>
        </w:tc>
        <w:tc>
          <w:tcPr>
            <w:tcW w:w="120" w:type="dxa"/>
            <w:vAlign w:val="bottom"/>
            <w:tcBorders>
              <w:bottom w:val="single" w:sz="8" w:color="CCEEFF"/>
            </w:tcBorders>
          </w:tcPr>
          <w:p>
            <w:pPr>
              <w:spacing w:after="0"/>
              <w:rPr>
                <w:sz w:val="19"/>
                <w:szCs w:val="19"/>
                <w:color w:val="auto"/>
              </w:rPr>
            </w:pPr>
          </w:p>
        </w:tc>
        <w:tc>
          <w:tcPr>
            <w:tcW w:w="1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618.0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120" w:type="dxa"/>
            <w:vAlign w:val="bottom"/>
            <w:shd w:val="clear" w:color="auto" w:fill="CCEEFF"/>
          </w:tcPr>
          <w:p>
            <w:pPr>
              <w:spacing w:after="0"/>
              <w:rPr>
                <w:sz w:val="19"/>
                <w:szCs w:val="19"/>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37"/>
        </w:trPr>
        <w:tc>
          <w:tcPr>
            <w:tcW w:w="478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135.8</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117.8</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15.3 %</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6"/>
        </w:trPr>
        <w:tc>
          <w:tcPr>
            <w:tcW w:w="4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sales elimination</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6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780" w:type="dxa"/>
            <w:vAlign w:val="bottom"/>
          </w:tcPr>
          <w:p>
            <w:pPr>
              <w:ind w:left="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771.3</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
        </w:trPr>
        <w:tc>
          <w:tcPr>
            <w:tcW w:w="47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Consolidated net sales decreased by $17.5 million, or 2.3%, for the three months ended June 30, 2023, as compared to the same period in 2022, including a favorable foreign currency translation impact of $4.4 million. Excluding foreign currency translation effects and the impact related to the disposal of one of our plants of $3.1 million, consolidated net sales for the three months ended June 30, 2023 decreased by $18.8 million, or 2.5%, as compared to the same period in 2022.</w:t>
      </w:r>
    </w:p>
    <w:p>
      <w:pPr>
        <w:spacing w:after="0" w:line="210"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net sales decreased by $35.7 million, or 5.5%, for the three months ended June 30, 2023,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2022, including a favorable foreign currency translation impact of $3.2 million. Excluding foreign currency translation effects and the impact related to the disposal of one of our plants of $3.1 million, net sales for the three months ended June 30, 2023 decreased by $35.8 million, or 5.5%, as compared to the same period in 2022, primarily due to a decline in COVID-related sales of approximately $106 million, offset by sales price increases and a favorable mix of non-COVID-related product sales.</w:t>
      </w:r>
    </w:p>
    <w:p>
      <w:pPr>
        <w:spacing w:after="0" w:line="210" w:lineRule="exact"/>
        <w:rPr>
          <w:sz w:val="20"/>
          <w:szCs w:val="20"/>
          <w:color w:val="auto"/>
        </w:rPr>
      </w:pPr>
    </w:p>
    <w:p>
      <w:pPr>
        <w:ind w:right="60"/>
        <w:spacing w:after="0" w:line="281" w:lineRule="auto"/>
        <w:rPr>
          <w:sz w:val="20"/>
          <w:szCs w:val="20"/>
          <w:color w:val="auto"/>
        </w:rPr>
      </w:pPr>
      <w:r>
        <w:rPr>
          <w:rFonts w:ascii="Arial" w:cs="Arial" w:eastAsia="Arial" w:hAnsi="Arial"/>
          <w:sz w:val="17"/>
          <w:szCs w:val="17"/>
          <w:b w:val="1"/>
          <w:bCs w:val="1"/>
          <w:color w:val="auto"/>
        </w:rPr>
        <w:t xml:space="preserve">Contract-Manufactured Products – </w:t>
      </w:r>
      <w:r>
        <w:rPr>
          <w:rFonts w:ascii="Arial" w:cs="Arial" w:eastAsia="Arial" w:hAnsi="Arial"/>
          <w:sz w:val="17"/>
          <w:szCs w:val="17"/>
          <w:color w:val="auto"/>
        </w:rPr>
        <w:t>Contract-Manufactured Products net sales increased by $18.0 million, or 15.3%, for the three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2023, as compared to the same period in 2022, including a favorable foreign currency translation impact of $1.2 million. Excluding foreign currency translation effects, net sales for the three months ended June 30, 2023 increased by $16.8 million, or 14.3%, as compared to the same period in 2022, primarily due to an increase in sales of components associated with injection-related devices and sales price increases.</w:t>
      </w:r>
    </w:p>
    <w:p>
      <w:pPr>
        <w:spacing w:after="0" w:line="19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intersegment sales elimination, which is required for the presentation of consolidated net sales, represents the elimination of components sold between our segments.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net sales, consolidated and by reportable segment, for the six months ended June 30, 2023 and 2022:</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8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700" w:type="dxa"/>
            <w:vAlign w:val="bottom"/>
            <w:gridSpan w:val="4"/>
          </w:tcPr>
          <w:p>
            <w:pPr>
              <w:jc w:val="right"/>
              <w:ind w:right="770"/>
              <w:spacing w:after="0"/>
              <w:rPr>
                <w:sz w:val="20"/>
                <w:szCs w:val="20"/>
                <w:color w:val="auto"/>
              </w:rPr>
            </w:pPr>
            <w:r>
              <w:rPr>
                <w:rFonts w:ascii="Arial" w:cs="Arial" w:eastAsia="Arial" w:hAnsi="Arial"/>
                <w:sz w:val="18"/>
                <w:szCs w:val="18"/>
                <w:color w:val="auto"/>
              </w:rPr>
              <w:t>Six Months Ended</w:t>
            </w:r>
          </w:p>
        </w:tc>
        <w:tc>
          <w:tcPr>
            <w:tcW w:w="100" w:type="dxa"/>
            <w:vAlign w:val="bottom"/>
          </w:tcPr>
          <w:p>
            <w:pPr>
              <w:spacing w:after="0"/>
              <w:rPr>
                <w:sz w:val="18"/>
                <w:szCs w:val="18"/>
                <w:color w:val="auto"/>
              </w:rPr>
            </w:pPr>
          </w:p>
        </w:tc>
        <w:tc>
          <w:tcPr>
            <w:tcW w:w="3280" w:type="dxa"/>
            <w:vAlign w:val="bottom"/>
            <w:gridSpan w:val="3"/>
            <w:vMerge w:val="restart"/>
          </w:tcPr>
          <w:p>
            <w:pPr>
              <w:jc w:val="right"/>
              <w:ind w:right="850"/>
              <w:spacing w:after="0"/>
              <w:rPr>
                <w:sz w:val="20"/>
                <w:szCs w:val="20"/>
                <w:color w:val="auto"/>
              </w:rPr>
            </w:pPr>
            <w:r>
              <w:rPr>
                <w:rFonts w:ascii="Arial" w:cs="Arial" w:eastAsia="Arial" w:hAnsi="Arial"/>
                <w:sz w:val="18"/>
                <w:szCs w:val="18"/>
                <w:color w:val="auto"/>
              </w:rPr>
              <w:t>Percentage Change</w:t>
            </w:r>
          </w:p>
        </w:tc>
        <w:tc>
          <w:tcPr>
            <w:tcW w:w="0" w:type="dxa"/>
            <w:vAlign w:val="bottom"/>
          </w:tcPr>
          <w:p>
            <w:pPr>
              <w:spacing w:after="0"/>
              <w:rPr>
                <w:sz w:val="1"/>
                <w:szCs w:val="1"/>
                <w:color w:val="auto"/>
              </w:rPr>
            </w:pPr>
          </w:p>
        </w:tc>
      </w:tr>
      <w:tr>
        <w:trPr>
          <w:trHeight w:val="237"/>
        </w:trPr>
        <w:tc>
          <w:tcPr>
            <w:tcW w:w="48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80" w:type="dxa"/>
            <w:vAlign w:val="bottom"/>
            <w:tcBorders>
              <w:bottom w:val="single" w:sz="8" w:color="auto"/>
            </w:tcBorders>
            <w:gridSpan w:val="3"/>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482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c>
          <w:tcPr>
            <w:tcW w:w="10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As-Reported</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rPr>
              <w:t>Organic</w:t>
            </w:r>
          </w:p>
        </w:tc>
        <w:tc>
          <w:tcPr>
            <w:tcW w:w="0" w:type="dxa"/>
            <w:vAlign w:val="bottom"/>
          </w:tcPr>
          <w:p>
            <w:pPr>
              <w:spacing w:after="0"/>
              <w:rPr>
                <w:sz w:val="1"/>
                <w:szCs w:val="1"/>
                <w:color w:val="auto"/>
              </w:rPr>
            </w:pPr>
          </w:p>
        </w:tc>
      </w:tr>
      <w:tr>
        <w:trPr>
          <w:trHeight w:val="223"/>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Proprietary Products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1,201.1</w:t>
            </w:r>
          </w:p>
        </w:tc>
        <w:tc>
          <w:tcPr>
            <w:tcW w:w="1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1,255.0</w:t>
            </w:r>
          </w:p>
        </w:tc>
        <w:tc>
          <w:tcPr>
            <w:tcW w:w="1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7"/>
        </w:trPr>
        <w:tc>
          <w:tcPr>
            <w:tcW w:w="4820" w:type="dxa"/>
            <w:vAlign w:val="bottom"/>
          </w:tcPr>
          <w:p>
            <w:pPr>
              <w:ind w:left="120"/>
              <w:spacing w:after="0"/>
              <w:rPr>
                <w:sz w:val="20"/>
                <w:szCs w:val="20"/>
                <w:color w:val="auto"/>
              </w:rPr>
            </w:pPr>
            <w:r>
              <w:rPr>
                <w:rFonts w:ascii="Arial" w:cs="Arial" w:eastAsia="Arial" w:hAnsi="Arial"/>
                <w:sz w:val="18"/>
                <w:szCs w:val="18"/>
                <w:color w:val="auto"/>
              </w:rPr>
              <w:t>Contract-Manufactured Products</w:t>
            </w:r>
          </w:p>
        </w:tc>
        <w:tc>
          <w:tcPr>
            <w:tcW w:w="34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269.3</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236.5</w:t>
            </w:r>
          </w:p>
        </w:tc>
        <w:tc>
          <w:tcPr>
            <w:tcW w:w="1680" w:type="dxa"/>
            <w:vAlign w:val="bottom"/>
            <w:gridSpan w:val="2"/>
          </w:tcPr>
          <w:p>
            <w:pPr>
              <w:jc w:val="right"/>
              <w:spacing w:after="0"/>
              <w:rPr>
                <w:sz w:val="20"/>
                <w:szCs w:val="20"/>
                <w:color w:val="auto"/>
              </w:rPr>
            </w:pPr>
            <w:r>
              <w:rPr>
                <w:rFonts w:ascii="Arial" w:cs="Arial" w:eastAsia="Arial" w:hAnsi="Arial"/>
                <w:sz w:val="18"/>
                <w:szCs w:val="18"/>
                <w:color w:val="auto"/>
              </w:rPr>
              <w:t>13.9 %</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14.3 %</w:t>
            </w:r>
          </w:p>
        </w:tc>
        <w:tc>
          <w:tcPr>
            <w:tcW w:w="0" w:type="dxa"/>
            <w:vAlign w:val="bottom"/>
          </w:tcPr>
          <w:p>
            <w:pPr>
              <w:spacing w:after="0"/>
              <w:rPr>
                <w:sz w:val="1"/>
                <w:szCs w:val="1"/>
                <w:color w:val="auto"/>
              </w:rPr>
            </w:pPr>
          </w:p>
        </w:tc>
      </w:tr>
      <w:tr>
        <w:trPr>
          <w:trHeight w:val="236"/>
        </w:trPr>
        <w:tc>
          <w:tcPr>
            <w:tcW w:w="4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Intersegment sales elimination</w:t>
            </w:r>
          </w:p>
        </w:tc>
        <w:tc>
          <w:tcPr>
            <w:tcW w:w="34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0"/>
                <w:szCs w:val="20"/>
                <w:color w:val="auto"/>
              </w:rPr>
            </w:pPr>
          </w:p>
        </w:tc>
        <w:tc>
          <w:tcPr>
            <w:tcW w:w="15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820" w:type="dxa"/>
            <w:vAlign w:val="bottom"/>
          </w:tcPr>
          <w:p>
            <w:pPr>
              <w:ind w:left="120"/>
              <w:spacing w:after="0"/>
              <w:rPr>
                <w:sz w:val="20"/>
                <w:szCs w:val="20"/>
                <w:color w:val="auto"/>
              </w:rPr>
            </w:pPr>
            <w:r>
              <w:rPr>
                <w:rFonts w:ascii="Arial" w:cs="Arial" w:eastAsia="Arial" w:hAnsi="Arial"/>
                <w:sz w:val="18"/>
                <w:szCs w:val="18"/>
                <w:color w:val="auto"/>
              </w:rPr>
              <w:t>Consolidated net sales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1,470.4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1,491.3</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1" w:name="page32"/>
    <w:bookmarkEnd w:id="3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Consolidated net sales decreased by $20.9 million, or 1.4%, for the six months ended June 30, 2023, as compared to the same period in 2022, including an unfavorable foreign currency translation impact of $15.7 million. Excluding foreign currency translation effects and the impact related to the disposal of one of our plants of $3.1 million, consolidated net sales for the six months ended June 30, 2023 decreased by $2.1 million, or 0.1%, as compared to the same period in 2022.</w:t>
      </w:r>
    </w:p>
    <w:p>
      <w:pPr>
        <w:spacing w:after="0" w:line="210" w:lineRule="exact"/>
        <w:rPr>
          <w:sz w:val="20"/>
          <w:szCs w:val="20"/>
          <w:color w:val="auto"/>
        </w:rPr>
      </w:pPr>
    </w:p>
    <w:p>
      <w:pPr>
        <w:ind w:right="80"/>
        <w:spacing w:after="0" w:line="258" w:lineRule="auto"/>
        <w:rPr>
          <w:sz w:val="20"/>
          <w:szCs w:val="20"/>
          <w:color w:val="auto"/>
        </w:rPr>
      </w:pPr>
      <w:r>
        <w:rPr>
          <w:rFonts w:ascii="Arial" w:cs="Arial" w:eastAsia="Arial" w:hAnsi="Arial"/>
          <w:sz w:val="18"/>
          <w:szCs w:val="18"/>
          <w:b w:val="1"/>
          <w:bCs w:val="1"/>
          <w:color w:val="auto"/>
        </w:rPr>
        <w:t xml:space="preserve">Proprietary Products </w:t>
      </w:r>
      <w:r>
        <w:rPr>
          <w:rFonts w:ascii="Arial" w:cs="Arial" w:eastAsia="Arial" w:hAnsi="Arial"/>
          <w:sz w:val="18"/>
          <w:szCs w:val="18"/>
          <w:color w:val="auto"/>
        </w:rPr>
        <w:t>– Proprietary Products net sales decreased by $53.9 million, or 4.3%, for the six months ended June 30, 2023, as compared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same period in 2022, including an unfavorable foreign currency translation impact of $14.6 million. Excluding foreign currency translation effects and the impact related to the disposal of one of our plants of $3.1 million, net sales for the six months ended June 30, 2023 decreased by $36.2 million, or 2.9%, as compared to the same period in 2022, primarily due to a decline in COVID-related sales of approximately $194 million, offset by sales price increases and a favorable mix of non-COVID-related product sales.</w:t>
      </w:r>
    </w:p>
    <w:p>
      <w:pPr>
        <w:spacing w:after="0" w:line="210" w:lineRule="exact"/>
        <w:rPr>
          <w:sz w:val="20"/>
          <w:szCs w:val="20"/>
          <w:color w:val="auto"/>
        </w:rPr>
      </w:pPr>
    </w:p>
    <w:p>
      <w:pPr>
        <w:ind w:right="220"/>
        <w:spacing w:after="0" w:line="281" w:lineRule="auto"/>
        <w:rPr>
          <w:sz w:val="20"/>
          <w:szCs w:val="20"/>
          <w:color w:val="auto"/>
        </w:rPr>
      </w:pPr>
      <w:r>
        <w:rPr>
          <w:rFonts w:ascii="Arial" w:cs="Arial" w:eastAsia="Arial" w:hAnsi="Arial"/>
          <w:sz w:val="17"/>
          <w:szCs w:val="17"/>
          <w:b w:val="1"/>
          <w:bCs w:val="1"/>
          <w:color w:val="auto"/>
        </w:rPr>
        <w:t xml:space="preserve">Contract-Manufactured Products </w:t>
      </w:r>
      <w:r>
        <w:rPr>
          <w:rFonts w:ascii="Arial" w:cs="Arial" w:eastAsia="Arial" w:hAnsi="Arial"/>
          <w:sz w:val="17"/>
          <w:szCs w:val="17"/>
          <w:color w:val="auto"/>
        </w:rPr>
        <w:t>– Contract-Manufactured Products net sales increased by $32.8 million, or 13.9%, for the six months ended June 30,</w:t>
      </w:r>
      <w:r>
        <w:rPr>
          <w:rFonts w:ascii="Arial" w:cs="Arial" w:eastAsia="Arial" w:hAnsi="Arial"/>
          <w:sz w:val="17"/>
          <w:szCs w:val="17"/>
          <w:b w:val="1"/>
          <w:bCs w:val="1"/>
          <w:color w:val="auto"/>
        </w:rPr>
        <w:t xml:space="preserve"> </w:t>
      </w:r>
      <w:r>
        <w:rPr>
          <w:rFonts w:ascii="Arial" w:cs="Arial" w:eastAsia="Arial" w:hAnsi="Arial"/>
          <w:sz w:val="17"/>
          <w:szCs w:val="17"/>
          <w:color w:val="auto"/>
        </w:rPr>
        <w:t>2023, as compared to the same period in 2022, including an unfavorable foreign currency translation impact of $1.1 million. Excluding foreign currency translation effects, net sales for the six months ended June 30, 2023 increased by $33.9 million, or 14.3%, as compared to the same period in 2022, primarily due to an increase in sales of components associated with injection-related devices and sales price increases.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Profit</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gross profit and related gross profit margins, consolidated and by reportable segment:</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700" w:type="dxa"/>
            <w:vAlign w:val="bottom"/>
            <w:shd w:val="clear" w:color="auto" w:fill="CCEEFF"/>
          </w:tcPr>
          <w:p>
            <w:pPr>
              <w:spacing w:after="0"/>
              <w:rPr>
                <w:sz w:val="17"/>
                <w:szCs w:val="17"/>
                <w:color w:val="auto"/>
              </w:rPr>
            </w:pPr>
          </w:p>
        </w:tc>
        <w:tc>
          <w:tcPr>
            <w:tcW w:w="2740" w:type="dxa"/>
            <w:vAlign w:val="bottom"/>
            <w:gridSpan w:val="4"/>
            <w:shd w:val="clear" w:color="auto" w:fill="CCEEFF"/>
          </w:tcPr>
          <w:p>
            <w:pPr>
              <w:jc w:val="right"/>
              <w:ind w:right="210"/>
              <w:spacing w:after="0"/>
              <w:rPr>
                <w:sz w:val="20"/>
                <w:szCs w:val="20"/>
                <w:color w:val="auto"/>
              </w:rPr>
            </w:pPr>
            <w:r>
              <w:rPr>
                <w:rFonts w:ascii="Arial" w:cs="Arial" w:eastAsia="Arial" w:hAnsi="Arial"/>
                <w:sz w:val="18"/>
                <w:szCs w:val="18"/>
                <w:color w:val="auto"/>
              </w:rPr>
              <w:t>Three Months Ended</w:t>
            </w: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2720" w:type="dxa"/>
            <w:vAlign w:val="bottom"/>
            <w:gridSpan w:val="4"/>
            <w:shd w:val="clear" w:color="auto" w:fill="CCEEFF"/>
          </w:tcPr>
          <w:p>
            <w:pPr>
              <w:jc w:val="right"/>
              <w:ind w:right="770"/>
              <w:spacing w:after="0"/>
              <w:rPr>
                <w:sz w:val="20"/>
                <w:szCs w:val="20"/>
                <w:color w:val="auto"/>
              </w:rPr>
            </w:pPr>
            <w:r>
              <w:rPr>
                <w:rFonts w:ascii="Arial" w:cs="Arial" w:eastAsia="Arial" w:hAnsi="Arial"/>
                <w:sz w:val="18"/>
                <w:szCs w:val="18"/>
                <w:color w:val="auto"/>
              </w:rPr>
              <w:t>Six Months Ended</w:t>
            </w:r>
          </w:p>
        </w:tc>
      </w:tr>
      <w:tr>
        <w:trPr>
          <w:trHeight w:val="243"/>
        </w:trPr>
        <w:tc>
          <w:tcPr>
            <w:tcW w:w="4700" w:type="dxa"/>
            <w:vAlign w:val="bottom"/>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1740" w:type="dxa"/>
            <w:vAlign w:val="bottom"/>
            <w:tcBorders>
              <w:bottom w:val="single" w:sz="8" w:color="auto"/>
            </w:tcBorders>
            <w:gridSpan w:val="3"/>
            <w:shd w:val="clear" w:color="auto" w:fill="CCEEFF"/>
          </w:tcPr>
          <w:p>
            <w:pPr>
              <w:jc w:val="right"/>
              <w:ind w:right="67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660" w:type="dxa"/>
            <w:vAlign w:val="bottom"/>
            <w:tcBorders>
              <w:bottom w:val="single" w:sz="8" w:color="auto"/>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shd w:val="clear" w:color="auto" w:fill="CCEEFF"/>
          </w:tcPr>
          <w:p>
            <w:pPr>
              <w:spacing w:after="0"/>
              <w:rPr>
                <w:sz w:val="21"/>
                <w:szCs w:val="2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2022</w:t>
            </w: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r>
      <w:tr>
        <w:trPr>
          <w:trHeight w:val="237"/>
        </w:trPr>
        <w:tc>
          <w:tcPr>
            <w:tcW w:w="4700" w:type="dxa"/>
            <w:vAlign w:val="bottom"/>
          </w:tcPr>
          <w:p>
            <w:pPr>
              <w:ind w:left="220"/>
              <w:spacing w:after="0"/>
              <w:rPr>
                <w:sz w:val="20"/>
                <w:szCs w:val="20"/>
                <w:color w:val="auto"/>
              </w:rPr>
            </w:pPr>
            <w:r>
              <w:rPr>
                <w:rFonts w:ascii="Arial" w:cs="Arial" w:eastAsia="Arial" w:hAnsi="Arial"/>
                <w:sz w:val="18"/>
                <w:szCs w:val="18"/>
                <w:color w:val="auto"/>
              </w:rPr>
              <w:t>Gross profit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271.4</w:t>
            </w:r>
          </w:p>
        </w:tc>
        <w:tc>
          <w:tcPr>
            <w:tcW w:w="11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302.3</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519.2</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563.0</w:t>
            </w:r>
          </w:p>
        </w:tc>
      </w:tr>
      <w:tr>
        <w:trPr>
          <w:trHeight w:val="236"/>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 margin</w:t>
            </w: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43.9 %</w:t>
            </w:r>
          </w:p>
        </w:tc>
        <w:tc>
          <w:tcPr>
            <w:tcW w:w="12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46.2 %</w:t>
            </w: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43.2 %</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44.9 %</w:t>
            </w:r>
          </w:p>
        </w:tc>
      </w:tr>
      <w:tr>
        <w:trPr>
          <w:trHeight w:val="229"/>
        </w:trPr>
        <w:tc>
          <w:tcPr>
            <w:tcW w:w="47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43"/>
        </w:trPr>
        <w:tc>
          <w:tcPr>
            <w:tcW w:w="47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1000" w:type="dxa"/>
            <w:vAlign w:val="bottom"/>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20.9</w:t>
            </w:r>
          </w:p>
        </w:tc>
        <w:tc>
          <w:tcPr>
            <w:tcW w:w="1120" w:type="dxa"/>
            <w:vAlign w:val="bottom"/>
            <w:gridSpan w:val="2"/>
            <w:shd w:val="clear" w:color="auto" w:fill="CCEEFF"/>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19.2</w:t>
            </w:r>
          </w:p>
        </w:tc>
        <w:tc>
          <w:tcPr>
            <w:tcW w:w="46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44.4</w:t>
            </w:r>
          </w:p>
        </w:tc>
        <w:tc>
          <w:tcPr>
            <w:tcW w:w="520" w:type="dxa"/>
            <w:vAlign w:val="bottom"/>
            <w:gridSpan w:val="2"/>
            <w:shd w:val="clear" w:color="auto" w:fill="CCEEFF"/>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43.1</w:t>
            </w:r>
          </w:p>
        </w:tc>
      </w:tr>
      <w:tr>
        <w:trPr>
          <w:trHeight w:val="229"/>
        </w:trPr>
        <w:tc>
          <w:tcPr>
            <w:tcW w:w="4700" w:type="dxa"/>
            <w:vAlign w:val="bottom"/>
          </w:tcPr>
          <w:p>
            <w:pPr>
              <w:ind w:left="220"/>
              <w:spacing w:after="0"/>
              <w:rPr>
                <w:sz w:val="20"/>
                <w:szCs w:val="20"/>
                <w:color w:val="auto"/>
              </w:rPr>
            </w:pPr>
            <w:r>
              <w:rPr>
                <w:rFonts w:ascii="Arial" w:cs="Arial" w:eastAsia="Arial" w:hAnsi="Arial"/>
                <w:sz w:val="18"/>
                <w:szCs w:val="18"/>
                <w:color w:val="auto"/>
              </w:rPr>
              <w:t>Gross profit margin</w:t>
            </w: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15.4 %</w:t>
            </w:r>
          </w:p>
        </w:tc>
        <w:tc>
          <w:tcPr>
            <w:tcW w:w="1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16.3 %</w:t>
            </w: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16.5 %</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18.2 %</w:t>
            </w:r>
          </w:p>
        </w:tc>
      </w:tr>
      <w:tr>
        <w:trPr>
          <w:trHeight w:val="230"/>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Unallocated items</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(0.9)</w:t>
            </w:r>
          </w:p>
        </w:tc>
        <w:tc>
          <w:tcPr>
            <w:tcW w:w="12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gross profit</w:t>
            </w:r>
          </w:p>
        </w:tc>
        <w:tc>
          <w:tcPr>
            <w:tcW w:w="1000" w:type="dxa"/>
            <w:vAlign w:val="bottom"/>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291.4</w:t>
            </w:r>
          </w:p>
        </w:tc>
        <w:tc>
          <w:tcPr>
            <w:tcW w:w="1120" w:type="dxa"/>
            <w:vAlign w:val="bottom"/>
            <w:gridSpan w:val="2"/>
          </w:tcPr>
          <w:p>
            <w:pPr>
              <w:jc w:val="right"/>
              <w:ind w:right="790"/>
              <w:spacing w:after="0"/>
              <w:rPr>
                <w:sz w:val="20"/>
                <w:szCs w:val="20"/>
                <w:color w:val="auto"/>
              </w:rPr>
            </w:pPr>
            <w:r>
              <w:rPr>
                <w:rFonts w:ascii="Arial" w:cs="Arial" w:eastAsia="Arial" w:hAnsi="Arial"/>
                <w:sz w:val="18"/>
                <w:szCs w:val="18"/>
                <w:color w:val="auto"/>
              </w:rPr>
              <w:t>$</w:t>
            </w:r>
          </w:p>
        </w:tc>
        <w:tc>
          <w:tcPr>
            <w:tcW w:w="620" w:type="dxa"/>
            <w:vAlign w:val="bottom"/>
          </w:tcPr>
          <w:p>
            <w:pPr>
              <w:jc w:val="right"/>
              <w:ind w:right="110"/>
              <w:spacing w:after="0"/>
              <w:rPr>
                <w:sz w:val="20"/>
                <w:szCs w:val="20"/>
                <w:color w:val="auto"/>
              </w:rPr>
            </w:pPr>
            <w:r>
              <w:rPr>
                <w:rFonts w:ascii="Arial" w:cs="Arial" w:eastAsia="Arial" w:hAnsi="Arial"/>
                <w:sz w:val="18"/>
                <w:szCs w:val="18"/>
                <w:color w:val="auto"/>
                <w:w w:val="88"/>
              </w:rPr>
              <w:t>321.5</w:t>
            </w:r>
          </w:p>
        </w:tc>
        <w:tc>
          <w:tcPr>
            <w:tcW w:w="460" w:type="dxa"/>
            <w:vAlign w:val="bottom"/>
            <w:gridSpan w:val="2"/>
          </w:tcPr>
          <w:p>
            <w:pPr>
              <w:jc w:val="right"/>
              <w:ind w:right="13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562.7</w:t>
            </w:r>
          </w:p>
        </w:tc>
        <w:tc>
          <w:tcPr>
            <w:tcW w:w="520" w:type="dxa"/>
            <w:vAlign w:val="bottom"/>
            <w:gridSpan w:val="2"/>
          </w:tcPr>
          <w:p>
            <w:pPr>
              <w:jc w:val="right"/>
              <w:ind w:right="2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606.1</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gross profit margin</w:t>
            </w: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38.7 %</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spacing w:after="0"/>
              <w:rPr>
                <w:sz w:val="21"/>
                <w:szCs w:val="21"/>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41.7 %</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38.3 %</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40.6 %</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340"/>
        <w:spacing w:after="0" w:line="263" w:lineRule="auto"/>
        <w:rPr>
          <w:sz w:val="20"/>
          <w:szCs w:val="20"/>
          <w:color w:val="auto"/>
        </w:rPr>
      </w:pPr>
      <w:r>
        <w:rPr>
          <w:rFonts w:ascii="Arial" w:cs="Arial" w:eastAsia="Arial" w:hAnsi="Arial"/>
          <w:sz w:val="18"/>
          <w:szCs w:val="18"/>
          <w:color w:val="auto"/>
        </w:rPr>
        <w:t>Consolidated gross profit decreased by $30.1 million, or 9.4%, for the three months ended June 30, 2023, as compared to the same period in 2022, including a favorable foreign currency translation impact of $2.4 million. Consolidated gross profit margin decreased by 3.0 margin points for the three months ended June 30, 2023, as compared to the same period in 2022.</w:t>
      </w:r>
    </w:p>
    <w:p>
      <w:pPr>
        <w:spacing w:after="0" w:line="211" w:lineRule="exact"/>
        <w:rPr>
          <w:sz w:val="20"/>
          <w:szCs w:val="20"/>
          <w:color w:val="auto"/>
        </w:rPr>
      </w:pPr>
    </w:p>
    <w:p>
      <w:pPr>
        <w:ind w:right="160"/>
        <w:spacing w:after="0" w:line="263" w:lineRule="auto"/>
        <w:rPr>
          <w:sz w:val="20"/>
          <w:szCs w:val="20"/>
          <w:color w:val="auto"/>
        </w:rPr>
      </w:pPr>
      <w:r>
        <w:rPr>
          <w:rFonts w:ascii="Arial" w:cs="Arial" w:eastAsia="Arial" w:hAnsi="Arial"/>
          <w:sz w:val="18"/>
          <w:szCs w:val="18"/>
          <w:color w:val="auto"/>
        </w:rPr>
        <w:t>Consolidated gross profit decreased by $43.4 million, or 7.2% for the six months ended June 30, 2023, as compared to the same period in 2022, including an unfavorable foreign currency translation impact of $4.3 million. Consolidated gross profit margin decreased by 2.3 margin points for the six months ended June 30, 2023, as compared to the same period in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2" w:name="page33"/>
    <w:bookmarkEnd w:id="3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100"/>
        <w:spacing w:after="0" w:line="258"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gross profit decreased by $30.9 million, or 10.2%, for the three months ended June 30, 2023,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2022, including a favorable foreign currency translation impact of $2.1 million. Proprietary Products gross profit margin decreased by 2.3 margin points for the three months ended June 30, 2023, as compared to the same period in 2022, due to a decline in higher margin COVID-related sales and inflationary pressures, primarily within compensation costs. These headwinds were partially offset by increased sales prices and production efficiencies.</w:t>
      </w:r>
    </w:p>
    <w:p>
      <w:pPr>
        <w:spacing w:after="0" w:line="214"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Proprietary Products gross profit decreased by $43.8 million, or 7.8%, for the six months ended June 30, 2023, as compared to the same period in 2022, including an unfavorable foreign currency translation impact of $4.0 million. Proprietary Products gross profit margin decreased by 1.7 margin points for the six months ended June 30, 2023, as compared to the same period in 2022, due to a decline in higher margin COVID-related sales, inflationary pressures, primarily within compensation and transportation costs, and additional plant spend to meet ongoing product demand. These headwinds were partially offset by increased sales prices and production efficiencies.</w:t>
      </w:r>
    </w:p>
    <w:p>
      <w:pPr>
        <w:spacing w:after="0" w:line="211" w:lineRule="exact"/>
        <w:rPr>
          <w:sz w:val="20"/>
          <w:szCs w:val="20"/>
          <w:color w:val="auto"/>
        </w:rPr>
      </w:pPr>
    </w:p>
    <w:p>
      <w:pPr>
        <w:ind w:right="60"/>
        <w:spacing w:after="0" w:line="303" w:lineRule="auto"/>
        <w:rPr>
          <w:sz w:val="20"/>
          <w:szCs w:val="20"/>
          <w:color w:val="auto"/>
        </w:rPr>
      </w:pPr>
      <w:r>
        <w:rPr>
          <w:rFonts w:ascii="Arial" w:cs="Arial" w:eastAsia="Arial" w:hAnsi="Arial"/>
          <w:sz w:val="16"/>
          <w:szCs w:val="16"/>
          <w:b w:val="1"/>
          <w:bCs w:val="1"/>
          <w:color w:val="auto"/>
        </w:rPr>
        <w:t xml:space="preserve">Contract-Manufactured Products - </w:t>
      </w:r>
      <w:r>
        <w:rPr>
          <w:rFonts w:ascii="Arial" w:cs="Arial" w:eastAsia="Arial" w:hAnsi="Arial"/>
          <w:sz w:val="16"/>
          <w:szCs w:val="16"/>
          <w:color w:val="auto"/>
        </w:rPr>
        <w:t>Contract-Manufactured Products gross profit increased by $1.7 million, or 8.9%, for the three months ended June 30,</w:t>
      </w:r>
      <w:r>
        <w:rPr>
          <w:rFonts w:ascii="Arial" w:cs="Arial" w:eastAsia="Arial" w:hAnsi="Arial"/>
          <w:sz w:val="16"/>
          <w:szCs w:val="16"/>
          <w:b w:val="1"/>
          <w:bCs w:val="1"/>
          <w:color w:val="auto"/>
        </w:rPr>
        <w:t xml:space="preserve"> </w:t>
      </w:r>
      <w:r>
        <w:rPr>
          <w:rFonts w:ascii="Arial" w:cs="Arial" w:eastAsia="Arial" w:hAnsi="Arial"/>
          <w:sz w:val="16"/>
          <w:szCs w:val="16"/>
          <w:color w:val="auto"/>
        </w:rPr>
        <w:t>2023, as compared to the same period in 2022, including a favorable foreign currency translation impact of $0.3 million. Contract-Manufactured Products gross profit margin decreased by 0.9 margin points for the three months ended June 30, 2023, as compared to the same period in 2022, due to inflationary pressures, primarily within compensation costs. These headwinds were partially offset by increased production efficiencies and sales prices.</w:t>
      </w:r>
    </w:p>
    <w:p>
      <w:pPr>
        <w:spacing w:after="0" w:line="182" w:lineRule="exact"/>
        <w:rPr>
          <w:sz w:val="20"/>
          <w:szCs w:val="20"/>
          <w:color w:val="auto"/>
        </w:rPr>
      </w:pPr>
    </w:p>
    <w:p>
      <w:pPr>
        <w:ind w:right="180"/>
        <w:spacing w:after="0" w:line="279" w:lineRule="auto"/>
        <w:rPr>
          <w:sz w:val="20"/>
          <w:szCs w:val="20"/>
          <w:color w:val="auto"/>
        </w:rPr>
      </w:pPr>
      <w:r>
        <w:rPr>
          <w:rFonts w:ascii="Arial" w:cs="Arial" w:eastAsia="Arial" w:hAnsi="Arial"/>
          <w:sz w:val="17"/>
          <w:szCs w:val="17"/>
          <w:color w:val="auto"/>
        </w:rPr>
        <w:t>Contract-Manufactured Products gross profit increased by $1.3 million, or 3.0%, for the six months ended June 30, 2023, as compared to the same period in 2022, including an unfavorable foreign currency translation impact of $0.3 million. Contract-Manufactured Products gross profit margin decreased by 1.7 margin points for the six months ended June 30, 2023, as compared to the same period in 2022, due to inflationary pressures, primarily within compensation costs. These headwinds were partially offset by increased production efficiencies and sales prices.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Research and Development (“R&amp;D”) Costs</w:t>
            </w: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4980" w:type="dxa"/>
            <w:vAlign w:val="bottom"/>
          </w:tcPr>
          <w:p>
            <w:pPr>
              <w:spacing w:after="0"/>
              <w:rPr>
                <w:sz w:val="20"/>
                <w:szCs w:val="20"/>
                <w:color w:val="auto"/>
              </w:rPr>
            </w:pPr>
            <w:r>
              <w:rPr>
                <w:rFonts w:ascii="Arial" w:cs="Arial" w:eastAsia="Arial" w:hAnsi="Arial"/>
                <w:sz w:val="18"/>
                <w:szCs w:val="18"/>
                <w:color w:val="auto"/>
              </w:rPr>
              <w:t>The following table presents consolidated R&amp;D costs:</w:t>
            </w: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880" w:type="dxa"/>
            <w:vAlign w:val="bottom"/>
            <w:gridSpan w:val="4"/>
          </w:tcPr>
          <w:p>
            <w:pPr>
              <w:jc w:val="center"/>
              <w:ind w:right="230"/>
              <w:spacing w:after="0" w:line="202" w:lineRule="exact"/>
              <w:rPr>
                <w:sz w:val="20"/>
                <w:szCs w:val="20"/>
                <w:color w:val="auto"/>
              </w:rPr>
            </w:pPr>
            <w:r>
              <w:rPr>
                <w:rFonts w:ascii="Arial" w:cs="Arial" w:eastAsia="Arial" w:hAnsi="Arial"/>
                <w:sz w:val="18"/>
                <w:szCs w:val="18"/>
                <w:color w:val="auto"/>
                <w:w w:val="90"/>
              </w:rPr>
              <w:t>Three Months Ended</w:t>
            </w: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center"/>
              <w:ind w:right="230"/>
              <w:spacing w:after="0" w:line="202" w:lineRule="exact"/>
              <w:rPr>
                <w:sz w:val="20"/>
                <w:szCs w:val="20"/>
                <w:color w:val="auto"/>
              </w:rPr>
            </w:pPr>
            <w:r>
              <w:rPr>
                <w:rFonts w:ascii="Arial" w:cs="Arial" w:eastAsia="Arial" w:hAnsi="Arial"/>
                <w:sz w:val="18"/>
                <w:szCs w:val="18"/>
                <w:color w:val="auto"/>
                <w:w w:val="91"/>
              </w:rPr>
              <w:t>Six Months Ended</w:t>
            </w:r>
          </w:p>
        </w:tc>
      </w:tr>
      <w:tr>
        <w:trPr>
          <w:trHeight w:val="237"/>
        </w:trPr>
        <w:tc>
          <w:tcPr>
            <w:tcW w:w="498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gridSpan w:val="3"/>
          </w:tcPr>
          <w:p>
            <w:pPr>
              <w:jc w:val="center"/>
              <w:ind w:left="710"/>
              <w:spacing w:after="0"/>
              <w:rPr>
                <w:sz w:val="20"/>
                <w:szCs w:val="20"/>
                <w:color w:val="auto"/>
              </w:rPr>
            </w:pPr>
            <w:r>
              <w:rPr>
                <w:rFonts w:ascii="Arial" w:cs="Arial" w:eastAsia="Arial" w:hAnsi="Arial"/>
                <w:sz w:val="18"/>
                <w:szCs w:val="18"/>
                <w:color w:val="auto"/>
                <w:w w:val="86"/>
              </w:rPr>
              <w:t>June 30,</w:t>
            </w:r>
          </w:p>
        </w:tc>
        <w:tc>
          <w:tcPr>
            <w:tcW w:w="112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color w:val="auto"/>
                <w:w w:val="86"/>
              </w:rPr>
              <w:t>June 30,</w:t>
            </w:r>
          </w:p>
        </w:tc>
        <w:tc>
          <w:tcPr>
            <w:tcW w:w="1000" w:type="dxa"/>
            <w:vAlign w:val="bottom"/>
            <w:tcBorders>
              <w:bottom w:val="single" w:sz="8" w:color="auto"/>
            </w:tcBorders>
          </w:tcPr>
          <w:p>
            <w:pPr>
              <w:spacing w:after="0"/>
              <w:rPr>
                <w:sz w:val="20"/>
                <w:szCs w:val="20"/>
                <w:color w:val="auto"/>
              </w:rPr>
            </w:pPr>
          </w:p>
        </w:tc>
      </w:tr>
      <w:tr>
        <w:trPr>
          <w:trHeight w:val="216"/>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color w:val="auto"/>
              </w:rPr>
              <w:t>2022</w:t>
            </w:r>
          </w:p>
        </w:tc>
        <w:tc>
          <w:tcPr>
            <w:tcW w:w="1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rPr>
              <w:t>2022</w:t>
            </w:r>
          </w:p>
        </w:tc>
      </w:tr>
      <w:tr>
        <w:trPr>
          <w:trHeight w:val="262"/>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R&amp;D costs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Pr>
          <w:p>
            <w:pPr>
              <w:spacing w:after="0"/>
              <w:rPr>
                <w:sz w:val="22"/>
                <w:szCs w:val="22"/>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140" w:type="dxa"/>
            <w:vAlign w:val="bottom"/>
          </w:tcPr>
          <w:p>
            <w:pPr>
              <w:spacing w:after="0"/>
              <w:rPr>
                <w:sz w:val="22"/>
                <w:szCs w:val="22"/>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Consolidated R&amp;D costs increased by $2.1 million, or 14.6%, and $4.6 million, or 15.9% for the three and six months ended June 30, 2023, respectively, as compared to the same period in 2022, due to additional research performed to identify new product opportunities. The increases included $1.1 million for the three months ended June 30, 2023 and $2.6 million for the six months ended June 30, 2023 of research performed on glass systems. Efforts remain focused on the continued investment in elastomeric packaging components, formulation development, drug containment systems, self-injection systems and drug administration consumables.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All of the R&amp;D costs incurred the </w:t>
      </w:r>
      <w:r>
        <w:rPr>
          <w:rFonts w:ascii="Arial" w:cs="Arial" w:eastAsia="Arial" w:hAnsi="Arial"/>
          <w:sz w:val="18"/>
          <w:szCs w:val="18"/>
          <w:color w:val="252525"/>
        </w:rPr>
        <w:t>three and six months ended</w:t>
      </w:r>
      <w:r>
        <w:rPr>
          <w:rFonts w:ascii="Arial" w:cs="Arial" w:eastAsia="Arial" w:hAnsi="Arial"/>
          <w:sz w:val="18"/>
          <w:szCs w:val="18"/>
          <w:color w:val="auto"/>
        </w:rPr>
        <w:t xml:space="preserve"> June 30, 2023 and 2022 related to Proprietary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3" w:name="page34"/>
    <w:bookmarkEnd w:id="3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Selling, General and Administrative (“SG&amp;A”) Costs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SG&amp;A costs, consolidated and by reportable segment and corporate and unallocated items:</w:t>
      </w:r>
    </w:p>
    <w:p>
      <w:pPr>
        <w:spacing w:after="0" w:line="34" w:lineRule="exact"/>
        <w:rPr>
          <w:sz w:val="20"/>
          <w:szCs w:val="20"/>
          <w:color w:val="auto"/>
        </w:rPr>
      </w:pPr>
    </w:p>
    <w:p>
      <w:pPr>
        <w:jc w:val="right"/>
        <w:ind w:right="860"/>
        <w:spacing w:after="0"/>
        <w:tabs>
          <w:tab w:leader="none" w:pos="1320" w:val="left"/>
        </w:tabs>
        <w:rPr>
          <w:sz w:val="20"/>
          <w:szCs w:val="20"/>
          <w:color w:val="auto"/>
        </w:rPr>
      </w:pPr>
      <w:r>
        <w:rPr>
          <w:rFonts w:ascii="Arial" w:cs="Arial" w:eastAsia="Arial" w:hAnsi="Arial"/>
          <w:sz w:val="18"/>
          <w:szCs w:val="18"/>
          <w:color w:val="auto"/>
        </w:rPr>
        <w:t>Three Months Ended</w:t>
      </w:r>
      <w:r>
        <w:rPr>
          <w:sz w:val="20"/>
          <w:szCs w:val="20"/>
          <w:color w:val="auto"/>
        </w:rPr>
        <w:tab/>
      </w:r>
      <w:r>
        <w:rPr>
          <w:rFonts w:ascii="Arial" w:cs="Arial" w:eastAsia="Arial" w:hAnsi="Arial"/>
          <w:sz w:val="16"/>
          <w:szCs w:val="16"/>
          <w:color w:val="auto"/>
        </w:rPr>
        <w:t>Six Months Ended</w:t>
      </w:r>
    </w:p>
    <w:p>
      <w:pPr>
        <w:ind w:left="6100"/>
        <w:spacing w:after="0"/>
        <w:tabs>
          <w:tab w:leader="none" w:pos="9400" w:val="left"/>
        </w:tabs>
        <w:rPr>
          <w:sz w:val="20"/>
          <w:szCs w:val="20"/>
          <w:color w:val="auto"/>
        </w:rPr>
      </w:pPr>
      <w:r>
        <w:rPr>
          <w:rFonts w:ascii="Arial" w:cs="Arial" w:eastAsia="Arial" w:hAnsi="Arial"/>
          <w:sz w:val="18"/>
          <w:szCs w:val="18"/>
          <w:color w:val="auto"/>
        </w:rPr>
        <w:t>June 30,</w:t>
      </w:r>
      <w:r>
        <w:rPr>
          <w:sz w:val="20"/>
          <w:szCs w:val="20"/>
          <w:color w:val="auto"/>
        </w:rPr>
        <w:tab/>
      </w:r>
      <w:r>
        <w:rPr>
          <w:rFonts w:ascii="Arial" w:cs="Arial" w:eastAsia="Arial" w:hAnsi="Arial"/>
          <w:sz w:val="15"/>
          <w:szCs w:val="15"/>
          <w:color w:val="auto"/>
        </w:rPr>
        <w:t>June 30,</w:t>
      </w:r>
    </w:p>
    <w:p>
      <w:pPr>
        <w:sectPr>
          <w:pgSz w:w="11900" w:h="16838" w:orient="portrait"/>
          <w:cols w:equalWidth="0" w:num="1">
            <w:col w:w="11240"/>
          </w:cols>
          <w:pgMar w:left="320" w:top="130"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 in millions)</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Proprietary Products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Contract-Manufactured Products</w:t>
      </w:r>
    </w:p>
    <w:p>
      <w:pPr>
        <w:spacing w:after="0" w:line="58" w:lineRule="exact"/>
        <w:rPr>
          <w:sz w:val="20"/>
          <w:szCs w:val="20"/>
          <w:color w:val="auto"/>
        </w:rPr>
      </w:pPr>
    </w:p>
    <w:p>
      <w:pPr>
        <w:ind w:left="20"/>
        <w:spacing w:after="0"/>
        <w:rPr>
          <w:sz w:val="20"/>
          <w:szCs w:val="20"/>
          <w:color w:val="auto"/>
        </w:rPr>
      </w:pPr>
      <w:r>
        <w:rPr>
          <w:rFonts w:ascii="Arial" w:cs="Arial" w:eastAsia="Arial" w:hAnsi="Arial"/>
          <w:sz w:val="16"/>
          <w:szCs w:val="16"/>
          <w:color w:val="auto"/>
        </w:rPr>
        <w:t>Corporate and unallocated items</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SG&amp;A costs</w:t>
      </w:r>
    </w:p>
    <w:p>
      <w:pPr>
        <w:spacing w:after="0" w:line="77" w:lineRule="exact"/>
        <w:rPr>
          <w:sz w:val="20"/>
          <w:szCs w:val="20"/>
          <w:color w:val="auto"/>
        </w:rPr>
      </w:pPr>
    </w:p>
    <w:p>
      <w:pPr>
        <w:ind w:left="360"/>
        <w:spacing w:after="0"/>
        <w:rPr>
          <w:sz w:val="20"/>
          <w:szCs w:val="20"/>
          <w:color w:val="auto"/>
        </w:rPr>
      </w:pPr>
      <w:r>
        <w:rPr>
          <w:rFonts w:ascii="Arial" w:cs="Arial" w:eastAsia="Arial" w:hAnsi="Arial"/>
          <w:sz w:val="17"/>
          <w:szCs w:val="17"/>
          <w:i w:val="1"/>
          <w:iCs w:val="1"/>
          <w:color w:val="auto"/>
        </w:rPr>
        <w:t>SG&amp;A as a % of net sales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7"/>
        </w:trPr>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2023</w:t>
            </w:r>
          </w:p>
        </w:tc>
        <w:tc>
          <w:tcPr>
            <w:tcW w:w="120" w:type="dxa"/>
            <w:vAlign w:val="bottom"/>
            <w:tcBorders>
              <w:top w:val="single" w:sz="8" w:color="auto"/>
            </w:tcBorders>
          </w:tcPr>
          <w:p>
            <w:pPr>
              <w:spacing w:after="0"/>
              <w:rPr>
                <w:sz w:val="20"/>
                <w:szCs w:val="20"/>
                <w:color w:val="auto"/>
              </w:rPr>
            </w:pPr>
          </w:p>
        </w:tc>
        <w:tc>
          <w:tcPr>
            <w:tcW w:w="380" w:type="dxa"/>
            <w:vAlign w:val="bottom"/>
            <w:tcBorders>
              <w:top w:val="single" w:sz="8" w:color="auto"/>
              <w:bottom w:val="single" w:sz="8" w:color="auto"/>
            </w:tcBorders>
          </w:tcPr>
          <w:p>
            <w:pPr>
              <w:spacing w:after="0"/>
              <w:rPr>
                <w:sz w:val="20"/>
                <w:szCs w:val="20"/>
                <w:color w:val="auto"/>
              </w:rPr>
            </w:pPr>
          </w:p>
        </w:tc>
        <w:tc>
          <w:tcPr>
            <w:tcW w:w="1240" w:type="dxa"/>
            <w:vAlign w:val="bottom"/>
            <w:tcBorders>
              <w:top w:val="single" w:sz="8" w:color="auto"/>
              <w:bottom w:val="single" w:sz="8" w:color="auto"/>
            </w:tcBorders>
          </w:tcPr>
          <w:p>
            <w:pPr>
              <w:jc w:val="right"/>
              <w:ind w:right="530"/>
              <w:spacing w:after="0"/>
              <w:rPr>
                <w:sz w:val="20"/>
                <w:szCs w:val="20"/>
                <w:color w:val="auto"/>
              </w:rPr>
            </w:pPr>
            <w:r>
              <w:rPr>
                <w:rFonts w:ascii="Arial" w:cs="Arial" w:eastAsia="Arial" w:hAnsi="Arial"/>
                <w:sz w:val="18"/>
                <w:szCs w:val="18"/>
                <w:color w:val="auto"/>
              </w:rPr>
              <w:t>2022</w:t>
            </w:r>
          </w:p>
        </w:tc>
        <w:tc>
          <w:tcPr>
            <w:tcW w:w="120" w:type="dxa"/>
            <w:vAlign w:val="bottom"/>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Borders>
              <w:top w:val="single" w:sz="8" w:color="auto"/>
            </w:tcBorders>
          </w:tcPr>
          <w:p>
            <w:pPr>
              <w:spacing w:after="0"/>
              <w:rPr>
                <w:sz w:val="20"/>
                <w:szCs w:val="20"/>
                <w:color w:val="auto"/>
              </w:rPr>
            </w:pPr>
          </w:p>
        </w:tc>
        <w:tc>
          <w:tcPr>
            <w:tcW w:w="340" w:type="dxa"/>
            <w:vAlign w:val="bottom"/>
            <w:tcBorders>
              <w:top w:val="single" w:sz="8" w:color="auto"/>
              <w:bottom w:val="single" w:sz="8" w:color="auto"/>
            </w:tcBorders>
          </w:tcPr>
          <w:p>
            <w:pPr>
              <w:spacing w:after="0"/>
              <w:rPr>
                <w:sz w:val="20"/>
                <w:szCs w:val="20"/>
                <w:color w:val="auto"/>
              </w:rPr>
            </w:pPr>
          </w:p>
        </w:tc>
        <w:tc>
          <w:tcPr>
            <w:tcW w:w="114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color w:val="auto"/>
              </w:rPr>
              <w:t>2022</w:t>
            </w:r>
          </w:p>
        </w:tc>
      </w:tr>
      <w:tr>
        <w:trPr>
          <w:trHeight w:val="222"/>
        </w:trPr>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58.9</w:t>
            </w:r>
          </w:p>
        </w:tc>
        <w:tc>
          <w:tcPr>
            <w:tcW w:w="12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55.4</w:t>
            </w:r>
          </w:p>
        </w:tc>
        <w:tc>
          <w:tcPr>
            <w:tcW w:w="12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115.4</w:t>
            </w:r>
          </w:p>
        </w:tc>
        <w:tc>
          <w:tcPr>
            <w:tcW w:w="100" w:type="dxa"/>
            <w:vAlign w:val="bottom"/>
          </w:tcPr>
          <w:p>
            <w:pPr>
              <w:spacing w:after="0"/>
              <w:rPr>
                <w:sz w:val="19"/>
                <w:szCs w:val="19"/>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111.3</w:t>
            </w:r>
          </w:p>
        </w:tc>
      </w:tr>
      <w:tr>
        <w:trPr>
          <w:trHeight w:val="230"/>
        </w:trPr>
        <w:tc>
          <w:tcPr>
            <w:tcW w:w="3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40" w:type="dxa"/>
            <w:vAlign w:val="bottom"/>
          </w:tcPr>
          <w:p>
            <w:pPr>
              <w:jc w:val="right"/>
              <w:ind w:right="110"/>
              <w:spacing w:after="0"/>
              <w:rPr>
                <w:sz w:val="20"/>
                <w:szCs w:val="20"/>
                <w:color w:val="auto"/>
              </w:rPr>
            </w:pPr>
            <w:r>
              <w:rPr>
                <w:rFonts w:ascii="Arial" w:cs="Arial" w:eastAsia="Arial" w:hAnsi="Arial"/>
                <w:sz w:val="18"/>
                <w:szCs w:val="18"/>
                <w:color w:val="auto"/>
              </w:rPr>
              <w:t>4.9</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12.1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9.7</w:t>
            </w:r>
          </w:p>
        </w:tc>
      </w:tr>
      <w:tr>
        <w:trPr>
          <w:trHeight w:val="243"/>
        </w:trPr>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23.4</w:t>
            </w:r>
          </w:p>
        </w:tc>
        <w:tc>
          <w:tcPr>
            <w:tcW w:w="12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21.2</w:t>
            </w:r>
          </w:p>
        </w:tc>
        <w:tc>
          <w:tcPr>
            <w:tcW w:w="1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46.9</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43.9</w:t>
            </w:r>
          </w:p>
        </w:tc>
      </w:tr>
      <w:tr>
        <w:trPr>
          <w:trHeight w:val="223"/>
        </w:trPr>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88.4</w:t>
            </w:r>
          </w:p>
        </w:tc>
        <w:tc>
          <w:tcPr>
            <w:tcW w:w="12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81.5</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164.9</w:t>
            </w:r>
          </w:p>
        </w:tc>
      </w:tr>
      <w:tr>
        <w:trPr>
          <w:trHeight w:val="21"/>
        </w:trPr>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r>
        <w:trPr>
          <w:trHeight w:val="230"/>
        </w:trPr>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11.7 %</w:t>
            </w:r>
          </w:p>
        </w:tc>
        <w:tc>
          <w:tcPr>
            <w:tcW w:w="1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10.6 %</w:t>
            </w: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11.9 %</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i w:val="1"/>
                <w:iCs w:val="1"/>
                <w:color w:val="auto"/>
              </w:rPr>
              <w:t>11.1 %</w:t>
            </w:r>
          </w:p>
        </w:tc>
      </w:tr>
      <w:tr>
        <w:trPr>
          <w:trHeight w:val="27"/>
        </w:trPr>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-2978785</wp:posOffset>
            </wp:positionH>
            <wp:positionV relativeFrom="paragraph">
              <wp:posOffset>-830580</wp:posOffset>
            </wp:positionV>
            <wp:extent cx="713232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-521970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-2978785</wp:posOffset>
            </wp:positionH>
            <wp:positionV relativeFrom="paragraph">
              <wp:posOffset>-205105</wp:posOffset>
            </wp:positionV>
            <wp:extent cx="7132320" cy="18859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7132320" cy="18859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80" w:space="720"/>
            <w:col w:w="6540"/>
          </w:cols>
          <w:pgMar w:left="320" w:top="130" w:right="339" w:bottom="1440" w:gutter="0" w:footer="0" w:header="0"/>
          <w:type w:val="continuous"/>
        </w:sectPr>
      </w:pPr>
    </w:p>
    <w:p>
      <w:pPr>
        <w:spacing w:after="0" w:line="110" w:lineRule="exact"/>
        <w:rPr>
          <w:sz w:val="20"/>
          <w:szCs w:val="20"/>
          <w:color w:val="auto"/>
        </w:rPr>
      </w:pPr>
    </w:p>
    <w:p>
      <w:pPr>
        <w:ind w:right="440"/>
        <w:spacing w:after="0" w:line="342" w:lineRule="auto"/>
        <w:rPr>
          <w:sz w:val="20"/>
          <w:szCs w:val="20"/>
          <w:color w:val="auto"/>
        </w:rPr>
      </w:pPr>
      <w:r>
        <w:rPr>
          <w:rFonts w:ascii="Arial" w:cs="Arial" w:eastAsia="Arial" w:hAnsi="Arial"/>
          <w:sz w:val="16"/>
          <w:szCs w:val="16"/>
          <w:color w:val="auto"/>
        </w:rPr>
        <w:t>Consolidated SG&amp;A costs increased by $6.9 million, or 8.5%, for the three months ended June 30, 2023, as compared to the same period in 2022, due primarily to an increase in compensation costs, IT related costs and an unfavorable foreign currency translation impact of $0.2 million.</w:t>
      </w:r>
    </w:p>
    <w:p>
      <w:pPr>
        <w:spacing w:after="0" w:line="15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Consolidated SG&amp;A costs increased by $9.5 million, or 5.8%, for the six months ended June 30, 2023, as compared to the same period in 2022, due primarily to an increase in compensation costs, offset by a decrease in costs related to professional services and a favorable foreign currency translation impact of $0.7 million.</w:t>
      </w:r>
    </w:p>
    <w:p>
      <w:pPr>
        <w:spacing w:after="0" w:line="207" w:lineRule="exact"/>
        <w:rPr>
          <w:sz w:val="20"/>
          <w:szCs w:val="20"/>
          <w:color w:val="auto"/>
        </w:rPr>
      </w:pPr>
    </w:p>
    <w:p>
      <w:pPr>
        <w:ind w:right="240"/>
        <w:spacing w:after="0" w:line="347" w:lineRule="auto"/>
        <w:rPr>
          <w:sz w:val="20"/>
          <w:szCs w:val="20"/>
          <w:color w:val="auto"/>
        </w:rPr>
      </w:pPr>
      <w:r>
        <w:rPr>
          <w:rFonts w:ascii="Arial" w:cs="Arial" w:eastAsia="Arial" w:hAnsi="Arial"/>
          <w:sz w:val="16"/>
          <w:szCs w:val="16"/>
          <w:b w:val="1"/>
          <w:bCs w:val="1"/>
          <w:color w:val="auto"/>
        </w:rPr>
        <w:t xml:space="preserve">Proprietary Products - </w:t>
      </w:r>
      <w:r>
        <w:rPr>
          <w:rFonts w:ascii="Arial" w:cs="Arial" w:eastAsia="Arial" w:hAnsi="Arial"/>
          <w:sz w:val="16"/>
          <w:szCs w:val="16"/>
          <w:color w:val="auto"/>
        </w:rPr>
        <w:t>Proprietary Products SG&amp;A costs increased by $3.5 million, or 6.3%, for the three months ended June 30, 2023, as compared to</w:t>
      </w:r>
      <w:r>
        <w:rPr>
          <w:rFonts w:ascii="Arial" w:cs="Arial" w:eastAsia="Arial" w:hAnsi="Arial"/>
          <w:sz w:val="16"/>
          <w:szCs w:val="16"/>
          <w:b w:val="1"/>
          <w:bCs w:val="1"/>
          <w:color w:val="auto"/>
        </w:rPr>
        <w:t xml:space="preserve"> </w:t>
      </w:r>
      <w:r>
        <w:rPr>
          <w:rFonts w:ascii="Arial" w:cs="Arial" w:eastAsia="Arial" w:hAnsi="Arial"/>
          <w:sz w:val="16"/>
          <w:szCs w:val="16"/>
          <w:color w:val="auto"/>
        </w:rPr>
        <w:t>the same period in 2022. Proprietary Products SG&amp;A costs increased primarily due to an increase in compensation costs and IT related costs.</w:t>
      </w:r>
    </w:p>
    <w:p>
      <w:pPr>
        <w:spacing w:after="0" w:line="147"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Proprietary Products SG&amp;A costs increased by $4.1 million, or 3.7%, for the six months ended June 30, 2023, as compared to the same period in 2022. Proprietary Products SG&amp;A costs increased primarily due to an increase in compensation costs and IT related costs, offset by a favorable foreign currency translation impact of $0.6 million.</w:t>
      </w:r>
    </w:p>
    <w:p>
      <w:pPr>
        <w:spacing w:after="0" w:line="207" w:lineRule="exact"/>
        <w:rPr>
          <w:sz w:val="20"/>
          <w:szCs w:val="20"/>
          <w:color w:val="auto"/>
        </w:rPr>
      </w:pPr>
    </w:p>
    <w:p>
      <w:pPr>
        <w:ind w:right="24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SG&amp;A costs increased by $1.2 million, or 24.5%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2023, as compared to the same period in 2022, and increased by $2.4 million, or 24.7% for the six months ended June 30, 2023, as compared to the same period in 2022, primarily due to a higher allocation of corporate function spend.</w:t>
      </w:r>
    </w:p>
    <w:p>
      <w:pPr>
        <w:spacing w:after="0" w:line="203" w:lineRule="exact"/>
        <w:rPr>
          <w:sz w:val="20"/>
          <w:szCs w:val="20"/>
          <w:color w:val="auto"/>
        </w:rPr>
      </w:pPr>
    </w:p>
    <w:p>
      <w:pPr>
        <w:ind w:right="20"/>
        <w:spacing w:after="0" w:line="282" w:lineRule="auto"/>
        <w:rPr>
          <w:sz w:val="20"/>
          <w:szCs w:val="20"/>
          <w:color w:val="auto"/>
        </w:rPr>
      </w:pPr>
      <w:r>
        <w:rPr>
          <w:rFonts w:ascii="Arial" w:cs="Arial" w:eastAsia="Arial" w:hAnsi="Arial"/>
          <w:sz w:val="18"/>
          <w:szCs w:val="18"/>
          <w:b w:val="1"/>
          <w:bCs w:val="1"/>
          <w:color w:val="auto"/>
        </w:rPr>
        <w:t xml:space="preserve">Corporate and unallocated items - </w:t>
      </w:r>
      <w:r>
        <w:rPr>
          <w:rFonts w:ascii="Arial" w:cs="Arial" w:eastAsia="Arial" w:hAnsi="Arial"/>
          <w:sz w:val="18"/>
          <w:szCs w:val="18"/>
          <w:color w:val="auto"/>
        </w:rPr>
        <w:t>Corporate SG&amp;A costs increased by $2.2 million, or 10.4%, for the three months ended June 30, 2023, as compared to</w:t>
      </w:r>
      <w:r>
        <w:rPr>
          <w:rFonts w:ascii="Arial" w:cs="Arial" w:eastAsia="Arial" w:hAnsi="Arial"/>
          <w:sz w:val="18"/>
          <w:szCs w:val="18"/>
          <w:b w:val="1"/>
          <w:bCs w:val="1"/>
          <w:color w:val="auto"/>
        </w:rPr>
        <w:t xml:space="preserve"> </w:t>
      </w:r>
      <w:r>
        <w:rPr>
          <w:rFonts w:ascii="Arial" w:cs="Arial" w:eastAsia="Arial" w:hAnsi="Arial"/>
          <w:sz w:val="18"/>
          <w:szCs w:val="18"/>
          <w:color w:val="auto"/>
        </w:rPr>
        <w:t>the same period in 2022, primarily due to an increase in mark-to-market expense related to stock-based compensation.</w:t>
      </w:r>
    </w:p>
    <w:p>
      <w:pPr>
        <w:spacing w:after="0" w:line="19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Corporate SG&amp;A costs increased by $3.0 million, or 6.8%, for the six months ended June 30, 2023, as compared to the same period in 2022, primarily due to an increase in mark-to-market expense related to stock-based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4" w:name="page35"/>
    <w:bookmarkEnd w:id="34"/>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Expense (Income)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other expense and income items, consolidated and by reportable segment, corporate and unallocated items:</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000" w:type="dxa"/>
            <w:vAlign w:val="bottom"/>
          </w:tcPr>
          <w:p>
            <w:pPr>
              <w:spacing w:after="0"/>
              <w:rPr>
                <w:sz w:val="17"/>
                <w:szCs w:val="17"/>
                <w:color w:val="auto"/>
              </w:rPr>
            </w:pPr>
          </w:p>
        </w:tc>
        <w:tc>
          <w:tcPr>
            <w:tcW w:w="2740" w:type="dxa"/>
            <w:vAlign w:val="bottom"/>
            <w:gridSpan w:val="4"/>
          </w:tcPr>
          <w:p>
            <w:pPr>
              <w:jc w:val="right"/>
              <w:ind w:right="270"/>
              <w:spacing w:after="0"/>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rPr>
                <w:sz w:val="20"/>
                <w:szCs w:val="20"/>
                <w:color w:val="auto"/>
              </w:rPr>
            </w:pPr>
            <w:r>
              <w:rPr>
                <w:rFonts w:ascii="Arial" w:cs="Arial" w:eastAsia="Arial" w:hAnsi="Arial"/>
                <w:sz w:val="18"/>
                <w:szCs w:val="18"/>
                <w:color w:val="auto"/>
              </w:rPr>
              <w:t>Six Months Ended</w:t>
            </w:r>
          </w:p>
        </w:tc>
      </w:tr>
      <w:tr>
        <w:trPr>
          <w:trHeight w:val="243"/>
        </w:trPr>
        <w:tc>
          <w:tcPr>
            <w:tcW w:w="5000" w:type="dxa"/>
            <w:vAlign w:val="bottom"/>
          </w:tcPr>
          <w:p>
            <w:pPr>
              <w:ind w:left="20"/>
              <w:spacing w:after="0"/>
              <w:rPr>
                <w:sz w:val="20"/>
                <w:szCs w:val="20"/>
                <w:color w:val="auto"/>
              </w:rPr>
            </w:pPr>
            <w:r>
              <w:rPr>
                <w:rFonts w:ascii="Arial" w:cs="Arial" w:eastAsia="Arial" w:hAnsi="Arial"/>
                <w:sz w:val="18"/>
                <w:szCs w:val="18"/>
                <w:color w:val="auto"/>
              </w:rPr>
              <w:t>Expense (Income)</w:t>
            </w:r>
          </w:p>
        </w:tc>
        <w:tc>
          <w:tcPr>
            <w:tcW w:w="1060" w:type="dxa"/>
            <w:vAlign w:val="bottom"/>
            <w:tcBorders>
              <w:bottom w:val="single" w:sz="8" w:color="auto"/>
            </w:tcBorders>
          </w:tcPr>
          <w:p>
            <w:pPr>
              <w:spacing w:after="0"/>
              <w:rPr>
                <w:sz w:val="21"/>
                <w:szCs w:val="21"/>
                <w:color w:val="auto"/>
              </w:rPr>
            </w:pPr>
          </w:p>
        </w:tc>
        <w:tc>
          <w:tcPr>
            <w:tcW w:w="16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21"/>
                <w:szCs w:val="21"/>
                <w:color w:val="auto"/>
              </w:rPr>
            </w:pPr>
          </w:p>
        </w:tc>
        <w:tc>
          <w:tcPr>
            <w:tcW w:w="14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1"/>
                <w:szCs w:val="21"/>
                <w:color w:val="auto"/>
              </w:rPr>
            </w:pP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50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1.8</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(1.4)</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(4.6)</w:t>
            </w:r>
          </w:p>
        </w:tc>
      </w:tr>
      <w:tr>
        <w:trPr>
          <w:trHeight w:val="237"/>
        </w:trPr>
        <w:tc>
          <w:tcPr>
            <w:tcW w:w="50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60" w:type="dxa"/>
            <w:vAlign w:val="bottom"/>
          </w:tcPr>
          <w:p>
            <w:pPr>
              <w:spacing w:after="0"/>
              <w:rPr>
                <w:sz w:val="20"/>
                <w:szCs w:val="20"/>
                <w:color w:val="auto"/>
              </w:rPr>
            </w:pPr>
          </w:p>
        </w:tc>
        <w:tc>
          <w:tcPr>
            <w:tcW w:w="500" w:type="dxa"/>
            <w:vAlign w:val="bottom"/>
          </w:tcPr>
          <w:p>
            <w:pPr>
              <w:jc w:val="center"/>
              <w:spacing w:after="0"/>
              <w:rPr>
                <w:sz w:val="20"/>
                <w:szCs w:val="20"/>
                <w:color w:val="auto"/>
              </w:rPr>
            </w:pPr>
            <w:r>
              <w:rPr>
                <w:rFonts w:ascii="Arial" w:cs="Arial" w:eastAsia="Arial" w:hAnsi="Arial"/>
                <w:sz w:val="18"/>
                <w:szCs w:val="18"/>
                <w:color w:val="auto"/>
                <w:w w:val="91"/>
              </w:rPr>
              <w:t>(0.1)</w:t>
            </w: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jc w:val="center"/>
              <w:ind w:left="50"/>
              <w:spacing w:after="0"/>
              <w:rPr>
                <w:sz w:val="20"/>
                <w:szCs w:val="20"/>
                <w:color w:val="auto"/>
              </w:rPr>
            </w:pPr>
            <w:r>
              <w:rPr>
                <w:rFonts w:ascii="Arial" w:cs="Arial" w:eastAsia="Arial" w:hAnsi="Arial"/>
                <w:sz w:val="18"/>
                <w:szCs w:val="18"/>
                <w:color w:val="auto"/>
                <w:w w:val="87"/>
              </w:rPr>
              <w:t>0.1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jc w:val="center"/>
              <w:ind w:left="530"/>
              <w:spacing w:after="0"/>
              <w:rPr>
                <w:sz w:val="20"/>
                <w:szCs w:val="20"/>
                <w:color w:val="auto"/>
              </w:rPr>
            </w:pPr>
            <w:r>
              <w:rPr>
                <w:rFonts w:ascii="Arial" w:cs="Arial" w:eastAsia="Arial" w:hAnsi="Arial"/>
                <w:sz w:val="18"/>
                <w:szCs w:val="18"/>
                <w:color w:val="auto"/>
                <w:w w:val="87"/>
              </w:rPr>
              <w:t>0.1</w:t>
            </w:r>
          </w:p>
        </w:tc>
      </w:tr>
      <w:tr>
        <w:trPr>
          <w:trHeight w:val="236"/>
        </w:trPr>
        <w:tc>
          <w:tcPr>
            <w:tcW w:w="5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w:t>
            </w:r>
          </w:p>
        </w:tc>
        <w:tc>
          <w:tcPr>
            <w:tcW w:w="1060" w:type="dxa"/>
            <w:vAlign w:val="bottom"/>
            <w:tcBorders>
              <w:bottom w:val="single" w:sz="8" w:color="auto"/>
            </w:tcBorders>
            <w:shd w:val="clear" w:color="auto" w:fill="CCEEFF"/>
          </w:tcPr>
          <w:p>
            <w:pPr>
              <w:spacing w:after="0"/>
              <w:rPr>
                <w:sz w:val="20"/>
                <w:szCs w:val="20"/>
                <w:color w:val="auto"/>
              </w:rPr>
            </w:pP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2.3</w:t>
            </w:r>
          </w:p>
        </w:tc>
        <w:tc>
          <w:tcPr>
            <w:tcW w:w="120" w:type="dxa"/>
            <w:vAlign w:val="bottom"/>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spacing w:after="0"/>
              <w:rPr>
                <w:sz w:val="20"/>
                <w:szCs w:val="20"/>
                <w:color w:val="auto"/>
              </w:rPr>
            </w:pPr>
          </w:p>
        </w:tc>
        <w:tc>
          <w:tcPr>
            <w:tcW w:w="480" w:type="dxa"/>
            <w:vAlign w:val="bottom"/>
            <w:tcBorders>
              <w:bottom w:val="single" w:sz="8" w:color="auto"/>
            </w:tcBorders>
            <w:shd w:val="clear" w:color="auto" w:fill="CCEEFF"/>
          </w:tcPr>
          <w:p>
            <w:pPr>
              <w:jc w:val="center"/>
              <w:ind w:left="10"/>
              <w:spacing w:after="0"/>
              <w:rPr>
                <w:sz w:val="20"/>
                <w:szCs w:val="20"/>
                <w:color w:val="auto"/>
              </w:rPr>
            </w:pPr>
            <w:r>
              <w:rPr>
                <w:rFonts w:ascii="Arial" w:cs="Arial" w:eastAsia="Arial" w:hAnsi="Arial"/>
                <w:sz w:val="18"/>
                <w:szCs w:val="18"/>
                <w:color w:val="auto"/>
                <w:w w:val="91"/>
              </w:rPr>
              <w:t>(1.5)</w:t>
            </w:r>
          </w:p>
        </w:tc>
        <w:tc>
          <w:tcPr>
            <w:tcW w:w="140" w:type="dxa"/>
            <w:vAlign w:val="bottom"/>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w:t>
            </w:r>
          </w:p>
        </w:tc>
        <w:tc>
          <w:tcPr>
            <w:tcW w:w="100" w:type="dxa"/>
            <w:vAlign w:val="bottom"/>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center"/>
              <w:ind w:left="510"/>
              <w:spacing w:after="0"/>
              <w:rPr>
                <w:sz w:val="20"/>
                <w:szCs w:val="20"/>
                <w:color w:val="auto"/>
              </w:rPr>
            </w:pPr>
            <w:r>
              <w:rPr>
                <w:rFonts w:ascii="Arial" w:cs="Arial" w:eastAsia="Arial" w:hAnsi="Arial"/>
                <w:sz w:val="18"/>
                <w:szCs w:val="18"/>
                <w:color w:val="auto"/>
                <w:w w:val="97"/>
              </w:rPr>
              <w:t>(1.4)</w:t>
            </w:r>
          </w:p>
        </w:tc>
      </w:tr>
      <w:tr>
        <w:trPr>
          <w:trHeight w:val="223"/>
        </w:trPr>
        <w:tc>
          <w:tcPr>
            <w:tcW w:w="5000" w:type="dxa"/>
            <w:vAlign w:val="bottom"/>
          </w:tcPr>
          <w:p>
            <w:pPr>
              <w:ind w:left="20"/>
              <w:spacing w:after="0"/>
              <w:rPr>
                <w:sz w:val="20"/>
                <w:szCs w:val="20"/>
                <w:color w:val="auto"/>
              </w:rPr>
            </w:pPr>
            <w:r>
              <w:rPr>
                <w:rFonts w:ascii="Arial" w:cs="Arial" w:eastAsia="Arial" w:hAnsi="Arial"/>
                <w:sz w:val="18"/>
                <w:szCs w:val="18"/>
                <w:color w:val="auto"/>
              </w:rPr>
              <w:t>Consolidated other expense (income)</w:t>
            </w: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center"/>
              <w:ind w:left="30"/>
              <w:spacing w:after="0"/>
              <w:rPr>
                <w:sz w:val="20"/>
                <w:szCs w:val="20"/>
                <w:color w:val="auto"/>
              </w:rPr>
            </w:pPr>
            <w:r>
              <w:rPr>
                <w:rFonts w:ascii="Arial" w:cs="Arial" w:eastAsia="Arial" w:hAnsi="Arial"/>
                <w:sz w:val="18"/>
                <w:szCs w:val="18"/>
                <w:color w:val="auto"/>
                <w:w w:val="87"/>
              </w:rPr>
              <w:t>4.0</w:t>
            </w:r>
          </w:p>
        </w:tc>
        <w:tc>
          <w:tcPr>
            <w:tcW w:w="120" w:type="dxa"/>
            <w:vAlign w:val="bottom"/>
          </w:tcPr>
          <w:p>
            <w:pPr>
              <w:spacing w:after="0"/>
              <w:rPr>
                <w:sz w:val="19"/>
                <w:szCs w:val="19"/>
                <w:color w:val="auto"/>
              </w:rPr>
            </w:pPr>
          </w:p>
        </w:tc>
        <w:tc>
          <w:tcPr>
            <w:tcW w:w="1060" w:type="dxa"/>
            <w:vAlign w:val="bottom"/>
            <w:tcBorders>
              <w:bottom w:val="single" w:sz="8" w:color="auto"/>
            </w:tcBorders>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(2.8)</w:t>
            </w:r>
          </w:p>
        </w:tc>
        <w:tc>
          <w:tcPr>
            <w:tcW w:w="1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7"/>
              </w:rPr>
              <w:t>(5.9)</w:t>
            </w:r>
          </w:p>
        </w:tc>
      </w:tr>
      <w:tr>
        <w:trPr>
          <w:trHeight w:val="21"/>
        </w:trPr>
        <w:tc>
          <w:tcPr>
            <w:tcW w:w="50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right="820"/>
        <w:spacing w:after="0" w:line="277" w:lineRule="auto"/>
        <w:rPr>
          <w:sz w:val="20"/>
          <w:szCs w:val="20"/>
          <w:color w:val="auto"/>
        </w:rPr>
      </w:pPr>
      <w:r>
        <w:rPr>
          <w:rFonts w:ascii="Arial" w:cs="Arial" w:eastAsia="Arial" w:hAnsi="Arial"/>
          <w:sz w:val="18"/>
          <w:szCs w:val="18"/>
          <w:color w:val="auto"/>
        </w:rPr>
        <w:t>Other expense and income items consist of foreign exchange transaction gains and losses, gains and losses on the sale of fixed assets, contingent consideration, fixed asset impairments and miscellaneous income and charges.</w:t>
      </w:r>
    </w:p>
    <w:p>
      <w:pPr>
        <w:spacing w:after="0" w:line="197"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Consolidated other expense (income) changed by $6.8 million for the three months ended June 30, 2023, as compared to the same period in 2022, and changed by $22.8 million for the six months ended June 30, 2023, as compared to the same period in 2022, due to the factors described below.</w:t>
      </w:r>
    </w:p>
    <w:p>
      <w:pPr>
        <w:spacing w:after="0" w:line="147" w:lineRule="exact"/>
        <w:rPr>
          <w:sz w:val="20"/>
          <w:szCs w:val="20"/>
          <w:color w:val="auto"/>
        </w:rPr>
      </w:pPr>
    </w:p>
    <w:p>
      <w:pPr>
        <w:ind w:right="120"/>
        <w:spacing w:after="0" w:line="281" w:lineRule="auto"/>
        <w:rPr>
          <w:sz w:val="20"/>
          <w:szCs w:val="20"/>
          <w:color w:val="auto"/>
        </w:rPr>
      </w:pPr>
      <w:r>
        <w:rPr>
          <w:rFonts w:ascii="Arial" w:cs="Arial" w:eastAsia="Arial" w:hAnsi="Arial"/>
          <w:sz w:val="17"/>
          <w:szCs w:val="17"/>
          <w:b w:val="1"/>
          <w:bCs w:val="1"/>
          <w:color w:val="auto"/>
        </w:rPr>
        <w:t xml:space="preserve">Proprietary Products - </w:t>
      </w:r>
      <w:r>
        <w:rPr>
          <w:rFonts w:ascii="Arial" w:cs="Arial" w:eastAsia="Arial" w:hAnsi="Arial"/>
          <w:sz w:val="17"/>
          <w:szCs w:val="17"/>
          <w:color w:val="auto"/>
        </w:rPr>
        <w:t>Proprietary Products other expense (income) changed by $3.2 million for the three months ended June 30, 2023,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the same period in 2022, primarily due to a loss on foreign exchange transactions being recorded in the three months ended June 30, 2023, while a gain on foreign exchange transactions was recorded during the same period in 2022. Additionally, a $0.4 million loss related to oil hedges was recorded during the three months ended June 30, 2023, while a gain of $0.3 million was recorded in the same period in 2022.</w:t>
      </w:r>
    </w:p>
    <w:p>
      <w:pPr>
        <w:spacing w:after="0" w:line="196"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Proprietary Products other expense (income) changed by $9.9 million for the six months ended June 30, 2023, as compared to the same period in 2022, primarily due to $1.0 million of losses related to oil hedges being recorded during the six months ended June 30, 2023, as compared to $3.1 million of gains related to oil hedges being recorded over the same period in 2022. Additionally, there were asset impairments of $3.4 million recorded in the six months ended June 30, 2023, while $0.2 million of asset impairments were recorded in the same period in 2022. Lastly, a loss on foreign exchange transactions was recorded during the six months ended June 30, 2023, while a gain on foreign exchange transactions was recorded during the same period in 2022.</w:t>
      </w:r>
    </w:p>
    <w:p>
      <w:pPr>
        <w:spacing w:after="0" w:line="184" w:lineRule="exact"/>
        <w:rPr>
          <w:sz w:val="20"/>
          <w:szCs w:val="20"/>
          <w:color w:val="auto"/>
        </w:rPr>
      </w:pPr>
    </w:p>
    <w:p>
      <w:pPr>
        <w:ind w:right="44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other expense (income) changed by $0.2 million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2023, as compared to the same period in 2022 and changed by $0.1 million for the six months ended June 30, 2023, as compared to the same period in 2022.</w:t>
      </w:r>
    </w:p>
    <w:p>
      <w:pPr>
        <w:spacing w:after="0" w:line="203"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b w:val="1"/>
          <w:bCs w:val="1"/>
          <w:color w:val="auto"/>
        </w:rPr>
        <w:t xml:space="preserve">Corporate and unallocated items - </w:t>
      </w:r>
      <w:r>
        <w:rPr>
          <w:rFonts w:ascii="Arial" w:cs="Arial" w:eastAsia="Arial" w:hAnsi="Arial"/>
          <w:sz w:val="17"/>
          <w:szCs w:val="17"/>
          <w:color w:val="auto"/>
        </w:rPr>
        <w:t>Corporate and unallocated items changed by $3.8 million for the three months ended June 30, 2023, as compared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the same period in 2022, primarily due to a $2.2 million charge during the three months ended June 30, 2023 for the sale of one of the Company’s manufacturing facilities within the Proprietary Products segment. Additionally, the Company recorded a benefit of $0.8 million and $1.6 million during the three months ended June 30, 2023 and June 30, 2022, respectively, </w:t>
      </w:r>
      <w:r>
        <w:rPr>
          <w:rFonts w:ascii="Arial" w:cs="Arial" w:eastAsia="Arial" w:hAnsi="Arial"/>
          <w:sz w:val="17"/>
          <w:szCs w:val="17"/>
          <w:color w:val="252525"/>
        </w:rPr>
        <w:t>for revised estimates associated with its restructuring plans.</w:t>
      </w:r>
    </w:p>
    <w:p>
      <w:pPr>
        <w:spacing w:after="0" w:line="196"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 xml:space="preserve">Corporate and unallocated items changed by $13.0 million for the six months ended June 30, 2023, as compared to the same period in 2022, primarily due to a $11.6 million charge during the six months ended June 30, 2023 for the sale of one of the Company’s manufacturing facilities within the Proprietary Products segment. Additionally, the Company recorded a benefit of $0.8 million and $1.6 million during the six months ended June 30, 2023 and June 30, 2022, respectively, </w:t>
      </w:r>
      <w:r>
        <w:rPr>
          <w:rFonts w:ascii="Arial" w:cs="Arial" w:eastAsia="Arial" w:hAnsi="Arial"/>
          <w:sz w:val="17"/>
          <w:szCs w:val="17"/>
          <w:color w:val="252525"/>
        </w:rPr>
        <w:t>for revised estimates associated with its restructuring plans.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5" w:name="page36"/>
    <w:bookmarkEnd w:id="35"/>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00" w:type="dxa"/>
            <w:vAlign w:val="bottom"/>
          </w:tcPr>
          <w:p>
            <w:pPr>
              <w:spacing w:after="0"/>
              <w:rPr>
                <w:sz w:val="20"/>
                <w:szCs w:val="20"/>
                <w:color w:val="auto"/>
              </w:rPr>
            </w:pPr>
            <w:r>
              <w:rPr>
                <w:rFonts w:ascii="Arial" w:cs="Arial" w:eastAsia="Arial" w:hAnsi="Arial"/>
                <w:sz w:val="18"/>
                <w:szCs w:val="18"/>
                <w:b w:val="1"/>
                <w:bCs w:val="1"/>
                <w:color w:val="auto"/>
              </w:rPr>
              <w:t>Operating Profit</w:t>
            </w: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9"/>
        </w:trPr>
        <w:tc>
          <w:tcPr>
            <w:tcW w:w="9660" w:type="dxa"/>
            <w:vAlign w:val="bottom"/>
            <w:gridSpan w:val="9"/>
          </w:tcPr>
          <w:p>
            <w:pPr>
              <w:spacing w:after="0"/>
              <w:rPr>
                <w:sz w:val="20"/>
                <w:szCs w:val="20"/>
                <w:color w:val="auto"/>
              </w:rPr>
            </w:pPr>
            <w:r>
              <w:rPr>
                <w:rFonts w:ascii="Arial" w:cs="Arial" w:eastAsia="Arial" w:hAnsi="Arial"/>
                <w:sz w:val="18"/>
                <w:szCs w:val="18"/>
                <w:color w:val="auto"/>
                <w:w w:val="94"/>
              </w:rPr>
              <w:t>The following table presents adjusted operating profit, consolidated and by reportable segment, corporate and unallocated items:</w:t>
            </w: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4700" w:type="dxa"/>
            <w:vAlign w:val="bottom"/>
          </w:tcPr>
          <w:p>
            <w:pPr>
              <w:spacing w:after="0"/>
              <w:rPr>
                <w:sz w:val="17"/>
                <w:szCs w:val="17"/>
                <w:color w:val="auto"/>
              </w:rPr>
            </w:pPr>
          </w:p>
        </w:tc>
        <w:tc>
          <w:tcPr>
            <w:tcW w:w="2740" w:type="dxa"/>
            <w:vAlign w:val="bottom"/>
            <w:gridSpan w:val="4"/>
          </w:tcPr>
          <w:p>
            <w:pPr>
              <w:jc w:val="right"/>
              <w:ind w:right="210"/>
              <w:spacing w:after="0" w:line="202" w:lineRule="exact"/>
              <w:rPr>
                <w:sz w:val="20"/>
                <w:szCs w:val="20"/>
                <w:color w:val="auto"/>
              </w:rPr>
            </w:pPr>
            <w:r>
              <w:rPr>
                <w:rFonts w:ascii="Arial" w:cs="Arial" w:eastAsia="Arial" w:hAnsi="Arial"/>
                <w:sz w:val="18"/>
                <w:szCs w:val="18"/>
                <w:color w:val="auto"/>
              </w:rPr>
              <w:t>Three Months Ended</w:t>
            </w: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20" w:type="dxa"/>
            <w:vAlign w:val="bottom"/>
            <w:gridSpan w:val="4"/>
          </w:tcPr>
          <w:p>
            <w:pPr>
              <w:jc w:val="right"/>
              <w:ind w:right="770"/>
              <w:spacing w:after="0" w:line="202" w:lineRule="exact"/>
              <w:rPr>
                <w:sz w:val="20"/>
                <w:szCs w:val="20"/>
                <w:color w:val="auto"/>
              </w:rPr>
            </w:pPr>
            <w:r>
              <w:rPr>
                <w:rFonts w:ascii="Arial" w:cs="Arial" w:eastAsia="Arial" w:hAnsi="Arial"/>
                <w:sz w:val="18"/>
                <w:szCs w:val="18"/>
                <w:color w:val="auto"/>
              </w:rPr>
              <w:t>Six Months Ended</w:t>
            </w:r>
          </w:p>
        </w:tc>
        <w:tc>
          <w:tcPr>
            <w:tcW w:w="0" w:type="dxa"/>
            <w:vAlign w:val="bottom"/>
          </w:tcPr>
          <w:p>
            <w:pPr>
              <w:spacing w:after="0"/>
              <w:rPr>
                <w:sz w:val="1"/>
                <w:szCs w:val="1"/>
                <w:color w:val="auto"/>
              </w:rPr>
            </w:pPr>
          </w:p>
        </w:tc>
      </w:tr>
      <w:tr>
        <w:trPr>
          <w:trHeight w:val="236"/>
        </w:trPr>
        <w:tc>
          <w:tcPr>
            <w:tcW w:w="4700" w:type="dxa"/>
            <w:vAlign w:val="bottom"/>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1740" w:type="dxa"/>
            <w:vAlign w:val="bottom"/>
            <w:tcBorders>
              <w:bottom w:val="single" w:sz="8" w:color="auto"/>
            </w:tcBorders>
            <w:gridSpan w:val="3"/>
          </w:tcPr>
          <w:p>
            <w:pPr>
              <w:jc w:val="right"/>
              <w:ind w:right="670"/>
              <w:spacing w:after="0"/>
              <w:rPr>
                <w:sz w:val="20"/>
                <w:szCs w:val="20"/>
                <w:color w:val="auto"/>
              </w:rPr>
            </w:pPr>
            <w:r>
              <w:rPr>
                <w:rFonts w:ascii="Arial" w:cs="Arial" w:eastAsia="Arial" w:hAnsi="Arial"/>
                <w:sz w:val="18"/>
                <w:szCs w:val="18"/>
                <w:color w:val="auto"/>
              </w:rPr>
              <w:t>June 30,</w:t>
            </w:r>
          </w:p>
        </w:tc>
        <w:tc>
          <w:tcPr>
            <w:tcW w:w="6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66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8"/>
                <w:szCs w:val="18"/>
                <w:color w:val="auto"/>
              </w:rPr>
              <w:t>June 30,</w:t>
            </w:r>
          </w:p>
        </w:tc>
        <w:tc>
          <w:tcPr>
            <w:tcW w:w="10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00" w:type="dxa"/>
            <w:vAlign w:val="bottom"/>
          </w:tcPr>
          <w:p>
            <w:pPr>
              <w:jc w:val="right"/>
              <w:spacing w:after="0"/>
              <w:rPr>
                <w:sz w:val="20"/>
                <w:szCs w:val="20"/>
                <w:color w:val="auto"/>
              </w:rPr>
            </w:pPr>
            <w:r>
              <w:rPr>
                <w:rFonts w:ascii="Arial" w:cs="Arial" w:eastAsia="Arial" w:hAnsi="Arial"/>
                <w:sz w:val="18"/>
                <w:szCs w:val="18"/>
                <w:color w:val="auto"/>
              </w:rPr>
              <w:t>2023</w:t>
            </w:r>
          </w:p>
        </w:tc>
        <w:tc>
          <w:tcPr>
            <w:tcW w:w="6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2022</w:t>
            </w:r>
          </w:p>
        </w:tc>
        <w:tc>
          <w:tcPr>
            <w:tcW w:w="6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40" w:type="dxa"/>
            <w:vAlign w:val="bottom"/>
          </w:tcPr>
          <w:p>
            <w:pPr>
              <w:jc w:val="right"/>
              <w:ind w:right="47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60" w:type="dxa"/>
            <w:vAlign w:val="bottom"/>
          </w:tcPr>
          <w:p>
            <w:pPr>
              <w:jc w:val="right"/>
              <w:ind w:right="470"/>
              <w:spacing w:after="0"/>
              <w:rPr>
                <w:sz w:val="20"/>
                <w:szCs w:val="20"/>
                <w:color w:val="auto"/>
              </w:rPr>
            </w:pPr>
            <w:r>
              <w:rPr>
                <w:rFonts w:ascii="Arial" w:cs="Arial" w:eastAsia="Arial" w:hAnsi="Arial"/>
                <w:sz w:val="18"/>
                <w:szCs w:val="18"/>
                <w:color w:val="auto"/>
              </w:rPr>
              <w:t>2022</w:t>
            </w:r>
          </w:p>
        </w:tc>
        <w:tc>
          <w:tcPr>
            <w:tcW w:w="0" w:type="dxa"/>
            <w:vAlign w:val="bottom"/>
          </w:tcPr>
          <w:p>
            <w:pPr>
              <w:spacing w:after="0"/>
              <w:rPr>
                <w:sz w:val="1"/>
                <w:szCs w:val="1"/>
                <w:color w:val="auto"/>
              </w:rPr>
            </w:pPr>
          </w:p>
        </w:tc>
      </w:tr>
      <w:tr>
        <w:trPr>
          <w:trHeight w:val="223"/>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Proprietary Products</w:t>
            </w:r>
          </w:p>
        </w:tc>
        <w:tc>
          <w:tcPr>
            <w:tcW w:w="100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194.2</w:t>
            </w:r>
          </w:p>
        </w:tc>
        <w:tc>
          <w:tcPr>
            <w:tcW w:w="120" w:type="dxa"/>
            <w:vAlign w:val="bottom"/>
            <w:tcBorders>
              <w:top w:val="single" w:sz="8" w:color="CCEEFF"/>
            </w:tcBorders>
            <w:shd w:val="clear" w:color="auto" w:fill="CCEEFF"/>
          </w:tcPr>
          <w:p>
            <w:pPr>
              <w:spacing w:after="0"/>
              <w:rPr>
                <w:sz w:val="19"/>
                <w:szCs w:val="19"/>
                <w:color w:val="auto"/>
              </w:rPr>
            </w:pPr>
          </w:p>
        </w:tc>
        <w:tc>
          <w:tcPr>
            <w:tcW w:w="1000" w:type="dxa"/>
            <w:vAlign w:val="bottom"/>
            <w:tcBorders>
              <w:top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233.9</w:t>
            </w:r>
          </w:p>
        </w:tc>
        <w:tc>
          <w:tcPr>
            <w:tcW w:w="120" w:type="dxa"/>
            <w:vAlign w:val="bottom"/>
            <w:tcBorders>
              <w:top w:val="single" w:sz="8" w:color="CCEEFF"/>
            </w:tcBorders>
            <w:shd w:val="clear" w:color="auto" w:fill="CCEEFF"/>
          </w:tcPr>
          <w:p>
            <w:pPr>
              <w:spacing w:after="0"/>
              <w:rPr>
                <w:sz w:val="19"/>
                <w:szCs w:val="19"/>
                <w:color w:val="auto"/>
              </w:rPr>
            </w:pPr>
          </w:p>
        </w:tc>
        <w:tc>
          <w:tcPr>
            <w:tcW w:w="3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364.9</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427.3</w:t>
            </w:r>
          </w:p>
        </w:tc>
        <w:tc>
          <w:tcPr>
            <w:tcW w:w="0" w:type="dxa"/>
            <w:vAlign w:val="bottom"/>
          </w:tcPr>
          <w:p>
            <w:pPr>
              <w:spacing w:after="0"/>
              <w:rPr>
                <w:sz w:val="1"/>
                <w:szCs w:val="1"/>
                <w:color w:val="auto"/>
              </w:rPr>
            </w:pPr>
          </w:p>
        </w:tc>
      </w:tr>
      <w:tr>
        <w:trPr>
          <w:trHeight w:val="237"/>
        </w:trPr>
        <w:tc>
          <w:tcPr>
            <w:tcW w:w="4700" w:type="dxa"/>
            <w:vAlign w:val="bottom"/>
          </w:tcPr>
          <w:p>
            <w:pPr>
              <w:ind w:left="20"/>
              <w:spacing w:after="0"/>
              <w:rPr>
                <w:sz w:val="20"/>
                <w:szCs w:val="20"/>
                <w:color w:val="auto"/>
              </w:rPr>
            </w:pPr>
            <w:r>
              <w:rPr>
                <w:rFonts w:ascii="Arial" w:cs="Arial" w:eastAsia="Arial" w:hAnsi="Arial"/>
                <w:sz w:val="18"/>
                <w:szCs w:val="18"/>
                <w:color w:val="auto"/>
              </w:rPr>
              <w:t>Contract-Manufactured Products</w:t>
            </w:r>
          </w:p>
        </w:tc>
        <w:tc>
          <w:tcPr>
            <w:tcW w:w="100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14.9</w:t>
            </w:r>
          </w:p>
        </w:tc>
        <w:tc>
          <w:tcPr>
            <w:tcW w:w="1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20" w:type="dxa"/>
            <w:vAlign w:val="bottom"/>
          </w:tcPr>
          <w:p>
            <w:pPr>
              <w:jc w:val="right"/>
              <w:ind w:right="1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ind w:right="130"/>
              <w:spacing w:after="0"/>
              <w:rPr>
                <w:sz w:val="20"/>
                <w:szCs w:val="20"/>
                <w:color w:val="auto"/>
              </w:rPr>
            </w:pPr>
            <w:r>
              <w:rPr>
                <w:rFonts w:ascii="Arial" w:cs="Arial" w:eastAsia="Arial" w:hAnsi="Arial"/>
                <w:sz w:val="18"/>
                <w:szCs w:val="18"/>
                <w:color w:val="auto"/>
              </w:rPr>
              <w:t>32.3</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jc w:val="right"/>
              <w:ind w:right="130"/>
              <w:spacing w:after="0"/>
              <w:rPr>
                <w:sz w:val="20"/>
                <w:szCs w:val="20"/>
                <w:color w:val="auto"/>
              </w:rPr>
            </w:pPr>
            <w:r>
              <w:rPr>
                <w:rFonts w:ascii="Arial" w:cs="Arial" w:eastAsia="Arial" w:hAnsi="Arial"/>
                <w:sz w:val="18"/>
                <w:szCs w:val="18"/>
                <w:color w:val="auto"/>
              </w:rPr>
              <w:t>33.3</w:t>
            </w:r>
          </w:p>
        </w:tc>
        <w:tc>
          <w:tcPr>
            <w:tcW w:w="0" w:type="dxa"/>
            <w:vAlign w:val="bottom"/>
          </w:tcPr>
          <w:p>
            <w:pPr>
              <w:spacing w:after="0"/>
              <w:rPr>
                <w:sz w:val="1"/>
                <w:szCs w:val="1"/>
                <w:color w:val="auto"/>
              </w:rPr>
            </w:pPr>
          </w:p>
        </w:tc>
      </w:tr>
      <w:tr>
        <w:trPr>
          <w:trHeight w:val="236"/>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and unallocated items</w:t>
            </w: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(26.6)</w:t>
            </w:r>
          </w:p>
        </w:tc>
        <w:tc>
          <w:tcPr>
            <w:tcW w:w="120" w:type="dxa"/>
            <w:vAlign w:val="bottom"/>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6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3"/>
              </w:rPr>
              <w:t>(19.7)</w:t>
            </w:r>
          </w:p>
        </w:tc>
        <w:tc>
          <w:tcPr>
            <w:tcW w:w="120" w:type="dxa"/>
            <w:vAlign w:val="bottom"/>
            <w:shd w:val="clear" w:color="auto" w:fill="CCEEFF"/>
          </w:tcPr>
          <w:p>
            <w:pPr>
              <w:spacing w:after="0"/>
              <w:rPr>
                <w:sz w:val="20"/>
                <w:szCs w:val="20"/>
                <w:color w:val="auto"/>
              </w:rPr>
            </w:pPr>
          </w:p>
        </w:tc>
        <w:tc>
          <w:tcPr>
            <w:tcW w:w="340" w:type="dxa"/>
            <w:vAlign w:val="bottom"/>
            <w:tcBorders>
              <w:bottom w:val="single" w:sz="8" w:color="auto"/>
            </w:tcBorders>
            <w:shd w:val="clear" w:color="auto" w:fill="CCEEFF"/>
          </w:tcPr>
          <w:p>
            <w:pPr>
              <w:spacing w:after="0"/>
              <w:rPr>
                <w:sz w:val="20"/>
                <w:szCs w:val="20"/>
                <w:color w:val="auto"/>
              </w:rPr>
            </w:pPr>
          </w:p>
        </w:tc>
        <w:tc>
          <w:tcPr>
            <w:tcW w:w="114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rPr>
              <w:t>(59.4)</w:t>
            </w:r>
          </w:p>
        </w:tc>
        <w:tc>
          <w:tcPr>
            <w:tcW w:w="100" w:type="dxa"/>
            <w:vAlign w:val="bottom"/>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spacing w:after="0"/>
              <w:rPr>
                <w:sz w:val="20"/>
                <w:szCs w:val="20"/>
                <w:color w:val="auto"/>
              </w:rPr>
            </w:pPr>
          </w:p>
        </w:tc>
        <w:tc>
          <w:tcPr>
            <w:tcW w:w="10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(42.5)</w:t>
            </w:r>
          </w:p>
        </w:tc>
        <w:tc>
          <w:tcPr>
            <w:tcW w:w="0" w:type="dxa"/>
            <w:vAlign w:val="bottom"/>
          </w:tcPr>
          <w:p>
            <w:pPr>
              <w:spacing w:after="0"/>
              <w:rPr>
                <w:sz w:val="1"/>
                <w:szCs w:val="1"/>
                <w:color w:val="auto"/>
              </w:rPr>
            </w:pPr>
          </w:p>
        </w:tc>
      </w:tr>
      <w:tr>
        <w:trPr>
          <w:trHeight w:val="223"/>
        </w:trPr>
        <w:tc>
          <w:tcPr>
            <w:tcW w:w="4700" w:type="dxa"/>
            <w:vAlign w:val="bottom"/>
          </w:tcPr>
          <w:p>
            <w:pPr>
              <w:ind w:left="20"/>
              <w:spacing w:after="0"/>
              <w:rPr>
                <w:sz w:val="20"/>
                <w:szCs w:val="20"/>
                <w:color w:val="auto"/>
              </w:rPr>
            </w:pPr>
            <w:r>
              <w:rPr>
                <w:rFonts w:ascii="Arial" w:cs="Arial" w:eastAsia="Arial" w:hAnsi="Arial"/>
                <w:sz w:val="18"/>
                <w:szCs w:val="18"/>
                <w:color w:val="auto"/>
              </w:rPr>
              <w:t>Consolidated operating profit</w:t>
            </w:r>
          </w:p>
        </w:tc>
        <w:tc>
          <w:tcPr>
            <w:tcW w:w="1000" w:type="dxa"/>
            <w:vAlign w:val="bottom"/>
            <w:tcBorders>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182.5</w:t>
            </w:r>
          </w:p>
        </w:tc>
        <w:tc>
          <w:tcPr>
            <w:tcW w:w="120" w:type="dxa"/>
            <w:vAlign w:val="bottom"/>
          </w:tcPr>
          <w:p>
            <w:pPr>
              <w:spacing w:after="0"/>
              <w:rPr>
                <w:sz w:val="19"/>
                <w:szCs w:val="19"/>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88"/>
              </w:rPr>
              <w:t>228.4</w:t>
            </w: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337.8</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418.1</w:t>
            </w: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62"/>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Consolidated operating profit margin</w:t>
            </w: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24.2 %</w:t>
            </w:r>
          </w:p>
        </w:tc>
        <w:tc>
          <w:tcPr>
            <w:tcW w:w="1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auto"/>
            </w:tcBorders>
            <w:shd w:val="clear" w:color="auto" w:fill="CCEEFF"/>
          </w:tcPr>
          <w:p>
            <w:pPr>
              <w:spacing w:after="0"/>
              <w:rPr>
                <w:sz w:val="22"/>
                <w:szCs w:val="22"/>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29.6 %</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spacing w:after="0"/>
              <w:rPr>
                <w:sz w:val="22"/>
                <w:szCs w:val="22"/>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23.0 %</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Unallocated items</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4700" w:type="dxa"/>
            <w:vAlign w:val="bottom"/>
            <w:tcBorders>
              <w:bottom w:val="single" w:sz="8" w:color="CCEEFF"/>
            </w:tcBorders>
            <w:vMerge w:val="continue"/>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110"/>
              <w:spacing w:after="0" w:line="203" w:lineRule="exact"/>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130"/>
              <w:spacing w:after="0" w:line="203" w:lineRule="exact"/>
              <w:rPr>
                <w:sz w:val="20"/>
                <w:szCs w:val="20"/>
                <w:color w:val="auto"/>
              </w:rPr>
            </w:pPr>
            <w:r>
              <w:rPr>
                <w:rFonts w:ascii="Arial" w:cs="Arial" w:eastAsia="Arial" w:hAnsi="Arial"/>
                <w:sz w:val="18"/>
                <w:szCs w:val="18"/>
                <w:color w:val="auto"/>
              </w:rPr>
              <w:t>12.1</w:t>
            </w:r>
          </w:p>
        </w:tc>
        <w:tc>
          <w:tcPr>
            <w:tcW w:w="100" w:type="dxa"/>
            <w:vAlign w:val="bottom"/>
            <w:tcBorders>
              <w:bottom w:val="single" w:sz="8" w:color="CCEEFF"/>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70"/>
              <w:spacing w:after="0" w:line="203"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Adjusted consolidated operating profit</w:t>
            </w:r>
          </w:p>
        </w:tc>
        <w:tc>
          <w:tcPr>
            <w:tcW w:w="1000" w:type="dxa"/>
            <w:vAlign w:val="bottom"/>
            <w:tcBorders>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185.0</w:t>
            </w: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88"/>
              </w:rPr>
              <w:t>227.0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349.9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416.9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700" w:type="dxa"/>
            <w:vAlign w:val="bottom"/>
          </w:tcPr>
          <w:p>
            <w:pPr>
              <w:ind w:left="20"/>
              <w:spacing w:after="0"/>
              <w:rPr>
                <w:sz w:val="20"/>
                <w:szCs w:val="20"/>
                <w:color w:val="auto"/>
              </w:rPr>
            </w:pPr>
            <w:r>
              <w:rPr>
                <w:rFonts w:ascii="Arial" w:cs="Arial" w:eastAsia="Arial" w:hAnsi="Arial"/>
                <w:sz w:val="18"/>
                <w:szCs w:val="18"/>
                <w:color w:val="auto"/>
              </w:rPr>
              <w:t>Adjusted consolidated operating profit margin</w:t>
            </w: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24.5 %</w:t>
            </w:r>
          </w:p>
        </w:tc>
        <w:tc>
          <w:tcPr>
            <w:tcW w:w="12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29.4 %</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23.8 %</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28.0 %</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0"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color w:val="auto"/>
        </w:rPr>
        <w:t>Consolidated operating profit decreased by $45.9 million, or 20.1%, for the three months ended June 30, 2023, as compared to the same period in 2022, including a favorable foreign currency translation impact of $2.0 million for the three months ended June 30, 2023, as compared to the same period in 2022.</w:t>
      </w:r>
    </w:p>
    <w:p>
      <w:pPr>
        <w:spacing w:after="0" w:line="211" w:lineRule="exact"/>
        <w:rPr>
          <w:sz w:val="20"/>
          <w:szCs w:val="20"/>
          <w:color w:val="auto"/>
        </w:rPr>
      </w:pPr>
    </w:p>
    <w:p>
      <w:pPr>
        <w:ind w:right="320"/>
        <w:spacing w:after="0" w:line="263" w:lineRule="auto"/>
        <w:rPr>
          <w:sz w:val="20"/>
          <w:szCs w:val="20"/>
          <w:color w:val="auto"/>
        </w:rPr>
      </w:pPr>
      <w:r>
        <w:rPr>
          <w:rFonts w:ascii="Arial" w:cs="Arial" w:eastAsia="Arial" w:hAnsi="Arial"/>
          <w:sz w:val="18"/>
          <w:szCs w:val="18"/>
          <w:color w:val="auto"/>
        </w:rPr>
        <w:t>Consolidated operating profit decreased by $80.3 million, or 19.2%, for the six months ended June 30, 2023, as compared to the same period in 2022, including an unfavorable foreign currency translation impact of $3.7 million for the six months ended June 30, 2023, as compared to the same period in 2022.</w:t>
      </w:r>
    </w:p>
    <w:p>
      <w:pPr>
        <w:spacing w:after="0" w:line="207" w:lineRule="exact"/>
        <w:rPr>
          <w:sz w:val="20"/>
          <w:szCs w:val="20"/>
          <w:color w:val="auto"/>
        </w:rPr>
      </w:pPr>
    </w:p>
    <w:p>
      <w:pPr>
        <w:ind w:right="260"/>
        <w:spacing w:after="0" w:line="266" w:lineRule="auto"/>
        <w:rPr>
          <w:sz w:val="20"/>
          <w:szCs w:val="20"/>
          <w:color w:val="auto"/>
        </w:rPr>
      </w:pPr>
      <w:r>
        <w:rPr>
          <w:rFonts w:ascii="Arial" w:cs="Arial" w:eastAsia="Arial" w:hAnsi="Arial"/>
          <w:sz w:val="18"/>
          <w:szCs w:val="18"/>
          <w:b w:val="1"/>
          <w:bCs w:val="1"/>
          <w:color w:val="auto"/>
        </w:rPr>
        <w:t xml:space="preserve">Proprietary Products - </w:t>
      </w:r>
      <w:r>
        <w:rPr>
          <w:rFonts w:ascii="Arial" w:cs="Arial" w:eastAsia="Arial" w:hAnsi="Arial"/>
          <w:sz w:val="18"/>
          <w:szCs w:val="18"/>
          <w:color w:val="auto"/>
        </w:rPr>
        <w:t>Proprietary Products operating profit decreased by $39.7 million, or 17.0%, for the three months ended June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including a favorable foreign currency translation impact of $1.9 million, due to the factors described above, most notably the decline in COVID-related sales.</w:t>
      </w:r>
    </w:p>
    <w:p>
      <w:pPr>
        <w:spacing w:after="0" w:line="207" w:lineRule="exact"/>
        <w:rPr>
          <w:sz w:val="20"/>
          <w:szCs w:val="20"/>
          <w:color w:val="auto"/>
        </w:rPr>
      </w:pPr>
    </w:p>
    <w:p>
      <w:pPr>
        <w:ind w:right="20"/>
        <w:spacing w:after="0" w:line="263" w:lineRule="auto"/>
        <w:rPr>
          <w:sz w:val="20"/>
          <w:szCs w:val="20"/>
          <w:color w:val="auto"/>
        </w:rPr>
      </w:pPr>
      <w:r>
        <w:rPr>
          <w:rFonts w:ascii="Arial" w:cs="Arial" w:eastAsia="Arial" w:hAnsi="Arial"/>
          <w:sz w:val="18"/>
          <w:szCs w:val="18"/>
          <w:color w:val="auto"/>
        </w:rPr>
        <w:t>Proprietary Products operating profit decreased by $62.4 million, or 14.6%, for the six months ended June 30, 2023, as compared to the same period in 2022, including an unfavorable foreign currency translation impact of $3.4 million, due to the factors described above, most notably the decline in COVID-related sales.</w:t>
      </w:r>
    </w:p>
    <w:p>
      <w:pPr>
        <w:spacing w:after="0" w:line="207" w:lineRule="exact"/>
        <w:rPr>
          <w:sz w:val="20"/>
          <w:szCs w:val="20"/>
          <w:color w:val="auto"/>
        </w:rPr>
      </w:pPr>
    </w:p>
    <w:p>
      <w:pPr>
        <w:ind w:right="420"/>
        <w:spacing w:after="0" w:line="266" w:lineRule="auto"/>
        <w:rPr>
          <w:sz w:val="20"/>
          <w:szCs w:val="20"/>
          <w:color w:val="auto"/>
        </w:rPr>
      </w:pPr>
      <w:r>
        <w:rPr>
          <w:rFonts w:ascii="Arial" w:cs="Arial" w:eastAsia="Arial" w:hAnsi="Arial"/>
          <w:sz w:val="18"/>
          <w:szCs w:val="18"/>
          <w:b w:val="1"/>
          <w:bCs w:val="1"/>
          <w:color w:val="auto"/>
        </w:rPr>
        <w:t xml:space="preserve">Contract-Manufactured Products - </w:t>
      </w:r>
      <w:r>
        <w:rPr>
          <w:rFonts w:ascii="Arial" w:cs="Arial" w:eastAsia="Arial" w:hAnsi="Arial"/>
          <w:sz w:val="18"/>
          <w:szCs w:val="18"/>
          <w:color w:val="auto"/>
        </w:rPr>
        <w:t>Contract-Manufactured Products operating profit increased by $0.7 million, or 4.9%, for the three months ended</w:t>
      </w:r>
      <w:r>
        <w:rPr>
          <w:rFonts w:ascii="Arial" w:cs="Arial" w:eastAsia="Arial" w:hAnsi="Arial"/>
          <w:sz w:val="18"/>
          <w:szCs w:val="18"/>
          <w:b w:val="1"/>
          <w:bCs w:val="1"/>
          <w:color w:val="auto"/>
        </w:rPr>
        <w:t xml:space="preserve"> </w:t>
      </w:r>
      <w:r>
        <w:rPr>
          <w:rFonts w:ascii="Arial" w:cs="Arial" w:eastAsia="Arial" w:hAnsi="Arial"/>
          <w:sz w:val="18"/>
          <w:szCs w:val="18"/>
          <w:color w:val="auto"/>
        </w:rPr>
        <w:t>June 30, 2023, as compared to the same period in 2022, including a favorable foreign currency translation impact of $0.1 million, due to the factors described above, most notably an increase in sales of components associated with injection-related devices.</w:t>
      </w:r>
    </w:p>
    <w:p>
      <w:pPr>
        <w:spacing w:after="0" w:line="207" w:lineRule="exact"/>
        <w:rPr>
          <w:sz w:val="20"/>
          <w:szCs w:val="20"/>
          <w:color w:val="auto"/>
        </w:rPr>
      </w:pPr>
    </w:p>
    <w:p>
      <w:pPr>
        <w:jc w:val="both"/>
        <w:ind w:right="300"/>
        <w:spacing w:after="0" w:line="263" w:lineRule="auto"/>
        <w:rPr>
          <w:sz w:val="20"/>
          <w:szCs w:val="20"/>
          <w:color w:val="auto"/>
        </w:rPr>
      </w:pPr>
      <w:r>
        <w:rPr>
          <w:rFonts w:ascii="Arial" w:cs="Arial" w:eastAsia="Arial" w:hAnsi="Arial"/>
          <w:sz w:val="18"/>
          <w:szCs w:val="18"/>
          <w:color w:val="auto"/>
        </w:rPr>
        <w:t>Contract-Manufactured Products operating profit decreased by $1.0 million, or 3.0%, for the six months ended June 30, 2023, as compared to the same period in 2022, including an unfavorable foreign currency translation impact of $0.3 million, due to the factors described above, most notably increased compensation costs that were driven by inflation.</w:t>
      </w:r>
    </w:p>
    <w:p>
      <w:pPr>
        <w:spacing w:after="0" w:line="207" w:lineRule="exact"/>
        <w:rPr>
          <w:sz w:val="20"/>
          <w:szCs w:val="20"/>
          <w:color w:val="auto"/>
        </w:rPr>
      </w:pPr>
    </w:p>
    <w:p>
      <w:pPr>
        <w:ind w:right="60"/>
        <w:spacing w:after="0" w:line="282" w:lineRule="auto"/>
        <w:rPr>
          <w:sz w:val="20"/>
          <w:szCs w:val="20"/>
          <w:color w:val="auto"/>
        </w:rPr>
      </w:pPr>
      <w:r>
        <w:rPr>
          <w:rFonts w:ascii="Arial" w:cs="Arial" w:eastAsia="Arial" w:hAnsi="Arial"/>
          <w:sz w:val="18"/>
          <w:szCs w:val="18"/>
          <w:b w:val="1"/>
          <w:bCs w:val="1"/>
          <w:color w:val="auto"/>
        </w:rPr>
        <w:t xml:space="preserve">Corporate - </w:t>
      </w:r>
      <w:r>
        <w:rPr>
          <w:rFonts w:ascii="Arial" w:cs="Arial" w:eastAsia="Arial" w:hAnsi="Arial"/>
          <w:sz w:val="18"/>
          <w:szCs w:val="18"/>
          <w:color w:val="auto"/>
        </w:rPr>
        <w:t>Excluding the unallocated items, Corporate costs increased by $3.0 million, or 14.2%, for the three months ended June 30, 2023, as compared</w:t>
      </w:r>
      <w:r>
        <w:rPr>
          <w:rFonts w:ascii="Arial" w:cs="Arial" w:eastAsia="Arial" w:hAnsi="Arial"/>
          <w:sz w:val="18"/>
          <w:szCs w:val="18"/>
          <w:b w:val="1"/>
          <w:bCs w:val="1"/>
          <w:color w:val="auto"/>
        </w:rPr>
        <w:t xml:space="preserve"> </w:t>
      </w:r>
      <w:r>
        <w:rPr>
          <w:rFonts w:ascii="Arial" w:cs="Arial" w:eastAsia="Arial" w:hAnsi="Arial"/>
          <w:sz w:val="18"/>
          <w:szCs w:val="18"/>
          <w:color w:val="auto"/>
        </w:rPr>
        <w:t>to the same period in 2022, due to the factors described above.</w:t>
      </w:r>
    </w:p>
    <w:p>
      <w:pPr>
        <w:spacing w:after="0" w:line="193" w:lineRule="exact"/>
        <w:rPr>
          <w:sz w:val="20"/>
          <w:szCs w:val="20"/>
          <w:color w:val="auto"/>
        </w:rPr>
      </w:pPr>
    </w:p>
    <w:p>
      <w:pPr>
        <w:ind w:right="400"/>
        <w:spacing w:after="0" w:line="277" w:lineRule="auto"/>
        <w:rPr>
          <w:sz w:val="20"/>
          <w:szCs w:val="20"/>
          <w:color w:val="auto"/>
        </w:rPr>
      </w:pPr>
      <w:r>
        <w:rPr>
          <w:rFonts w:ascii="Arial" w:cs="Arial" w:eastAsia="Arial" w:hAnsi="Arial"/>
          <w:sz w:val="18"/>
          <w:szCs w:val="18"/>
          <w:color w:val="auto"/>
        </w:rPr>
        <w:t>Excluding the unallocated items, Corporate costs increased by $3.6 million, or 8.2%, for the six months ended June 30, 2023, as compared to the same period in 2022, due to the factors described above.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Unallocated items – </w:t>
      </w:r>
      <w:r>
        <w:rPr>
          <w:rFonts w:ascii="Arial" w:cs="Arial" w:eastAsia="Arial" w:hAnsi="Arial"/>
          <w:sz w:val="18"/>
          <w:szCs w:val="18"/>
          <w:color w:val="auto"/>
        </w:rPr>
        <w:t>Please refer to the Financial Performance Summary section above for details.</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36" w:name="page37"/>
    <w:bookmarkEnd w:id="36"/>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80" w:type="dxa"/>
            <w:vAlign w:val="bottom"/>
          </w:tcPr>
          <w:p>
            <w:pPr>
              <w:spacing w:after="0"/>
              <w:rPr>
                <w:sz w:val="20"/>
                <w:szCs w:val="20"/>
                <w:color w:val="auto"/>
              </w:rPr>
            </w:pPr>
            <w:r>
              <w:rPr>
                <w:rFonts w:ascii="Arial" w:cs="Arial" w:eastAsia="Arial" w:hAnsi="Arial"/>
                <w:sz w:val="18"/>
                <w:szCs w:val="18"/>
                <w:b w:val="1"/>
                <w:bCs w:val="1"/>
                <w:color w:val="auto"/>
              </w:rPr>
              <w:t>Interest Expense, Net and Interest Income</w:t>
            </w:r>
          </w:p>
        </w:tc>
        <w:tc>
          <w:tcPr>
            <w:tcW w:w="10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459"/>
        </w:trPr>
        <w:tc>
          <w:tcPr>
            <w:tcW w:w="7740" w:type="dxa"/>
            <w:vAlign w:val="bottom"/>
            <w:gridSpan w:val="5"/>
          </w:tcPr>
          <w:p>
            <w:pPr>
              <w:spacing w:after="0"/>
              <w:rPr>
                <w:sz w:val="20"/>
                <w:szCs w:val="20"/>
                <w:color w:val="auto"/>
              </w:rPr>
            </w:pPr>
            <w:r>
              <w:rPr>
                <w:rFonts w:ascii="Arial" w:cs="Arial" w:eastAsia="Arial" w:hAnsi="Arial"/>
                <w:sz w:val="18"/>
                <w:szCs w:val="18"/>
                <w:color w:val="auto"/>
              </w:rPr>
              <w:t>The following table presents interest expense, net, and interest income by significant component:</w:t>
            </w:r>
          </w:p>
        </w:tc>
        <w:tc>
          <w:tcPr>
            <w:tcW w:w="4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03"/>
        </w:trPr>
        <w:tc>
          <w:tcPr>
            <w:tcW w:w="4980" w:type="dxa"/>
            <w:vAlign w:val="bottom"/>
          </w:tcPr>
          <w:p>
            <w:pPr>
              <w:spacing w:after="0"/>
              <w:rPr>
                <w:sz w:val="17"/>
                <w:szCs w:val="17"/>
                <w:color w:val="auto"/>
              </w:rPr>
            </w:pPr>
          </w:p>
        </w:tc>
        <w:tc>
          <w:tcPr>
            <w:tcW w:w="2760" w:type="dxa"/>
            <w:vAlign w:val="bottom"/>
            <w:gridSpan w:val="4"/>
          </w:tcPr>
          <w:p>
            <w:pPr>
              <w:jc w:val="right"/>
              <w:ind w:right="270"/>
              <w:spacing w:after="0" w:line="202" w:lineRule="exact"/>
              <w:rPr>
                <w:sz w:val="20"/>
                <w:szCs w:val="20"/>
                <w:color w:val="auto"/>
              </w:rPr>
            </w:pPr>
            <w:r>
              <w:rPr>
                <w:rFonts w:ascii="Arial" w:cs="Arial" w:eastAsia="Arial" w:hAnsi="Arial"/>
                <w:sz w:val="18"/>
                <w:szCs w:val="18"/>
                <w:color w:val="auto"/>
              </w:rPr>
              <w:t>Three Months Ended</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580" w:type="dxa"/>
            <w:vAlign w:val="bottom"/>
            <w:gridSpan w:val="4"/>
          </w:tcPr>
          <w:p>
            <w:pPr>
              <w:jc w:val="right"/>
              <w:ind w:right="690"/>
              <w:spacing w:after="0" w:line="202" w:lineRule="exact"/>
              <w:rPr>
                <w:sz w:val="20"/>
                <w:szCs w:val="20"/>
                <w:color w:val="auto"/>
              </w:rPr>
            </w:pPr>
            <w:r>
              <w:rPr>
                <w:rFonts w:ascii="Arial" w:cs="Arial" w:eastAsia="Arial" w:hAnsi="Arial"/>
                <w:sz w:val="18"/>
                <w:szCs w:val="18"/>
                <w:color w:val="auto"/>
              </w:rPr>
              <w:t>Six Months Ended</w:t>
            </w:r>
          </w:p>
        </w:tc>
      </w:tr>
      <w:tr>
        <w:trPr>
          <w:trHeight w:val="237"/>
        </w:trPr>
        <w:tc>
          <w:tcPr>
            <w:tcW w:w="4980" w:type="dxa"/>
            <w:vAlign w:val="bottom"/>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c>
          <w:tcPr>
            <w:tcW w:w="1680" w:type="dxa"/>
            <w:vAlign w:val="bottom"/>
            <w:tcBorders>
              <w:bottom w:val="single" w:sz="8" w:color="auto"/>
            </w:tcBorders>
            <w:gridSpan w:val="3"/>
          </w:tcPr>
          <w:p>
            <w:pPr>
              <w:jc w:val="right"/>
              <w:ind w:right="730"/>
              <w:spacing w:after="0"/>
              <w:rPr>
                <w:sz w:val="20"/>
                <w:szCs w:val="20"/>
                <w:color w:val="auto"/>
              </w:rPr>
            </w:pPr>
            <w:r>
              <w:rPr>
                <w:rFonts w:ascii="Arial" w:cs="Arial" w:eastAsia="Arial" w:hAnsi="Arial"/>
                <w:sz w:val="18"/>
                <w:szCs w:val="18"/>
                <w:color w:val="auto"/>
              </w:rPr>
              <w:t>June 30,</w:t>
            </w:r>
          </w:p>
        </w:tc>
        <w:tc>
          <w:tcPr>
            <w:tcW w:w="48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3"/>
          </w:tcPr>
          <w:p>
            <w:pPr>
              <w:jc w:val="right"/>
              <w:ind w:right="50"/>
              <w:spacing w:after="0"/>
              <w:rPr>
                <w:sz w:val="20"/>
                <w:szCs w:val="20"/>
                <w:color w:val="auto"/>
              </w:rPr>
            </w:pPr>
            <w:r>
              <w:rPr>
                <w:rFonts w:ascii="Arial" w:cs="Arial" w:eastAsia="Arial" w:hAnsi="Arial"/>
                <w:sz w:val="18"/>
                <w:szCs w:val="18"/>
                <w:color w:val="auto"/>
              </w:rPr>
              <w:t>June 30,</w:t>
            </w:r>
          </w:p>
        </w:tc>
        <w:tc>
          <w:tcPr>
            <w:tcW w:w="1000" w:type="dxa"/>
            <w:vAlign w:val="bottom"/>
            <w:tcBorders>
              <w:bottom w:val="single" w:sz="8" w:color="auto"/>
            </w:tcBorders>
          </w:tcPr>
          <w:p>
            <w:pPr>
              <w:spacing w:after="0"/>
              <w:rPr>
                <w:sz w:val="20"/>
                <w:szCs w:val="20"/>
                <w:color w:val="auto"/>
              </w:rPr>
            </w:pP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1080" w:type="dxa"/>
            <w:vAlign w:val="bottom"/>
          </w:tcPr>
          <w:p>
            <w:pPr>
              <w:jc w:val="right"/>
              <w:ind w:right="10"/>
              <w:spacing w:after="0"/>
              <w:rPr>
                <w:sz w:val="20"/>
                <w:szCs w:val="20"/>
                <w:color w:val="auto"/>
              </w:rPr>
            </w:pPr>
            <w:r>
              <w:rPr>
                <w:rFonts w:ascii="Arial" w:cs="Arial" w:eastAsia="Arial" w:hAnsi="Arial"/>
                <w:sz w:val="18"/>
                <w:szCs w:val="18"/>
                <w:color w:val="auto"/>
              </w:rPr>
              <w:t>2023</w:t>
            </w:r>
          </w:p>
        </w:tc>
        <w:tc>
          <w:tcPr>
            <w:tcW w:w="500" w:type="dxa"/>
            <w:vAlign w:val="bottom"/>
          </w:tcPr>
          <w:p>
            <w:pPr>
              <w:spacing w:after="0"/>
              <w:rPr>
                <w:sz w:val="19"/>
                <w:szCs w:val="19"/>
                <w:color w:val="auto"/>
              </w:rPr>
            </w:pPr>
          </w:p>
        </w:tc>
        <w:tc>
          <w:tcPr>
            <w:tcW w:w="1180" w:type="dxa"/>
            <w:vAlign w:val="bottom"/>
            <w:gridSpan w:val="2"/>
          </w:tcPr>
          <w:p>
            <w:pPr>
              <w:jc w:val="right"/>
              <w:ind w:right="10"/>
              <w:spacing w:after="0"/>
              <w:rPr>
                <w:sz w:val="20"/>
                <w:szCs w:val="20"/>
                <w:color w:val="auto"/>
              </w:rPr>
            </w:pPr>
            <w:r>
              <w:rPr>
                <w:rFonts w:ascii="Arial" w:cs="Arial" w:eastAsia="Arial" w:hAnsi="Arial"/>
                <w:sz w:val="18"/>
                <w:szCs w:val="18"/>
                <w:color w:val="auto"/>
              </w:rPr>
              <w:t>2022</w:t>
            </w:r>
          </w:p>
        </w:tc>
        <w:tc>
          <w:tcPr>
            <w:tcW w:w="4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80" w:type="dxa"/>
            <w:vAlign w:val="bottom"/>
          </w:tcPr>
          <w:p>
            <w:pPr>
              <w:jc w:val="right"/>
              <w:ind w:right="430"/>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00" w:type="dxa"/>
            <w:vAlign w:val="bottom"/>
          </w:tcPr>
          <w:p>
            <w:pPr>
              <w:jc w:val="right"/>
              <w:ind w:right="430"/>
              <w:spacing w:after="0"/>
              <w:rPr>
                <w:sz w:val="20"/>
                <w:szCs w:val="20"/>
                <w:color w:val="auto"/>
              </w:rPr>
            </w:pPr>
            <w:r>
              <w:rPr>
                <w:rFonts w:ascii="Arial" w:cs="Arial" w:eastAsia="Arial" w:hAnsi="Arial"/>
                <w:sz w:val="18"/>
                <w:szCs w:val="18"/>
                <w:color w:val="auto"/>
              </w:rPr>
              <w:t>2022</w:t>
            </w:r>
          </w:p>
        </w:tc>
      </w:tr>
      <w:tr>
        <w:trPr>
          <w:trHeight w:val="223"/>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8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4.0</w:t>
            </w:r>
          </w:p>
        </w:tc>
        <w:tc>
          <w:tcPr>
            <w:tcW w:w="12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2.9</w:t>
            </w:r>
          </w:p>
        </w:tc>
        <w:tc>
          <w:tcPr>
            <w:tcW w:w="14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7.3</w:t>
            </w: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7"/>
              </w:rPr>
              <w:t>5.6</w:t>
            </w:r>
          </w:p>
        </w:tc>
      </w:tr>
      <w:tr>
        <w:trPr>
          <w:trHeight w:val="243"/>
        </w:trPr>
        <w:tc>
          <w:tcPr>
            <w:tcW w:w="4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Capitalized interest</w:t>
            </w:r>
          </w:p>
        </w:tc>
        <w:tc>
          <w:tcPr>
            <w:tcW w:w="1080" w:type="dxa"/>
            <w:vAlign w:val="bottom"/>
            <w:tcBorders>
              <w:bottom w:val="single" w:sz="8" w:color="auto"/>
            </w:tcBorders>
          </w:tcPr>
          <w:p>
            <w:pPr>
              <w:spacing w:after="0"/>
              <w:rPr>
                <w:sz w:val="21"/>
                <w:szCs w:val="21"/>
                <w:color w:val="auto"/>
              </w:rPr>
            </w:pPr>
          </w:p>
        </w:tc>
        <w:tc>
          <w:tcPr>
            <w:tcW w:w="50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tcPr>
          <w:p>
            <w:pPr>
              <w:spacing w:after="0"/>
              <w:rPr>
                <w:sz w:val="21"/>
                <w:szCs w:val="21"/>
                <w:color w:val="auto"/>
              </w:rPr>
            </w:pPr>
          </w:p>
        </w:tc>
        <w:tc>
          <w:tcPr>
            <w:tcW w:w="106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91"/>
              </w:rPr>
              <w:t>(1.1)</w:t>
            </w:r>
          </w:p>
        </w:tc>
        <w:tc>
          <w:tcPr>
            <w:tcW w:w="140" w:type="dxa"/>
            <w:vAlign w:val="bottom"/>
            <w:tcBorders>
              <w:bottom w:val="single" w:sz="8" w:color="CCEEFF"/>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center"/>
              <w:ind w:left="570"/>
              <w:spacing w:after="0"/>
              <w:rPr>
                <w:sz w:val="20"/>
                <w:szCs w:val="20"/>
                <w:color w:val="auto"/>
              </w:rPr>
            </w:pPr>
            <w:r>
              <w:rPr>
                <w:rFonts w:ascii="Arial" w:cs="Arial" w:eastAsia="Arial" w:hAnsi="Arial"/>
                <w:sz w:val="18"/>
                <w:szCs w:val="18"/>
                <w:color w:val="auto"/>
                <w:w w:val="91"/>
              </w:rPr>
              <w:t>(2.4)</w:t>
            </w:r>
          </w:p>
        </w:tc>
        <w:tc>
          <w:tcPr>
            <w:tcW w:w="100" w:type="dxa"/>
            <w:vAlign w:val="bottom"/>
            <w:tcBorders>
              <w:bottom w:val="single" w:sz="8" w:color="CCEEFF"/>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center"/>
              <w:ind w:left="510"/>
              <w:spacing w:after="0"/>
              <w:rPr>
                <w:sz w:val="20"/>
                <w:szCs w:val="20"/>
                <w:color w:val="auto"/>
              </w:rPr>
            </w:pPr>
            <w:r>
              <w:rPr>
                <w:rFonts w:ascii="Arial" w:cs="Arial" w:eastAsia="Arial" w:hAnsi="Arial"/>
                <w:sz w:val="18"/>
                <w:szCs w:val="18"/>
                <w:color w:val="auto"/>
                <w:w w:val="97"/>
              </w:rPr>
              <w:t>(1.6)</w:t>
            </w:r>
          </w:p>
        </w:tc>
      </w:tr>
      <w:tr>
        <w:trPr>
          <w:trHeight w:val="248"/>
        </w:trPr>
        <w:tc>
          <w:tcPr>
            <w:tcW w:w="4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108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center"/>
              <w:ind w:left="30"/>
              <w:spacing w:after="0"/>
              <w:rPr>
                <w:sz w:val="20"/>
                <w:szCs w:val="20"/>
                <w:color w:val="auto"/>
              </w:rPr>
            </w:pPr>
            <w:r>
              <w:rPr>
                <w:rFonts w:ascii="Arial" w:cs="Arial" w:eastAsia="Arial" w:hAnsi="Arial"/>
                <w:sz w:val="18"/>
                <w:szCs w:val="18"/>
                <w:color w:val="auto"/>
                <w:w w:val="87"/>
              </w:rPr>
              <w:t>2.7</w:t>
            </w: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center"/>
              <w:ind w:left="50"/>
              <w:spacing w:after="0"/>
              <w:rPr>
                <w:sz w:val="20"/>
                <w:szCs w:val="20"/>
                <w:color w:val="auto"/>
              </w:rPr>
            </w:pPr>
            <w:r>
              <w:rPr>
                <w:rFonts w:ascii="Arial" w:cs="Arial" w:eastAsia="Arial" w:hAnsi="Arial"/>
                <w:sz w:val="18"/>
                <w:szCs w:val="18"/>
                <w:color w:val="auto"/>
                <w:w w:val="87"/>
              </w:rPr>
              <w:t>1.8</w:t>
            </w:r>
          </w:p>
        </w:tc>
        <w:tc>
          <w:tcPr>
            <w:tcW w:w="1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center"/>
              <w:ind w:left="610"/>
              <w:spacing w:after="0"/>
              <w:rPr>
                <w:sz w:val="20"/>
                <w:szCs w:val="20"/>
                <w:color w:val="auto"/>
              </w:rPr>
            </w:pPr>
            <w:r>
              <w:rPr>
                <w:rFonts w:ascii="Arial" w:cs="Arial" w:eastAsia="Arial" w:hAnsi="Arial"/>
                <w:sz w:val="18"/>
                <w:szCs w:val="18"/>
                <w:color w:val="auto"/>
                <w:w w:val="87"/>
              </w:rPr>
              <w:t>4.9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center"/>
              <w:ind w:left="530"/>
              <w:spacing w:after="0"/>
              <w:rPr>
                <w:sz w:val="20"/>
                <w:szCs w:val="20"/>
                <w:color w:val="auto"/>
              </w:rPr>
            </w:pPr>
            <w:r>
              <w:rPr>
                <w:rFonts w:ascii="Arial" w:cs="Arial" w:eastAsia="Arial" w:hAnsi="Arial"/>
                <w:sz w:val="18"/>
                <w:szCs w:val="18"/>
                <w:color w:val="auto"/>
                <w:w w:val="87"/>
              </w:rPr>
              <w:t>4.0</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r>
      <w:tr>
        <w:trPr>
          <w:trHeight w:val="82"/>
        </w:trPr>
        <w:tc>
          <w:tcPr>
            <w:tcW w:w="4980" w:type="dxa"/>
            <w:vAlign w:val="bottom"/>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1060" w:type="dxa"/>
            <w:vAlign w:val="bottom"/>
            <w:tcBorders>
              <w:bottom w:val="single" w:sz="8" w:color="auto"/>
            </w:tcBorders>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140" w:type="dxa"/>
            <w:vAlign w:val="bottom"/>
          </w:tcPr>
          <w:p>
            <w:pPr>
              <w:spacing w:after="0"/>
              <w:rPr>
                <w:sz w:val="7"/>
                <w:szCs w:val="7"/>
                <w:color w:val="auto"/>
              </w:rPr>
            </w:pPr>
          </w:p>
        </w:tc>
        <w:tc>
          <w:tcPr>
            <w:tcW w:w="300" w:type="dxa"/>
            <w:vAlign w:val="bottom"/>
            <w:tcBorders>
              <w:bottom w:val="single" w:sz="8" w:color="auto"/>
            </w:tcBorders>
          </w:tcPr>
          <w:p>
            <w:pPr>
              <w:spacing w:after="0"/>
              <w:rPr>
                <w:sz w:val="7"/>
                <w:szCs w:val="7"/>
                <w:color w:val="auto"/>
              </w:rPr>
            </w:pPr>
          </w:p>
        </w:tc>
        <w:tc>
          <w:tcPr>
            <w:tcW w:w="1080" w:type="dxa"/>
            <w:vAlign w:val="bottom"/>
            <w:tcBorders>
              <w:bottom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r>
      <w:tr>
        <w:trPr>
          <w:trHeight w:val="243"/>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080" w:type="dxa"/>
            <w:vAlign w:val="bottom"/>
            <w:shd w:val="clear" w:color="auto" w:fill="CCEEFF"/>
          </w:tcPr>
          <w:p>
            <w:pPr>
              <w:jc w:val="right"/>
              <w:ind w:right="870"/>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(5.0)</w:t>
            </w:r>
          </w:p>
        </w:tc>
        <w:tc>
          <w:tcPr>
            <w:tcW w:w="1180" w:type="dxa"/>
            <w:vAlign w:val="bottom"/>
            <w:gridSpan w:val="2"/>
            <w:shd w:val="clear" w:color="auto" w:fill="CCEEFF"/>
          </w:tcPr>
          <w:p>
            <w:pPr>
              <w:jc w:val="right"/>
              <w:ind w:right="87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91"/>
              </w:rPr>
              <w:t>(0.4)</w:t>
            </w:r>
          </w:p>
        </w:tc>
        <w:tc>
          <w:tcPr>
            <w:tcW w:w="44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1"/>
              </w:rPr>
              <w:t>(9.8)</w:t>
            </w:r>
          </w:p>
        </w:tc>
        <w:tc>
          <w:tcPr>
            <w:tcW w:w="50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center"/>
              <w:ind w:left="510"/>
              <w:spacing w:after="0"/>
              <w:rPr>
                <w:sz w:val="20"/>
                <w:szCs w:val="20"/>
                <w:color w:val="auto"/>
              </w:rPr>
            </w:pPr>
            <w:r>
              <w:rPr>
                <w:rFonts w:ascii="Arial" w:cs="Arial" w:eastAsia="Arial" w:hAnsi="Arial"/>
                <w:sz w:val="18"/>
                <w:szCs w:val="18"/>
                <w:color w:val="auto"/>
                <w:w w:val="97"/>
              </w:rPr>
              <w:t>(0.7)</w:t>
            </w:r>
          </w:p>
        </w:tc>
      </w:tr>
      <w:tr>
        <w:trPr>
          <w:trHeight w:val="20"/>
        </w:trPr>
        <w:tc>
          <w:tcPr>
            <w:tcW w:w="49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80" w:lineRule="exact"/>
        <w:rPr>
          <w:sz w:val="20"/>
          <w:szCs w:val="20"/>
          <w:color w:val="auto"/>
        </w:rPr>
      </w:pPr>
    </w:p>
    <w:p>
      <w:pPr>
        <w:ind w:right="80"/>
        <w:spacing w:after="0" w:line="263" w:lineRule="auto"/>
        <w:rPr>
          <w:sz w:val="20"/>
          <w:szCs w:val="20"/>
          <w:color w:val="auto"/>
        </w:rPr>
      </w:pPr>
      <w:r>
        <w:rPr>
          <w:rFonts w:ascii="Arial" w:cs="Arial" w:eastAsia="Arial" w:hAnsi="Arial"/>
          <w:sz w:val="18"/>
          <w:szCs w:val="18"/>
          <w:color w:val="auto"/>
        </w:rPr>
        <w:t>Interest expense, net, increased by $0.9 million, or 50.0%, for the three months ended June 30, 2023, as compared to the same period in 2022, and increased by $0.9 million, or 22.5%, for the six months ended June 30, 2023, as compared to the same period in 2022 due to higher interest rates compared to the prior year.</w:t>
      </w:r>
    </w:p>
    <w:p>
      <w:pPr>
        <w:spacing w:after="0" w:line="211"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color w:val="auto"/>
        </w:rPr>
        <w:t>Interest income increased by $4.6 million for the three months ended June 30, 2023, as compared to the same period in 2022, and increased by $9.1 million for the six months ended June 30, 2023, as compared to the same period in 2022, resulting from higher interest rates compared to the prior year, primarily within the US, Europe and South America.</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 Expense</w:t>
      </w:r>
    </w:p>
    <w:p>
      <w:pPr>
        <w:spacing w:after="0" w:line="27"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provision for income taxes was $34.8 million and $44.2 million for the three months ended June 30, 2023 and 2022, respectively, and the effective tax rate was 18.8% and 19.5%, respectively. The decrease in the effective tax rate is primarily due to an increase in the tax benefit related to stock-based compensation for the three months ended June 30, 2023 as compared to the same period in 2022.</w:t>
      </w:r>
    </w:p>
    <w:p>
      <w:pPr>
        <w:spacing w:after="0" w:line="217"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The provision for income taxes was $58.4 million and $65.4 million for the six months ended June 30, 2023 and 2022, respectively, and the effective tax rate was 17.0% and 15.8%, respectively. The increase in the effective tax rate is primarily due to a shift in the geographic earnings mix and a $5.9 million tax benefit recorded as the result of a state tax valuation allowance reversal in the six months ended June 30, 2022 that was not repeated in 2023. This was offset by an increase in the tax benefit related to stock-based compensation for the six months ended June 30, 2023, as compared to the same period in 2022.</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 Net Income of Affiliated Companies</w:t>
      </w:r>
    </w:p>
    <w:p>
      <w:pPr>
        <w:spacing w:after="0" w:line="256"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Equity in net income of affiliated companies decreased by $0.5 million for the three months ended June 30, 2023, as compared to the same period in 2022, due to less favorable operating results at Daikyo and the Mexico affiliates.</w:t>
      </w:r>
    </w:p>
    <w:p>
      <w:pPr>
        <w:spacing w:after="0" w:line="197"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Equity in net income of affiliated companies decreased by $2.0 million for the six months ended June 30, 2023, as compared to the same period in 2022, due to less favorable operating results at Daikyo and the Mexico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7" w:name="page38"/>
    <w:bookmarkEnd w:id="37"/>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FINANCIAL CONDITION, LIQUIDITY AND CAPITAL RESOURCES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following table presents cash flow data for the six months ended June 30:</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6"/>
        </w:trPr>
        <w:tc>
          <w:tcPr>
            <w:tcW w:w="7980" w:type="dxa"/>
            <w:vAlign w:val="bottom"/>
          </w:tcPr>
          <w:p>
            <w:pPr>
              <w:ind w:left="20"/>
              <w:spacing w:after="0"/>
              <w:rPr>
                <w:sz w:val="20"/>
                <w:szCs w:val="20"/>
                <w:color w:val="auto"/>
              </w:rPr>
            </w:pPr>
            <w:r>
              <w:rPr>
                <w:rFonts w:ascii="Arial" w:cs="Arial" w:eastAsia="Arial" w:hAnsi="Arial"/>
                <w:sz w:val="18"/>
                <w:szCs w:val="18"/>
                <w:color w:val="auto"/>
              </w:rPr>
              <w:t>($ in millions)</w:t>
            </w:r>
          </w:p>
        </w:tc>
        <w:tc>
          <w:tcPr>
            <w:tcW w:w="34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37"/>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90"/>
              <w:spacing w:after="0"/>
              <w:rPr>
                <w:sz w:val="20"/>
                <w:szCs w:val="20"/>
                <w:color w:val="auto"/>
              </w:rPr>
            </w:pPr>
            <w:r>
              <w:rPr>
                <w:rFonts w:ascii="Arial" w:cs="Arial" w:eastAsia="Arial" w:hAnsi="Arial"/>
                <w:sz w:val="18"/>
                <w:szCs w:val="18"/>
                <w:color w:val="auto"/>
                <w:w w:val="93"/>
              </w:rPr>
              <w:t>307.3</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88"/>
              </w:rPr>
              <w:t>324.3</w:t>
            </w:r>
          </w:p>
        </w:tc>
      </w:tr>
      <w:tr>
        <w:trPr>
          <w:trHeight w:val="229"/>
        </w:trPr>
        <w:tc>
          <w:tcPr>
            <w:tcW w:w="7980" w:type="dxa"/>
            <w:vAlign w:val="bottom"/>
          </w:tcPr>
          <w:p>
            <w:pPr>
              <w:ind w:left="2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center"/>
              <w:ind w:left="570"/>
              <w:spacing w:after="0"/>
              <w:rPr>
                <w:sz w:val="20"/>
                <w:szCs w:val="20"/>
                <w:color w:val="auto"/>
              </w:rPr>
            </w:pPr>
            <w:r>
              <w:rPr>
                <w:rFonts w:ascii="Arial" w:cs="Arial" w:eastAsia="Arial" w:hAnsi="Arial"/>
                <w:sz w:val="18"/>
                <w:szCs w:val="18"/>
                <w:color w:val="auto"/>
                <w:w w:val="91"/>
              </w:rPr>
              <w:t>(164.2)</w:t>
            </w:r>
          </w:p>
        </w:tc>
        <w:tc>
          <w:tcPr>
            <w:tcW w:w="4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tcPr>
          <w:p>
            <w:pPr>
              <w:jc w:val="center"/>
              <w:ind w:left="550"/>
              <w:spacing w:after="0"/>
              <w:rPr>
                <w:sz w:val="20"/>
                <w:szCs w:val="20"/>
                <w:color w:val="auto"/>
              </w:rPr>
            </w:pPr>
            <w:r>
              <w:rPr>
                <w:rFonts w:ascii="Arial" w:cs="Arial" w:eastAsia="Arial" w:hAnsi="Arial"/>
                <w:sz w:val="18"/>
                <w:szCs w:val="18"/>
                <w:color w:val="auto"/>
                <w:w w:val="94"/>
              </w:rPr>
              <w:t>(134.3)</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financing activities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center"/>
              <w:ind w:left="570"/>
              <w:spacing w:after="0"/>
              <w:rPr>
                <w:sz w:val="20"/>
                <w:szCs w:val="20"/>
                <w:color w:val="auto"/>
              </w:rPr>
            </w:pPr>
            <w:r>
              <w:rPr>
                <w:rFonts w:ascii="Arial" w:cs="Arial" w:eastAsia="Arial" w:hAnsi="Arial"/>
                <w:sz w:val="18"/>
                <w:szCs w:val="18"/>
                <w:color w:val="auto"/>
                <w:w w:val="91"/>
              </w:rPr>
              <w:t>(247.8)</w:t>
            </w:r>
          </w:p>
        </w:tc>
        <w:tc>
          <w:tcPr>
            <w:tcW w:w="4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center"/>
              <w:ind w:left="550"/>
              <w:spacing w:after="0"/>
              <w:rPr>
                <w:sz w:val="20"/>
                <w:szCs w:val="20"/>
                <w:color w:val="auto"/>
              </w:rPr>
            </w:pPr>
            <w:r>
              <w:rPr>
                <w:rFonts w:ascii="Arial" w:cs="Arial" w:eastAsia="Arial" w:hAnsi="Arial"/>
                <w:sz w:val="18"/>
                <w:szCs w:val="18"/>
                <w:color w:val="auto"/>
                <w:w w:val="94"/>
              </w:rPr>
              <w:t>(208.9)</w:t>
            </w:r>
          </w:p>
        </w:tc>
      </w:tr>
    </w:tbl>
    <w:p>
      <w:pPr>
        <w:spacing w:after="0" w:line="319" w:lineRule="exact"/>
        <w:rPr>
          <w:sz w:val="20"/>
          <w:szCs w:val="20"/>
          <w:color w:val="auto"/>
        </w:rPr>
      </w:pPr>
    </w:p>
    <w:p>
      <w:pPr>
        <w:ind w:right="360"/>
        <w:spacing w:after="0" w:line="282" w:lineRule="auto"/>
        <w:rPr>
          <w:sz w:val="20"/>
          <w:szCs w:val="20"/>
          <w:color w:val="auto"/>
        </w:rPr>
      </w:pPr>
      <w:r>
        <w:rPr>
          <w:rFonts w:ascii="Arial" w:cs="Arial" w:eastAsia="Arial" w:hAnsi="Arial"/>
          <w:sz w:val="18"/>
          <w:szCs w:val="18"/>
          <w:b w:val="1"/>
          <w:bCs w:val="1"/>
          <w:color w:val="auto"/>
        </w:rPr>
        <w:t xml:space="preserve">Net Cash Provided by Operating Activities – </w:t>
      </w:r>
      <w:r>
        <w:rPr>
          <w:rFonts w:ascii="Arial" w:cs="Arial" w:eastAsia="Arial" w:hAnsi="Arial"/>
          <w:sz w:val="18"/>
          <w:szCs w:val="18"/>
          <w:color w:val="auto"/>
        </w:rPr>
        <w:t>Net cash provided by operating activities decreased by $17.0 million for the six months ended June 30,</w:t>
      </w:r>
      <w:r>
        <w:rPr>
          <w:rFonts w:ascii="Arial" w:cs="Arial" w:eastAsia="Arial" w:hAnsi="Arial"/>
          <w:sz w:val="18"/>
          <w:szCs w:val="18"/>
          <w:b w:val="1"/>
          <w:bCs w:val="1"/>
          <w:color w:val="auto"/>
        </w:rPr>
        <w:t xml:space="preserve"> </w:t>
      </w:r>
      <w:r>
        <w:rPr>
          <w:rFonts w:ascii="Arial" w:cs="Arial" w:eastAsia="Arial" w:hAnsi="Arial"/>
          <w:sz w:val="18"/>
          <w:szCs w:val="18"/>
          <w:color w:val="auto"/>
        </w:rPr>
        <w:t>2023, as compared to the same period in 2022, primarily due to a decline in operating results.</w:t>
      </w:r>
    </w:p>
    <w:p>
      <w:pPr>
        <w:spacing w:after="0" w:line="189" w:lineRule="exact"/>
        <w:rPr>
          <w:sz w:val="20"/>
          <w:szCs w:val="20"/>
          <w:color w:val="auto"/>
        </w:rPr>
      </w:pPr>
    </w:p>
    <w:p>
      <w:pPr>
        <w:ind w:right="160"/>
        <w:spacing w:after="0" w:line="266" w:lineRule="auto"/>
        <w:rPr>
          <w:sz w:val="20"/>
          <w:szCs w:val="20"/>
          <w:color w:val="auto"/>
        </w:rPr>
      </w:pPr>
      <w:r>
        <w:rPr>
          <w:rFonts w:ascii="Arial" w:cs="Arial" w:eastAsia="Arial" w:hAnsi="Arial"/>
          <w:sz w:val="18"/>
          <w:szCs w:val="18"/>
          <w:b w:val="1"/>
          <w:bCs w:val="1"/>
          <w:color w:val="auto"/>
        </w:rPr>
        <w:t xml:space="preserve">Net Cash Used in Investing Activities – </w:t>
      </w:r>
      <w:r>
        <w:rPr>
          <w:rFonts w:ascii="Arial" w:cs="Arial" w:eastAsia="Arial" w:hAnsi="Arial"/>
          <w:sz w:val="18"/>
          <w:szCs w:val="18"/>
          <w:color w:val="auto"/>
        </w:rPr>
        <w:t>Net cash used in investing activities increased by $29.9 million for the six months ended June 30, 2023, as</w:t>
      </w:r>
      <w:r>
        <w:rPr>
          <w:rFonts w:ascii="Arial" w:cs="Arial" w:eastAsia="Arial" w:hAnsi="Arial"/>
          <w:sz w:val="18"/>
          <w:szCs w:val="18"/>
          <w:b w:val="1"/>
          <w:bCs w:val="1"/>
          <w:color w:val="auto"/>
        </w:rPr>
        <w:t xml:space="preserve"> </w:t>
      </w:r>
      <w:r>
        <w:rPr>
          <w:rFonts w:ascii="Arial" w:cs="Arial" w:eastAsia="Arial" w:hAnsi="Arial"/>
          <w:sz w:val="18"/>
          <w:szCs w:val="18"/>
          <w:color w:val="auto"/>
        </w:rPr>
        <w:t>compared to the same period in 2022, primarily due to an increase in capital expenditures for additional manufacturing capacity in 2023 to meet customer demand.</w:t>
      </w:r>
    </w:p>
    <w:p>
      <w:pPr>
        <w:spacing w:after="0" w:line="203" w:lineRule="exact"/>
        <w:rPr>
          <w:sz w:val="20"/>
          <w:szCs w:val="20"/>
          <w:color w:val="auto"/>
        </w:rPr>
      </w:pPr>
    </w:p>
    <w:p>
      <w:pPr>
        <w:ind w:right="480"/>
        <w:spacing w:after="0" w:line="312" w:lineRule="auto"/>
        <w:rPr>
          <w:sz w:val="20"/>
          <w:szCs w:val="20"/>
          <w:color w:val="auto"/>
        </w:rPr>
      </w:pPr>
      <w:r>
        <w:rPr>
          <w:rFonts w:ascii="Arial" w:cs="Arial" w:eastAsia="Arial" w:hAnsi="Arial"/>
          <w:sz w:val="17"/>
          <w:szCs w:val="17"/>
          <w:b w:val="1"/>
          <w:bCs w:val="1"/>
          <w:color w:val="auto"/>
        </w:rPr>
        <w:t xml:space="preserve">Net Cash Used in Financing Activities – </w:t>
      </w:r>
      <w:r>
        <w:rPr>
          <w:rFonts w:ascii="Arial" w:cs="Arial" w:eastAsia="Arial" w:hAnsi="Arial"/>
          <w:sz w:val="17"/>
          <w:szCs w:val="17"/>
          <w:color w:val="auto"/>
        </w:rPr>
        <w:t>Net cash used in financing activities increased by $38.9 million for the six months ended June 30, 2023, as</w:t>
      </w:r>
      <w:r>
        <w:rPr>
          <w:rFonts w:ascii="Arial" w:cs="Arial" w:eastAsia="Arial" w:hAnsi="Arial"/>
          <w:sz w:val="17"/>
          <w:szCs w:val="17"/>
          <w:b w:val="1"/>
          <w:bCs w:val="1"/>
          <w:color w:val="auto"/>
        </w:rPr>
        <w:t xml:space="preserve"> </w:t>
      </w:r>
      <w:r>
        <w:rPr>
          <w:rFonts w:ascii="Arial" w:cs="Arial" w:eastAsia="Arial" w:hAnsi="Arial"/>
          <w:sz w:val="17"/>
          <w:szCs w:val="17"/>
          <w:color w:val="auto"/>
        </w:rPr>
        <w:t>compared to the same period in 2022, primarily due to increases in purchases under our share repurchase program in 2023.</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980" w:type="dxa"/>
            <w:vAlign w:val="bottom"/>
          </w:tcPr>
          <w:p>
            <w:pPr>
              <w:spacing w:after="0"/>
              <w:rPr>
                <w:sz w:val="20"/>
                <w:szCs w:val="20"/>
                <w:color w:val="auto"/>
              </w:rPr>
            </w:pPr>
            <w:r>
              <w:rPr>
                <w:rFonts w:ascii="Arial" w:cs="Arial" w:eastAsia="Arial" w:hAnsi="Arial"/>
                <w:sz w:val="18"/>
                <w:szCs w:val="18"/>
                <w:b w:val="1"/>
                <w:bCs w:val="1"/>
                <w:color w:val="auto"/>
              </w:rPr>
              <w:t>Liquidity and Capital Resources</w:t>
            </w:r>
          </w:p>
        </w:tc>
        <w:tc>
          <w:tcPr>
            <w:tcW w:w="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80" w:type="dxa"/>
            <w:vAlign w:val="bottom"/>
          </w:tcPr>
          <w:p>
            <w:pPr>
              <w:spacing w:after="0"/>
              <w:rPr>
                <w:sz w:val="20"/>
                <w:szCs w:val="20"/>
                <w:color w:val="auto"/>
              </w:rPr>
            </w:pPr>
          </w:p>
        </w:tc>
      </w:tr>
      <w:tr>
        <w:trPr>
          <w:trHeight w:val="459"/>
        </w:trPr>
        <w:tc>
          <w:tcPr>
            <w:tcW w:w="7980" w:type="dxa"/>
            <w:vAlign w:val="bottom"/>
          </w:tcPr>
          <w:p>
            <w:pPr>
              <w:spacing w:after="0"/>
              <w:rPr>
                <w:sz w:val="20"/>
                <w:szCs w:val="20"/>
                <w:color w:val="auto"/>
              </w:rPr>
            </w:pPr>
            <w:r>
              <w:rPr>
                <w:rFonts w:ascii="Arial" w:cs="Arial" w:eastAsia="Arial" w:hAnsi="Arial"/>
                <w:sz w:val="18"/>
                <w:szCs w:val="18"/>
                <w:color w:val="auto"/>
              </w:rPr>
              <w:t>The table below presents selected liquidity and capital measures:</w:t>
            </w:r>
          </w:p>
        </w:tc>
        <w:tc>
          <w:tcPr>
            <w:tcW w:w="2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r>
      <w:tr>
        <w:trPr>
          <w:trHeight w:val="203"/>
        </w:trPr>
        <w:tc>
          <w:tcPr>
            <w:tcW w:w="79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80" w:type="dxa"/>
            <w:vAlign w:val="bottom"/>
          </w:tcPr>
          <w:p>
            <w:pPr>
              <w:jc w:val="right"/>
              <w:ind w:right="390"/>
              <w:spacing w:after="0" w:line="202" w:lineRule="exact"/>
              <w:rPr>
                <w:sz w:val="20"/>
                <w:szCs w:val="20"/>
                <w:color w:val="auto"/>
              </w:rPr>
            </w:pPr>
            <w:r>
              <w:rPr>
                <w:rFonts w:ascii="Arial" w:cs="Arial" w:eastAsia="Arial" w:hAnsi="Arial"/>
                <w:sz w:val="18"/>
                <w:szCs w:val="18"/>
                <w:color w:val="auto"/>
              </w:rPr>
              <w:t>June 30,</w:t>
            </w: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jc w:val="right"/>
              <w:ind w:right="190"/>
              <w:spacing w:after="0" w:line="202" w:lineRule="exact"/>
              <w:rPr>
                <w:sz w:val="20"/>
                <w:szCs w:val="20"/>
                <w:color w:val="auto"/>
              </w:rPr>
            </w:pPr>
            <w:r>
              <w:rPr>
                <w:rFonts w:ascii="Arial" w:cs="Arial" w:eastAsia="Arial" w:hAnsi="Arial"/>
                <w:sz w:val="18"/>
                <w:szCs w:val="18"/>
                <w:color w:val="auto"/>
                <w:w w:val="95"/>
              </w:rPr>
              <w:t>December 31,</w:t>
            </w:r>
          </w:p>
        </w:tc>
      </w:tr>
      <w:tr>
        <w:trPr>
          <w:trHeight w:val="243"/>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 in millions)</w:t>
            </w:r>
          </w:p>
        </w:tc>
        <w:tc>
          <w:tcPr>
            <w:tcW w:w="28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2023</w:t>
            </w:r>
          </w:p>
        </w:tc>
        <w:tc>
          <w:tcPr>
            <w:tcW w:w="120" w:type="dxa"/>
            <w:vAlign w:val="bottom"/>
            <w:tcBorders>
              <w:bottom w:val="single" w:sz="8" w:color="CCEEFF"/>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38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2022</w:t>
            </w:r>
          </w:p>
        </w:tc>
      </w:tr>
      <w:tr>
        <w:trPr>
          <w:trHeight w:val="22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894.3</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receivable, net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534.4</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507.4</w:t>
            </w:r>
          </w:p>
        </w:tc>
      </w:tr>
      <w:tr>
        <w:trPr>
          <w:trHeight w:val="243"/>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Inventories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449.4</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r>
      <w:tr>
        <w:trPr>
          <w:trHeight w:val="230"/>
        </w:trPr>
        <w:tc>
          <w:tcPr>
            <w:tcW w:w="7980" w:type="dxa"/>
            <w:vAlign w:val="bottom"/>
          </w:tcPr>
          <w:p>
            <w:pPr>
              <w:ind w:left="20"/>
              <w:spacing w:after="0"/>
              <w:rPr>
                <w:sz w:val="20"/>
                <w:szCs w:val="20"/>
                <w:color w:val="auto"/>
              </w:rPr>
            </w:pPr>
            <w:r>
              <w:rPr>
                <w:rFonts w:ascii="Arial" w:cs="Arial" w:eastAsia="Arial" w:hAnsi="Arial"/>
                <w:sz w:val="18"/>
                <w:szCs w:val="18"/>
                <w:color w:val="auto"/>
              </w:rPr>
              <w:t>Accounts payable</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218.0</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215.4</w:t>
            </w:r>
          </w:p>
        </w:tc>
      </w:tr>
      <w:tr>
        <w:trPr>
          <w:trHeight w:val="230"/>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207.8</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208.9</w:t>
            </w:r>
          </w:p>
        </w:tc>
      </w:tr>
      <w:tr>
        <w:trPr>
          <w:trHeight w:val="237"/>
        </w:trPr>
        <w:tc>
          <w:tcPr>
            <w:tcW w:w="7980" w:type="dxa"/>
            <w:vAlign w:val="bottom"/>
          </w:tcPr>
          <w:p>
            <w:pPr>
              <w:ind w:left="20"/>
              <w:spacing w:after="0"/>
              <w:rPr>
                <w:sz w:val="20"/>
                <w:szCs w:val="20"/>
                <w:color w:val="auto"/>
              </w:rPr>
            </w:pPr>
            <w:r>
              <w:rPr>
                <w:rFonts w:ascii="Arial" w:cs="Arial" w:eastAsia="Arial" w:hAnsi="Arial"/>
                <w:sz w:val="18"/>
                <w:szCs w:val="18"/>
                <w:color w:val="auto"/>
              </w:rPr>
              <w:t>Equity</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2,746.7</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2,684.9</w:t>
            </w:r>
          </w:p>
        </w:tc>
      </w:tr>
      <w:tr>
        <w:trPr>
          <w:trHeight w:val="23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Working capital</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1,400.5</w:t>
            </w:r>
          </w:p>
        </w:tc>
      </w:tr>
    </w:tbl>
    <w:p>
      <w:pPr>
        <w:spacing w:after="0" w:line="323"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Cash and cash equivalents include all instruments that have maturities of ninety days or less when purchased. Working capital is defined as current assets less current liabilities.</w:t>
      </w:r>
    </w:p>
    <w:p>
      <w:pPr>
        <w:spacing w:after="0" w:line="193" w:lineRule="exact"/>
        <w:rPr>
          <w:sz w:val="20"/>
          <w:szCs w:val="20"/>
          <w:color w:val="auto"/>
        </w:rPr>
      </w:pPr>
    </w:p>
    <w:p>
      <w:pPr>
        <w:ind w:right="100"/>
        <w:spacing w:after="0" w:line="303" w:lineRule="auto"/>
        <w:rPr>
          <w:sz w:val="20"/>
          <w:szCs w:val="20"/>
          <w:color w:val="auto"/>
        </w:rPr>
      </w:pPr>
      <w:r>
        <w:rPr>
          <w:rFonts w:ascii="Arial" w:cs="Arial" w:eastAsia="Arial" w:hAnsi="Arial"/>
          <w:sz w:val="16"/>
          <w:szCs w:val="16"/>
          <w:b w:val="1"/>
          <w:bCs w:val="1"/>
          <w:color w:val="auto"/>
        </w:rPr>
        <w:t xml:space="preserve">Cash and cash equivalents – </w:t>
      </w:r>
      <w:r>
        <w:rPr>
          <w:rFonts w:ascii="Arial" w:cs="Arial" w:eastAsia="Arial" w:hAnsi="Arial"/>
          <w:sz w:val="16"/>
          <w:szCs w:val="16"/>
          <w:color w:val="auto"/>
        </w:rPr>
        <w:t>Our cash and cash equivalents balance at June 30, 2023 consisted of cash held in depository accounts with banks around the</w:t>
      </w:r>
      <w:r>
        <w:rPr>
          <w:rFonts w:ascii="Arial" w:cs="Arial" w:eastAsia="Arial" w:hAnsi="Arial"/>
          <w:sz w:val="16"/>
          <w:szCs w:val="16"/>
          <w:b w:val="1"/>
          <w:bCs w:val="1"/>
          <w:color w:val="auto"/>
        </w:rPr>
        <w:t xml:space="preserve"> </w:t>
      </w:r>
      <w:r>
        <w:rPr>
          <w:rFonts w:ascii="Arial" w:cs="Arial" w:eastAsia="Arial" w:hAnsi="Arial"/>
          <w:sz w:val="16"/>
          <w:szCs w:val="16"/>
          <w:color w:val="auto"/>
        </w:rPr>
        <w:t>world and cash invested in high-quality, short-term investments. The cash and cash equivalents balance at June 30, 2023 included $428.5 million of cash held by subsidiaries within the U.S., and $367.8 million of cash held by subsidiaries outside of the U.S. During the six months ended June 30, 2023, we purchased 676,070 shares of our common stock under the share repurchase program at a cost of $233.5 million, or an average price of $345.33 per share.</w:t>
      </w:r>
    </w:p>
    <w:p>
      <w:pPr>
        <w:spacing w:after="0" w:line="178" w:lineRule="exact"/>
        <w:rPr>
          <w:sz w:val="20"/>
          <w:szCs w:val="20"/>
          <w:color w:val="auto"/>
        </w:rPr>
      </w:pPr>
    </w:p>
    <w:p>
      <w:pPr>
        <w:ind w:right="120"/>
        <w:spacing w:after="0" w:line="261" w:lineRule="auto"/>
        <w:rPr>
          <w:sz w:val="20"/>
          <w:szCs w:val="20"/>
          <w:color w:val="auto"/>
        </w:rPr>
      </w:pPr>
      <w:r>
        <w:rPr>
          <w:rFonts w:ascii="Arial" w:cs="Arial" w:eastAsia="Arial" w:hAnsi="Arial"/>
          <w:sz w:val="18"/>
          <w:szCs w:val="18"/>
          <w:b w:val="1"/>
          <w:bCs w:val="1"/>
          <w:color w:val="auto"/>
        </w:rPr>
        <w:t xml:space="preserve">Working capital – </w:t>
      </w:r>
      <w:r>
        <w:rPr>
          <w:rFonts w:ascii="Arial" w:cs="Arial" w:eastAsia="Arial" w:hAnsi="Arial"/>
          <w:sz w:val="18"/>
          <w:szCs w:val="18"/>
          <w:color w:val="auto"/>
        </w:rPr>
        <w:t>Working capital at June 30, 2023 decreased by $37.9 million, or 2.7%, as compared to December 31, 2022, which includes a favorable</w:t>
      </w:r>
      <w:r>
        <w:rPr>
          <w:rFonts w:ascii="Arial" w:cs="Arial" w:eastAsia="Arial" w:hAnsi="Arial"/>
          <w:sz w:val="18"/>
          <w:szCs w:val="18"/>
          <w:b w:val="1"/>
          <w:bCs w:val="1"/>
          <w:color w:val="auto"/>
        </w:rPr>
        <w:t xml:space="preserve"> </w:t>
      </w:r>
      <w:r>
        <w:rPr>
          <w:rFonts w:ascii="Arial" w:cs="Arial" w:eastAsia="Arial" w:hAnsi="Arial"/>
          <w:sz w:val="18"/>
          <w:szCs w:val="18"/>
          <w:color w:val="auto"/>
        </w:rPr>
        <w:t>foreign currently translation impact of $2.0 million. Excluding the impact of currency exchange rates, accounts receivable and inventories increased by $21.8 million and $31.7 million, respectively, while cash and cash equivalents and total current liabilities decreased by $104.6 million and $10.3 million,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sectPr>
      </w:pPr>
    </w:p>
    <w:bookmarkStart w:id="38" w:name="page39"/>
    <w:bookmarkEnd w:id="38"/>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fluctuation in accounts receivable was primarily due to the increase of sales transactions leading up to the June 30, 2023 balance sheet date as compared to the December 31, 2022 balance date. The increase in inventories was to ensure we have sufficient inventory on hand to support the needs of our customers. The decrease in cash and cash equivalents was due to capital expenditures and share repurchases, offset by positive operating results during the six months ended June 30, 2023. The decrease in total current liabilities was primarily caused by a decline in deferred income and deferred compensation liabilities.</w:t>
      </w:r>
    </w:p>
    <w:p>
      <w:pPr>
        <w:spacing w:after="0" w:line="211" w:lineRule="exact"/>
        <w:rPr>
          <w:sz w:val="20"/>
          <w:szCs w:val="20"/>
          <w:color w:val="auto"/>
        </w:rPr>
      </w:pPr>
    </w:p>
    <w:p>
      <w:pPr>
        <w:ind w:right="200"/>
        <w:spacing w:after="0" w:line="282" w:lineRule="auto"/>
        <w:rPr>
          <w:sz w:val="20"/>
          <w:szCs w:val="20"/>
          <w:color w:val="auto"/>
        </w:rPr>
      </w:pPr>
      <w:r>
        <w:rPr>
          <w:rFonts w:ascii="Arial" w:cs="Arial" w:eastAsia="Arial" w:hAnsi="Arial"/>
          <w:sz w:val="18"/>
          <w:szCs w:val="18"/>
          <w:b w:val="1"/>
          <w:bCs w:val="1"/>
          <w:color w:val="auto"/>
        </w:rPr>
        <w:t xml:space="preserve">Debt and credit facilities – </w:t>
      </w:r>
      <w:r>
        <w:rPr>
          <w:rFonts w:ascii="Arial" w:cs="Arial" w:eastAsia="Arial" w:hAnsi="Arial"/>
          <w:sz w:val="18"/>
          <w:szCs w:val="18"/>
          <w:color w:val="auto"/>
        </w:rPr>
        <w:t>The $1.1 million decrease in total debt at June 30, 2023, as compared to December 31, 2022, resulted from debt repayments</w:t>
      </w:r>
      <w:r>
        <w:rPr>
          <w:rFonts w:ascii="Arial" w:cs="Arial" w:eastAsia="Arial" w:hAnsi="Arial"/>
          <w:sz w:val="18"/>
          <w:szCs w:val="18"/>
          <w:b w:val="1"/>
          <w:bCs w:val="1"/>
          <w:color w:val="auto"/>
        </w:rPr>
        <w:t xml:space="preserve"> </w:t>
      </w:r>
      <w:r>
        <w:rPr>
          <w:rFonts w:ascii="Arial" w:cs="Arial" w:eastAsia="Arial" w:hAnsi="Arial"/>
          <w:sz w:val="18"/>
          <w:szCs w:val="18"/>
          <w:color w:val="auto"/>
        </w:rPr>
        <w:t>under our Term Loan.</w:t>
      </w:r>
    </w:p>
    <w:p>
      <w:pPr>
        <w:spacing w:after="0" w:line="193" w:lineRule="exact"/>
        <w:rPr>
          <w:sz w:val="20"/>
          <w:szCs w:val="20"/>
          <w:color w:val="auto"/>
        </w:rPr>
      </w:pPr>
    </w:p>
    <w:p>
      <w:pPr>
        <w:jc w:val="both"/>
        <w:ind w:right="220"/>
        <w:spacing w:after="0" w:line="263" w:lineRule="auto"/>
        <w:rPr>
          <w:sz w:val="20"/>
          <w:szCs w:val="20"/>
          <w:color w:val="auto"/>
        </w:rPr>
      </w:pPr>
      <w:r>
        <w:rPr>
          <w:rFonts w:ascii="Arial" w:cs="Arial" w:eastAsia="Arial" w:hAnsi="Arial"/>
          <w:sz w:val="18"/>
          <w:szCs w:val="18"/>
          <w:color w:val="auto"/>
        </w:rPr>
        <w:t>Our sources of liquidity include our Credit Facility. At June 30, 2023, we had no outstanding borrowings under the Credit Facility. At June 30, 2023, the borrowing capacity available under the Credit Facility, including outstanding letters of credit of $2.4 million, was $497.6 million. We do not expect any significant limitations on our ability to access this source of funds.</w:t>
      </w:r>
    </w:p>
    <w:p>
      <w:pPr>
        <w:spacing w:after="0" w:line="211"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Pursuant to the financial covenants in our debt agreements, we are required to maintain established interest coverage ratios and not to exceed established leverage ratios. In addition, the agreements contain other customary covenants, none of which we consider restrictive to our operations. At June 30, 2023, we were in compliance with all of our debt covenants.</w:t>
      </w:r>
    </w:p>
    <w:p>
      <w:pPr>
        <w:spacing w:after="0" w:line="211"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We believe that cash on hand and cash generated from operations, together with availability under our Credit Facility, will be adequate to address our foreseeable liquidity needs based on our current expectations of our business operations, capital expenditures and scheduled payments of debt obligations.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Contractual Obligations</w:t>
      </w:r>
    </w:p>
    <w:p>
      <w:pPr>
        <w:spacing w:after="0" w:line="256"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A summary of future material cash payments resulting from commitments and contractual obligations was provided in our 2022 Annual Report. During the three months ended June 30, 2023, there were no material changes outside of the ordinary course of business to our commitments and contractual obligations.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At June 30, 2023, we had no off-balance sheet financing arrangements other than unconditional purchase obligations incurred in the ordinary course of business and outstanding letters of credit related to various insurance programs, as noted in our 2022 Annual Report.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There have been no changes to the Critical Accounting Policies and Estimates disclosed in Part II, Item 7 of our 2022 Annual Report.</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There were no new accounting standards adopted during the three months ended June 30, 2023, see Note 2, </w:t>
      </w:r>
      <w:r>
        <w:rPr>
          <w:rFonts w:ascii="Arial" w:cs="Arial" w:eastAsia="Arial" w:hAnsi="Arial"/>
          <w:sz w:val="18"/>
          <w:szCs w:val="18"/>
          <w:i w:val="1"/>
          <w:iCs w:val="1"/>
          <w:u w:val="single" w:color="auto"/>
          <w:color w:val="0000FF"/>
        </w:rPr>
        <w:t>New Accounting Standards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39" w:name="page40"/>
    <w:bookmarkEnd w:id="39"/>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STATEMENT REGARDING FORWARD-LOOKING STATEMENTS</w:t>
      </w:r>
    </w:p>
    <w:p>
      <w:pPr>
        <w:spacing w:after="0" w:line="256" w:lineRule="exact"/>
        <w:rPr>
          <w:sz w:val="20"/>
          <w:szCs w:val="20"/>
          <w:color w:val="auto"/>
        </w:rPr>
      </w:pPr>
    </w:p>
    <w:p>
      <w:pPr>
        <w:ind w:right="20"/>
        <w:spacing w:after="0" w:line="271" w:lineRule="auto"/>
        <w:rPr>
          <w:sz w:val="20"/>
          <w:szCs w:val="20"/>
          <w:color w:val="auto"/>
        </w:rPr>
      </w:pPr>
      <w:r>
        <w:rPr>
          <w:rFonts w:ascii="Arial" w:cs="Arial" w:eastAsia="Arial" w:hAnsi="Arial"/>
          <w:sz w:val="17"/>
          <w:szCs w:val="17"/>
          <w:color w:val="auto"/>
        </w:rPr>
        <w:t>Our disclosure and analysis in this Form 10-Q contains some forward-looking statements that are based on management’s beliefs and assumptions, current expectations, estimates and forecasts. We also provide forward-looking statements in other materials we release to the public, as well as oral forward-looking statements. Such statements provide our current expectations or forecasts of future events. They do not relate strictly to historical or current facts. We have attempted, wherever possible, to identify forward-looking statements by using words such as “plan,” “expect,” “believe,” “intend,” “will,” “estimate,” “continue” and other words of similar meaning in conjunction with, among other things, discussions of future operations and financial performance, as well as our strategy for growth, product development, market position and expenditures. All statements that address operating performance or events or developments that we expect or anticipate will occur in the future - including statements relating to sales and earnings per share growth, cash flows or uses, and statements expressing views about future operating results - are forward-looking statements.</w:t>
      </w:r>
    </w:p>
    <w:p>
      <w:pPr>
        <w:spacing w:after="0" w:line="20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Forward-looking statements are based on current expectations of future events. The forward-looking statements are, and will be, based on management’s then-current views and assumptions regarding future events and operating performance, and speak only as of their dates. Investors should realize that, if underlying assumptions prove inaccurate or unknown risks or uncertainties materialize, actual results could vary materially from our expectations and projections. Investors are therefore cautioned not to place undue reliance on any forward-looking statements.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color w:val="auto"/>
        </w:rPr>
        <w:t>The following are some important factors that could cause our actual results to differ from our expectations in any forward-looking statements:</w:t>
      </w:r>
    </w:p>
    <w:p>
      <w:pPr>
        <w:spacing w:after="0" w:line="183" w:lineRule="exact"/>
        <w:rPr>
          <w:sz w:val="20"/>
          <w:szCs w:val="20"/>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sales demand and our ability to meet that demand;</w:t>
      </w:r>
    </w:p>
    <w:p>
      <w:pPr>
        <w:spacing w:after="0" w:line="171" w:lineRule="exact"/>
        <w:rPr>
          <w:rFonts w:ascii="Arial" w:cs="Arial" w:eastAsia="Arial" w:hAnsi="Arial"/>
          <w:sz w:val="18"/>
          <w:szCs w:val="18"/>
          <w:color w:val="auto"/>
        </w:rPr>
      </w:pPr>
    </w:p>
    <w:p>
      <w:pPr>
        <w:ind w:left="980" w:right="32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competition from other providers in our businesses, including customers’ in-house operations, and from lower-cost producers in emerging markets, which can impact unit volume, price and profitability;</w:t>
      </w:r>
    </w:p>
    <w:p>
      <w:pPr>
        <w:spacing w:after="0" w:line="116"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customers’ changing inventory requirements and manufacturing plans that alter existing orders or ordering patterns for the products we supply to them;</w:t>
      </w:r>
    </w:p>
    <w:p>
      <w:pPr>
        <w:spacing w:after="0" w:line="116" w:lineRule="exact"/>
        <w:rPr>
          <w:rFonts w:ascii="Arial" w:cs="Arial" w:eastAsia="Arial" w:hAnsi="Arial"/>
          <w:sz w:val="18"/>
          <w:szCs w:val="18"/>
          <w:color w:val="auto"/>
        </w:rPr>
      </w:pPr>
    </w:p>
    <w:p>
      <w:pPr>
        <w:ind w:left="980" w:hanging="324"/>
        <w:spacing w:after="0" w:line="311" w:lineRule="auto"/>
        <w:tabs>
          <w:tab w:leader="none" w:pos="980" w:val="left"/>
        </w:tabs>
        <w:numPr>
          <w:ilvl w:val="0"/>
          <w:numId w:val="7"/>
        </w:numPr>
        <w:rPr>
          <w:rFonts w:ascii="Arial" w:cs="Arial" w:eastAsia="Arial" w:hAnsi="Arial"/>
          <w:sz w:val="16"/>
          <w:szCs w:val="16"/>
          <w:color w:val="auto"/>
        </w:rPr>
      </w:pPr>
      <w:r>
        <w:rPr>
          <w:rFonts w:ascii="Arial" w:cs="Arial" w:eastAsia="Arial" w:hAnsi="Arial"/>
          <w:sz w:val="16"/>
          <w:szCs w:val="16"/>
          <w:color w:val="auto"/>
        </w:rPr>
        <w:t>interruptions or weaknesses in our supply chain, including from reasons beyond our control such as extreme weather, longer-term climate changes, natural disasters, pandemic, war, accidental damage, or unauthorized access to our or our customers’ information and systems, which could cause delivery delays or restrict the availability of raw materials, key purchased components and finished products;</w:t>
      </w:r>
    </w:p>
    <w:p>
      <w:pPr>
        <w:spacing w:after="0" w:line="94" w:lineRule="exact"/>
        <w:rPr>
          <w:rFonts w:ascii="Arial" w:cs="Arial" w:eastAsia="Arial" w:hAnsi="Arial"/>
          <w:sz w:val="16"/>
          <w:szCs w:val="16"/>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timing, regulatory approval and commercial success of customer products that incorporate our products and systems;</w:t>
      </w:r>
    </w:p>
    <w:p>
      <w:pPr>
        <w:spacing w:after="0" w:line="171" w:lineRule="exact"/>
        <w:rPr>
          <w:rFonts w:ascii="Arial" w:cs="Arial" w:eastAsia="Arial" w:hAnsi="Arial"/>
          <w:sz w:val="18"/>
          <w:szCs w:val="18"/>
          <w:color w:val="auto"/>
        </w:rPr>
      </w:pPr>
    </w:p>
    <w:p>
      <w:pPr>
        <w:ind w:left="980" w:hanging="324"/>
        <w:spacing w:after="0" w:line="259"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whether customers agree to incorporate our products and delivery systems with their new and existing drug products, the ultimate timing and successful commercialization of those products and systems, which involves substantial evaluations of the functional, operational, clinical and economic viability of our products, and the rate, timing and success of regulatory approval for the drug products that incorporate our components and systems;</w:t>
      </w:r>
    </w:p>
    <w:p>
      <w:pPr>
        <w:spacing w:after="0" w:line="132" w:lineRule="exact"/>
        <w:rPr>
          <w:rFonts w:ascii="Arial" w:cs="Arial" w:eastAsia="Arial" w:hAnsi="Arial"/>
          <w:sz w:val="18"/>
          <w:szCs w:val="18"/>
          <w:color w:val="auto"/>
        </w:rPr>
      </w:pPr>
    </w:p>
    <w:p>
      <w:pPr>
        <w:ind w:left="980" w:right="60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timely and adequate availability of filling capacity, which is essential to conducting definitive stability trials and the timing of first commercialization of customers’ products in Crystal Zenith prefilled syringes;</w:t>
      </w:r>
    </w:p>
    <w:p>
      <w:pPr>
        <w:spacing w:after="0" w:line="116" w:lineRule="exact"/>
        <w:rPr>
          <w:rFonts w:ascii="Arial" w:cs="Arial" w:eastAsia="Arial" w:hAnsi="Arial"/>
          <w:sz w:val="18"/>
          <w:szCs w:val="18"/>
          <w:color w:val="auto"/>
        </w:rPr>
      </w:pPr>
    </w:p>
    <w:p>
      <w:pPr>
        <w:ind w:left="980" w:right="2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profitability, or mix, of the products sold in any reporting period, including lower-than-expected sales growth of our high-value proprietary product offerings;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maintaining or improving production efficiencies and overhead absorption;</w:t>
      </w:r>
    </w:p>
    <w:p>
      <w:pPr>
        <w:spacing w:after="0" w:line="171" w:lineRule="exact"/>
        <w:rPr>
          <w:rFonts w:ascii="Arial" w:cs="Arial" w:eastAsia="Arial" w:hAnsi="Arial"/>
          <w:sz w:val="18"/>
          <w:szCs w:val="18"/>
          <w:color w:val="auto"/>
        </w:rPr>
      </w:pPr>
    </w:p>
    <w:p>
      <w:pPr>
        <w:ind w:left="980" w:right="140" w:hanging="324"/>
        <w:spacing w:after="0" w:line="277"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dependence on third-party suppliers and partners, some of which are single-source suppliers of critical materials and products, including our Japanese partner and affiliate, Daikyo;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0" w:name="page41"/>
    <w:bookmarkEnd w:id="40"/>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loss of key personnel or highly-skilled employees;</w:t>
      </w:r>
    </w:p>
    <w:p>
      <w:pPr>
        <w:spacing w:after="0" w:line="171" w:lineRule="exact"/>
        <w:rPr>
          <w:rFonts w:ascii="Arial" w:cs="Arial" w:eastAsia="Arial" w:hAnsi="Arial"/>
          <w:sz w:val="18"/>
          <w:szCs w:val="18"/>
          <w:color w:val="auto"/>
        </w:rPr>
      </w:pPr>
    </w:p>
    <w:p>
      <w:pPr>
        <w:ind w:left="980" w:right="70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availability and cost of skilled employees required to meet increased production, managerial, research and other needs, including professional employees and persons employed under collective bargaining agreements;</w:t>
      </w:r>
    </w:p>
    <w:p>
      <w:pPr>
        <w:spacing w:after="0" w:line="116" w:lineRule="exact"/>
        <w:rPr>
          <w:rFonts w:ascii="Arial" w:cs="Arial" w:eastAsia="Arial" w:hAnsi="Arial"/>
          <w:sz w:val="18"/>
          <w:szCs w:val="18"/>
          <w:color w:val="auto"/>
        </w:rPr>
      </w:pPr>
    </w:p>
    <w:p>
      <w:pPr>
        <w:ind w:left="980" w:right="64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successful and timely implementation of price increases necessary to offset rising production costs, including raw material prices, particularly petroleum-based raw materials;</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cost and progress of development, regulatory approval and marketing of new products;</w:t>
      </w:r>
    </w:p>
    <w:p>
      <w:pPr>
        <w:spacing w:after="0" w:line="171"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our ability to obtain and maintain licenses in any jurisdiction in which we do business;</w:t>
      </w:r>
    </w:p>
    <w:p>
      <w:pPr>
        <w:spacing w:after="0" w:line="171" w:lineRule="exact"/>
        <w:rPr>
          <w:rFonts w:ascii="Arial" w:cs="Arial" w:eastAsia="Arial" w:hAnsi="Arial"/>
          <w:sz w:val="18"/>
          <w:szCs w:val="18"/>
          <w:color w:val="auto"/>
        </w:rPr>
      </w:pPr>
    </w:p>
    <w:p>
      <w:pPr>
        <w:ind w:left="980" w:right="280" w:hanging="324"/>
        <w:spacing w:after="0" w:line="277"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relative strength of USD in relation to other currencies, particularly the Euro, SGD, the Danish Krone, Yen, Colombian Peso, Brazilian Real, and the South Korean Won; and</w:t>
      </w:r>
    </w:p>
    <w:p>
      <w:pPr>
        <w:spacing w:after="0" w:line="116" w:lineRule="exact"/>
        <w:rPr>
          <w:rFonts w:ascii="Arial" w:cs="Arial" w:eastAsia="Arial" w:hAnsi="Arial"/>
          <w:sz w:val="18"/>
          <w:szCs w:val="18"/>
          <w:color w:val="auto"/>
        </w:rPr>
      </w:pPr>
    </w:p>
    <w:p>
      <w:pPr>
        <w:ind w:left="980" w:hanging="324"/>
        <w:spacing w:after="0"/>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potential adverse effects of global healthcare legislation on customer demand, product pricing and profitability.</w:t>
      </w:r>
    </w:p>
    <w:p>
      <w:pPr>
        <w:spacing w:after="0" w:line="25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This list sets forth many, but not all, of the factors that could affect our ability to achieve results described in any forward-looking statements. Investors should understand that it is not possible to predict or identify all of the factors and should not consider this list to be a complete statement of all potential risks and uncertainties. For further discussion of these and other factors, see the risk factors disclosed in Part I, Item 1A of our 2022 Annual Report as well as Part II, section 1A of this quarterly report.</w:t>
      </w:r>
    </w:p>
    <w:p>
      <w:pPr>
        <w:spacing w:after="0" w:line="214"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Except as required by law or regulation, we undertake no obligation to publicly update any forward-looking statements, whether as a result of new information, future events or otherwise.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7"/>
          <w:szCs w:val="17"/>
          <w:color w:val="auto"/>
        </w:rPr>
        <w:t>There have been no material changes in our exposure to market risk or the information provided in Part II, Item 7A of our 2022 Annual Report.</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w:t>
      </w:r>
      <w:r>
        <w:rPr>
          <w:rFonts w:ascii="Arial" w:cs="Arial" w:eastAsia="Arial" w:hAnsi="Arial"/>
          <w:sz w:val="18"/>
          <w:szCs w:val="18"/>
          <w:color w:val="auto"/>
        </w:rPr>
        <w:t>.</w:t>
      </w:r>
      <w:r>
        <w:rPr>
          <w:rFonts w:ascii="Arial" w:cs="Arial" w:eastAsia="Arial" w:hAnsi="Arial"/>
          <w:sz w:val="18"/>
          <w:szCs w:val="18"/>
          <w:b w:val="1"/>
          <w:bCs w:val="1"/>
          <w:color w:val="auto"/>
        </w:rPr>
        <w:t xml:space="preserve"> CONTROLS AND PROCEDURES</w:t>
      </w:r>
    </w:p>
    <w:p>
      <w:pPr>
        <w:spacing w:after="0" w:line="256"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Disclosure controls are controls and procedures designed to reasonably ensure that information required to be disclosed in our reports filed under the Exchange Act, such as this quarterly report, is recorded, processed, summarized and reported within the time periods specified in the SEC’s rules and forms. Disclosure controls include, without limitation, controls and procedures designed to ensure that information required to be disclosed in our reports filed under the Securities Exchange Act of 1934, as amended, is accumulated and communicated to our management, including our Chief Executive Officer (“CEO”) and Chief Financial Officer (“CFO”), or persons performing similar functions, as appropriate, to allow timely decisions regarding required disclosure.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An evaluation was performed under the supervision and with the participation of our management, including our CEO and CFO, of the effectiveness of our disclosure controls and procedures (as defined in Rule 13a-15(e) under the Securities Exchange Act of 1934), as of the end of the period covered by this quarterly report on Form 10-Q. Based on this evaluation, our CEO and CFO have concluded that, as of June 30, 2023, our disclosure controls and procedures are effective.</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Controls</w:t>
      </w:r>
    </w:p>
    <w:p>
      <w:pPr>
        <w:spacing w:after="0" w:line="27" w:lineRule="exact"/>
        <w:rPr>
          <w:sz w:val="20"/>
          <w:szCs w:val="20"/>
          <w:color w:val="auto"/>
        </w:rPr>
      </w:pPr>
    </w:p>
    <w:p>
      <w:pPr>
        <w:ind w:right="320"/>
        <w:spacing w:after="0" w:line="260" w:lineRule="auto"/>
        <w:rPr>
          <w:sz w:val="20"/>
          <w:szCs w:val="20"/>
          <w:color w:val="auto"/>
        </w:rPr>
      </w:pPr>
      <w:r>
        <w:rPr>
          <w:rFonts w:ascii="Arial" w:cs="Arial" w:eastAsia="Arial" w:hAnsi="Arial"/>
          <w:sz w:val="18"/>
          <w:szCs w:val="18"/>
          <w:color w:val="auto"/>
        </w:rPr>
        <w:t>During the quarter ended June 30, 2023, there have been no changes to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30" w:right="359" w:bottom="1440" w:gutter="0" w:footer="0" w:header="0"/>
        </w:sectPr>
      </w:pPr>
    </w:p>
    <w:bookmarkStart w:id="41" w:name="page42"/>
    <w:bookmarkEnd w:id="41"/>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We are providing the disclosure below and supplementing the risk factors described in Part I, Item 1A of our 2022 Annual Report with the following risk factor. The additional risk factor identified should be read in conjunction with the risk factors described in the 2022 Annual Report and the information under the “Forward Looking Statements” in the 2022 Annual Report.</w:t>
      </w:r>
    </w:p>
    <w:p>
      <w:pPr>
        <w:spacing w:after="0" w:line="19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i w:val="1"/>
          <w:iCs w:val="1"/>
          <w:color w:val="auto"/>
        </w:rPr>
        <w:t>Unstable market and economic conditions and adverse developments with respect to financial institutions and associated liquidity risk may have serious adverse consequences on our business and financial condition.</w:t>
      </w:r>
    </w:p>
    <w:p>
      <w:pPr>
        <w:spacing w:after="0" w:line="198"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recent and potential future disruptions in access to bank deposits or lending commitments due to bank failure could materially and adversely affect our liquidity, our business and financial condition. Even with our continued effort to mitigate counterparty risk by working with highly liquid, well capitalized counterparties, the failure of any bank in which we deposit our funds could reduce the amount of cash we have available for our operations or delay our ability to access such funds. Any such failure may increase the possibility of a sustained deterioration of financial market liquidity, or illiquidity at clearing, cash management and/or custodial financial institutions. In the event we have a commercial relationship with a bank that has failed or is otherwise distressed, we may experience delays or other issues in meeting our financial obligations. If other banks and financial institutions enter receivership or become insolvent in the future in response to financial conditions affecting the banking system and financial markets, our ability to access our cash and cash equivalents and investments may be threatened and could have a material adverse effect on our business and financial condition.</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56"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following table shows information with respect to purchases of our common stock made during the three months ended June 30, 2023 by us or any of our “affiliated purchasers” as defined in Rule 10b-18(a)(3) under the Exchange Act:</w:t>
      </w:r>
    </w:p>
    <w:p>
      <w:pPr>
        <w:sectPr>
          <w:pgSz w:w="11900" w:h="16838" w:orient="portrait"/>
          <w:cols w:equalWidth="0" w:num="1">
            <w:col w:w="11240"/>
          </w:cols>
          <w:pgMar w:left="320" w:top="13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Period</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7"/>
          <w:szCs w:val="17"/>
          <w:color w:val="auto"/>
        </w:rPr>
        <w:t>April 1 - 30, 2023</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7"/>
          <w:szCs w:val="17"/>
          <w:color w:val="auto"/>
        </w:rPr>
        <w:t>May 1 - 31, 2022</w:t>
      </w:r>
    </w:p>
    <w:p>
      <w:pPr>
        <w:spacing w:after="0" w:line="47" w:lineRule="exact"/>
        <w:rPr>
          <w:sz w:val="20"/>
          <w:szCs w:val="20"/>
          <w:color w:val="auto"/>
        </w:rPr>
      </w:pPr>
    </w:p>
    <w:p>
      <w:pPr>
        <w:ind w:left="20"/>
        <w:spacing w:after="0"/>
        <w:rPr>
          <w:sz w:val="20"/>
          <w:szCs w:val="20"/>
          <w:color w:val="auto"/>
        </w:rPr>
      </w:pPr>
      <w:r>
        <w:rPr>
          <w:rFonts w:ascii="Arial" w:cs="Arial" w:eastAsia="Arial" w:hAnsi="Arial"/>
          <w:sz w:val="16"/>
          <w:szCs w:val="16"/>
          <w:color w:val="auto"/>
        </w:rPr>
        <w:t>June 1 - 30, 2023</w:t>
      </w:r>
    </w:p>
    <w:p>
      <w:pPr>
        <w:spacing w:after="0" w:line="86"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88"/>
              </w:rPr>
              <w:t>Total number of shares</w:t>
            </w:r>
          </w:p>
        </w:tc>
        <w:tc>
          <w:tcPr>
            <w:tcW w:w="80" w:type="dxa"/>
            <w:vAlign w:val="bottom"/>
          </w:tcPr>
          <w:p>
            <w:pPr>
              <w:spacing w:after="0"/>
              <w:rPr>
                <w:sz w:val="18"/>
                <w:szCs w:val="18"/>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3"/>
              </w:rPr>
              <w:t>Approximate dollar value of</w:t>
            </w:r>
          </w:p>
        </w:tc>
        <w:tc>
          <w:tcPr>
            <w:tcW w:w="0" w:type="dxa"/>
            <w:vAlign w:val="bottom"/>
          </w:tcPr>
          <w:p>
            <w:pPr>
              <w:spacing w:after="0"/>
              <w:rPr>
                <w:sz w:val="1"/>
                <w:szCs w:val="1"/>
                <w:color w:val="auto"/>
              </w:rPr>
            </w:pPr>
          </w:p>
        </w:tc>
      </w:tr>
      <w:tr>
        <w:trPr>
          <w:trHeight w:val="176"/>
        </w:trPr>
        <w:tc>
          <w:tcPr>
            <w:tcW w:w="2180" w:type="dxa"/>
            <w:vAlign w:val="bottom"/>
            <w:vMerge w:val="restart"/>
          </w:tcPr>
          <w:p>
            <w:pPr>
              <w:jc w:val="right"/>
              <w:ind w:right="170"/>
              <w:spacing w:after="0"/>
              <w:rPr>
                <w:sz w:val="20"/>
                <w:szCs w:val="20"/>
                <w:color w:val="auto"/>
              </w:rPr>
            </w:pPr>
            <w:r>
              <w:rPr>
                <w:rFonts w:ascii="Arial" w:cs="Arial" w:eastAsia="Arial" w:hAnsi="Arial"/>
                <w:sz w:val="18"/>
                <w:szCs w:val="18"/>
                <w:color w:val="auto"/>
              </w:rPr>
              <w:t>Total number of shares</w:t>
            </w:r>
          </w:p>
        </w:tc>
        <w:tc>
          <w:tcPr>
            <w:tcW w:w="100" w:type="dxa"/>
            <w:vAlign w:val="bottom"/>
          </w:tcPr>
          <w:p>
            <w:pPr>
              <w:spacing w:after="0"/>
              <w:rPr>
                <w:sz w:val="15"/>
                <w:szCs w:val="15"/>
                <w:color w:val="auto"/>
              </w:rPr>
            </w:pPr>
          </w:p>
        </w:tc>
        <w:tc>
          <w:tcPr>
            <w:tcW w:w="2160" w:type="dxa"/>
            <w:vAlign w:val="bottom"/>
            <w:gridSpan w:val="2"/>
            <w:vMerge w:val="restart"/>
          </w:tcPr>
          <w:p>
            <w:pPr>
              <w:jc w:val="right"/>
              <w:spacing w:after="0"/>
              <w:rPr>
                <w:sz w:val="20"/>
                <w:szCs w:val="20"/>
                <w:color w:val="auto"/>
              </w:rPr>
            </w:pPr>
            <w:r>
              <w:rPr>
                <w:rFonts w:ascii="Arial" w:cs="Arial" w:eastAsia="Arial" w:hAnsi="Arial"/>
                <w:sz w:val="18"/>
                <w:szCs w:val="18"/>
                <w:color w:val="auto"/>
                <w:w w:val="89"/>
              </w:rPr>
              <w:t>Average price paid per share</w:t>
            </w:r>
          </w:p>
        </w:tc>
        <w:tc>
          <w:tcPr>
            <w:tcW w:w="10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90"/>
              </w:rPr>
              <w:t>purchased as part of publicly</w:t>
            </w:r>
          </w:p>
        </w:tc>
        <w:tc>
          <w:tcPr>
            <w:tcW w:w="8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87"/>
              </w:rPr>
              <w:t>shares that may yet be</w:t>
            </w:r>
          </w:p>
        </w:tc>
        <w:tc>
          <w:tcPr>
            <w:tcW w:w="0" w:type="dxa"/>
            <w:vAlign w:val="bottom"/>
          </w:tcPr>
          <w:p>
            <w:pPr>
              <w:spacing w:after="0"/>
              <w:rPr>
                <w:sz w:val="1"/>
                <w:szCs w:val="1"/>
                <w:color w:val="auto"/>
              </w:rPr>
            </w:pPr>
          </w:p>
        </w:tc>
      </w:tr>
      <w:tr>
        <w:trPr>
          <w:trHeight w:val="175"/>
        </w:trPr>
        <w:tc>
          <w:tcPr>
            <w:tcW w:w="21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16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88"/>
              </w:rPr>
              <w:t>announced plans or programs</w:t>
            </w:r>
          </w:p>
        </w:tc>
        <w:tc>
          <w:tcPr>
            <w:tcW w:w="80" w:type="dxa"/>
            <w:vAlign w:val="bottom"/>
          </w:tcPr>
          <w:p>
            <w:pPr>
              <w:spacing w:after="0"/>
              <w:rPr>
                <w:sz w:val="15"/>
                <w:szCs w:val="15"/>
                <w:color w:val="auto"/>
              </w:rPr>
            </w:pPr>
          </w:p>
        </w:tc>
        <w:tc>
          <w:tcPr>
            <w:tcW w:w="2180" w:type="dxa"/>
            <w:vAlign w:val="bottom"/>
          </w:tcPr>
          <w:p>
            <w:pPr>
              <w:jc w:val="center"/>
              <w:spacing w:after="0" w:line="176" w:lineRule="exact"/>
              <w:rPr>
                <w:sz w:val="20"/>
                <w:szCs w:val="20"/>
                <w:color w:val="auto"/>
              </w:rPr>
            </w:pPr>
            <w:r>
              <w:rPr>
                <w:rFonts w:ascii="Arial" w:cs="Arial" w:eastAsia="Arial" w:hAnsi="Arial"/>
                <w:sz w:val="18"/>
                <w:szCs w:val="18"/>
                <w:color w:val="auto"/>
                <w:w w:val="87"/>
              </w:rPr>
              <w:t>purchased under the plans or</w:t>
            </w:r>
          </w:p>
        </w:tc>
        <w:tc>
          <w:tcPr>
            <w:tcW w:w="0" w:type="dxa"/>
            <w:vAlign w:val="bottom"/>
          </w:tcPr>
          <w:p>
            <w:pPr>
              <w:spacing w:after="0"/>
              <w:rPr>
                <w:sz w:val="1"/>
                <w:szCs w:val="1"/>
                <w:color w:val="auto"/>
              </w:rPr>
            </w:pPr>
          </w:p>
        </w:tc>
      </w:tr>
      <w:tr>
        <w:trPr>
          <w:trHeight w:val="237"/>
        </w:trPr>
        <w:tc>
          <w:tcPr>
            <w:tcW w:w="2180" w:type="dxa"/>
            <w:vAlign w:val="bottom"/>
          </w:tcPr>
          <w:p>
            <w:pPr>
              <w:jc w:val="right"/>
              <w:ind w:right="510"/>
              <w:spacing w:after="0"/>
              <w:rPr>
                <w:sz w:val="20"/>
                <w:szCs w:val="20"/>
                <w:color w:val="auto"/>
              </w:rPr>
            </w:pPr>
            <w:r>
              <w:rPr>
                <w:rFonts w:ascii="Arial" w:cs="Arial" w:eastAsia="Arial" w:hAnsi="Arial"/>
                <w:sz w:val="18"/>
                <w:szCs w:val="18"/>
                <w:color w:val="auto"/>
              </w:rPr>
              <w:t>purchased (1)</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jc w:val="right"/>
              <w:ind w:right="890"/>
              <w:spacing w:after="0"/>
              <w:rPr>
                <w:sz w:val="20"/>
                <w:szCs w:val="20"/>
                <w:color w:val="auto"/>
              </w:rPr>
            </w:pPr>
            <w:r>
              <w:rPr>
                <w:rFonts w:ascii="Arial" w:cs="Arial" w:eastAsia="Arial" w:hAnsi="Arial"/>
                <w:sz w:val="18"/>
                <w:szCs w:val="18"/>
                <w:color w:val="auto"/>
              </w:rPr>
              <w:t>(1)</w:t>
            </w:r>
          </w:p>
        </w:tc>
        <w:tc>
          <w:tcPr>
            <w:tcW w:w="2280" w:type="dxa"/>
            <w:vAlign w:val="bottom"/>
            <w:gridSpan w:val="2"/>
          </w:tcPr>
          <w:p>
            <w:pPr>
              <w:jc w:val="center"/>
              <w:spacing w:after="0"/>
              <w:rPr>
                <w:sz w:val="20"/>
                <w:szCs w:val="20"/>
                <w:color w:val="auto"/>
              </w:rPr>
            </w:pPr>
            <w:r>
              <w:rPr>
                <w:rFonts w:ascii="Arial" w:cs="Arial" w:eastAsia="Arial" w:hAnsi="Arial"/>
                <w:sz w:val="18"/>
                <w:szCs w:val="18"/>
                <w:color w:val="auto"/>
                <w:w w:val="90"/>
              </w:rPr>
              <w:t>(1)</w:t>
            </w:r>
          </w:p>
        </w:tc>
        <w:tc>
          <w:tcPr>
            <w:tcW w:w="80" w:type="dxa"/>
            <w:vAlign w:val="bottom"/>
          </w:tcPr>
          <w:p>
            <w:pPr>
              <w:spacing w:after="0"/>
              <w:rPr>
                <w:sz w:val="20"/>
                <w:szCs w:val="20"/>
                <w:color w:val="auto"/>
              </w:rPr>
            </w:pPr>
          </w:p>
        </w:tc>
        <w:tc>
          <w:tcPr>
            <w:tcW w:w="2180" w:type="dxa"/>
            <w:vAlign w:val="bottom"/>
          </w:tcPr>
          <w:p>
            <w:pPr>
              <w:jc w:val="center"/>
              <w:spacing w:after="0"/>
              <w:rPr>
                <w:sz w:val="20"/>
                <w:szCs w:val="20"/>
                <w:color w:val="auto"/>
              </w:rPr>
            </w:pPr>
            <w:r>
              <w:rPr>
                <w:rFonts w:ascii="Arial" w:cs="Arial" w:eastAsia="Arial" w:hAnsi="Arial"/>
                <w:sz w:val="18"/>
                <w:szCs w:val="18"/>
                <w:color w:val="auto"/>
                <w:w w:val="91"/>
              </w:rPr>
              <w:t>programs (1)</w:t>
            </w:r>
          </w:p>
        </w:tc>
        <w:tc>
          <w:tcPr>
            <w:tcW w:w="0" w:type="dxa"/>
            <w:vAlign w:val="bottom"/>
          </w:tcPr>
          <w:p>
            <w:pPr>
              <w:spacing w:after="0"/>
              <w:rPr>
                <w:sz w:val="1"/>
                <w:szCs w:val="1"/>
                <w:color w:val="auto"/>
              </w:rPr>
            </w:pPr>
          </w:p>
        </w:tc>
      </w:tr>
      <w:tr>
        <w:trPr>
          <w:trHeight w:val="228"/>
        </w:trPr>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166,937</w:t>
            </w:r>
          </w:p>
        </w:tc>
        <w:tc>
          <w:tcPr>
            <w:tcW w:w="100" w:type="dxa"/>
            <w:vAlign w:val="bottom"/>
          </w:tcPr>
          <w:p>
            <w:pPr>
              <w:spacing w:after="0"/>
              <w:rPr>
                <w:sz w:val="19"/>
                <w:szCs w:val="19"/>
                <w:color w:val="auto"/>
              </w:rPr>
            </w:pPr>
          </w:p>
        </w:tc>
        <w:tc>
          <w:tcPr>
            <w:tcW w:w="54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354.49</w:t>
            </w:r>
          </w:p>
        </w:tc>
        <w:tc>
          <w:tcPr>
            <w:tcW w:w="10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166,937</w:t>
            </w:r>
          </w:p>
        </w:tc>
        <w:tc>
          <w:tcPr>
            <w:tcW w:w="80" w:type="dxa"/>
            <w:vAlign w:val="bottom"/>
          </w:tcPr>
          <w:p>
            <w:pPr>
              <w:spacing w:after="0"/>
              <w:rPr>
                <w:sz w:val="19"/>
                <w:szCs w:val="19"/>
                <w:color w:val="auto"/>
              </w:rPr>
            </w:pP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880,700,000</w:t>
            </w:r>
          </w:p>
        </w:tc>
        <w:tc>
          <w:tcPr>
            <w:tcW w:w="0" w:type="dxa"/>
            <w:vAlign w:val="bottom"/>
          </w:tcPr>
          <w:p>
            <w:pPr>
              <w:spacing w:after="0"/>
              <w:rPr>
                <w:sz w:val="1"/>
                <w:szCs w:val="1"/>
                <w:color w:val="auto"/>
              </w:rPr>
            </w:pPr>
          </w:p>
        </w:tc>
      </w:tr>
      <w:tr>
        <w:trPr>
          <w:trHeight w:val="230"/>
        </w:trPr>
        <w:tc>
          <w:tcPr>
            <w:tcW w:w="2180" w:type="dxa"/>
            <w:vAlign w:val="bottom"/>
          </w:tcPr>
          <w:p>
            <w:pPr>
              <w:jc w:val="right"/>
              <w:spacing w:after="0"/>
              <w:rPr>
                <w:sz w:val="20"/>
                <w:szCs w:val="20"/>
                <w:color w:val="auto"/>
              </w:rPr>
            </w:pPr>
            <w:r>
              <w:rPr>
                <w:rFonts w:ascii="Arial" w:cs="Arial" w:eastAsia="Arial" w:hAnsi="Arial"/>
                <w:sz w:val="18"/>
                <w:szCs w:val="18"/>
                <w:color w:val="auto"/>
              </w:rPr>
              <w:t>198,889</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352.63</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198,889</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810,600,000</w:t>
            </w:r>
          </w:p>
        </w:tc>
        <w:tc>
          <w:tcPr>
            <w:tcW w:w="0" w:type="dxa"/>
            <w:vAlign w:val="bottom"/>
          </w:tcPr>
          <w:p>
            <w:pPr>
              <w:spacing w:after="0"/>
              <w:rPr>
                <w:sz w:val="1"/>
                <w:szCs w:val="1"/>
                <w:color w:val="auto"/>
              </w:rPr>
            </w:pPr>
          </w:p>
        </w:tc>
      </w:tr>
      <w:tr>
        <w:trPr>
          <w:trHeight w:val="237"/>
        </w:trPr>
        <w:tc>
          <w:tcPr>
            <w:tcW w:w="2180" w:type="dxa"/>
            <w:vAlign w:val="bottom"/>
          </w:tcPr>
          <w:p>
            <w:pPr>
              <w:jc w:val="right"/>
              <w:spacing w:after="0"/>
              <w:rPr>
                <w:sz w:val="20"/>
                <w:szCs w:val="20"/>
                <w:color w:val="auto"/>
              </w:rPr>
            </w:pPr>
            <w:r>
              <w:rPr>
                <w:rFonts w:ascii="Arial" w:cs="Arial" w:eastAsia="Arial" w:hAnsi="Arial"/>
                <w:sz w:val="18"/>
                <w:szCs w:val="18"/>
                <w:color w:val="auto"/>
              </w:rPr>
              <w:t>126,884</w:t>
            </w: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620" w:type="dxa"/>
            <w:vAlign w:val="bottom"/>
          </w:tcPr>
          <w:p>
            <w:pPr>
              <w:jc w:val="right"/>
              <w:spacing w:after="0"/>
              <w:rPr>
                <w:sz w:val="20"/>
                <w:szCs w:val="20"/>
                <w:color w:val="auto"/>
              </w:rPr>
            </w:pPr>
            <w:r>
              <w:rPr>
                <w:rFonts w:ascii="Arial" w:cs="Arial" w:eastAsia="Arial" w:hAnsi="Arial"/>
                <w:sz w:val="18"/>
                <w:szCs w:val="18"/>
                <w:color w:val="auto"/>
              </w:rPr>
              <w:t>347.02</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126,884</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766,500,000</w:t>
            </w:r>
          </w:p>
        </w:tc>
        <w:tc>
          <w:tcPr>
            <w:tcW w:w="0" w:type="dxa"/>
            <w:vAlign w:val="bottom"/>
          </w:tcPr>
          <w:p>
            <w:pPr>
              <w:spacing w:after="0"/>
              <w:rPr>
                <w:sz w:val="1"/>
                <w:szCs w:val="1"/>
                <w:color w:val="auto"/>
              </w:rPr>
            </w:pPr>
          </w:p>
        </w:tc>
      </w:tr>
      <w:tr>
        <w:trPr>
          <w:trHeight w:val="230"/>
        </w:trPr>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492,710</w:t>
            </w:r>
          </w:p>
        </w:tc>
        <w:tc>
          <w:tcPr>
            <w:tcW w:w="100" w:type="dxa"/>
            <w:vAlign w:val="bottom"/>
          </w:tcPr>
          <w:p>
            <w:pPr>
              <w:spacing w:after="0"/>
              <w:rPr>
                <w:sz w:val="19"/>
                <w:szCs w:val="19"/>
                <w:color w:val="auto"/>
              </w:rPr>
            </w:pPr>
          </w:p>
        </w:tc>
        <w:tc>
          <w:tcPr>
            <w:tcW w:w="5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351.82</w:t>
            </w:r>
          </w:p>
        </w:tc>
        <w:tc>
          <w:tcPr>
            <w:tcW w:w="100" w:type="dxa"/>
            <w:vAlign w:val="bottom"/>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492,710</w:t>
            </w:r>
          </w:p>
        </w:tc>
        <w:tc>
          <w:tcPr>
            <w:tcW w:w="80" w:type="dxa"/>
            <w:vAlign w:val="bottom"/>
          </w:tcPr>
          <w:p>
            <w:pPr>
              <w:spacing w:after="0"/>
              <w:rPr>
                <w:sz w:val="19"/>
                <w:szCs w:val="19"/>
                <w:color w:val="auto"/>
              </w:rPr>
            </w:pPr>
          </w:p>
        </w:tc>
        <w:tc>
          <w:tcPr>
            <w:tcW w:w="2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766,500,000</w:t>
            </w:r>
          </w:p>
        </w:tc>
        <w:tc>
          <w:tcPr>
            <w:tcW w:w="0" w:type="dxa"/>
            <w:vAlign w:val="bottom"/>
          </w:tcPr>
          <w:p>
            <w:pPr>
              <w:spacing w:after="0"/>
              <w:rPr>
                <w:sz w:val="1"/>
                <w:szCs w:val="1"/>
                <w:color w:val="auto"/>
              </w:rPr>
            </w:pPr>
          </w:p>
        </w:tc>
      </w:tr>
      <w:tr>
        <w:trPr>
          <w:trHeight w:val="20"/>
        </w:trPr>
        <w:tc>
          <w:tcPr>
            <w:tcW w:w="2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-1429385</wp:posOffset>
            </wp:positionH>
            <wp:positionV relativeFrom="paragraph">
              <wp:posOffset>-342265</wp:posOffset>
            </wp:positionV>
            <wp:extent cx="7132320"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-1429385</wp:posOffset>
            </wp:positionH>
            <wp:positionV relativeFrom="paragraph">
              <wp:posOffset>-642620</wp:posOffset>
            </wp:positionV>
            <wp:extent cx="7132320"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1540" w:space="720"/>
            <w:col w:w="8980"/>
          </w:cols>
          <w:pgMar w:left="320" w:top="130" w:right="339" w:bottom="1440" w:gutter="0" w:footer="0" w:header="0"/>
          <w:type w:val="continuous"/>
        </w:sectPr>
      </w:pPr>
    </w:p>
    <w:p>
      <w:pPr>
        <w:spacing w:after="0" w:line="123" w:lineRule="exact"/>
        <w:rPr>
          <w:sz w:val="20"/>
          <w:szCs w:val="20"/>
          <w:color w:val="auto"/>
        </w:rPr>
      </w:pPr>
    </w:p>
    <w:p>
      <w:pPr>
        <w:ind w:left="660" w:right="3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In February 2023, the Board of Directors approved a share repurchase program under which we may repurchase up to $1.0 billion in shares of common stock. The share repurchase program does not have an expiration date under which we may repurchase common stock on the open market or in privately-negotiated transactions. The number of shares to be repurchased and the timing of such transactions will depend on a variety of factors, including market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30" w:right="339" w:bottom="1440" w:gutter="0" w:footer="0" w:header="0"/>
          <w:type w:val="continuous"/>
        </w:sectPr>
      </w:pPr>
    </w:p>
    <w:bookmarkStart w:id="42" w:name="page43"/>
    <w:bookmarkEnd w:id="42"/>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Trading Plans</w:t>
      </w:r>
    </w:p>
    <w:p>
      <w:pPr>
        <w:spacing w:after="0" w:line="25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Eric M. Green, President and Chief Executive Officer, Chair of the Board of Directors, entered into a prearranged stock trading arrangement on May 5, 2023. Mr. Green’s plan provides for the purchase and sale of an aggregate number of 234,864 shares of the Company's common stock (of which Mr. Green will sell 204,864 shares and retain the rest immediately following the exercise) between August 8, 2023 and August 6, 2024. The trading plan was entered into during an open insider trading window and is intended to satisfy Rule 10b5-1(c) under the Exchange Act and the Company’s policies regarding insider transactions.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6" w:lineRule="exact"/>
        <w:rPr>
          <w:sz w:val="20"/>
          <w:szCs w:val="20"/>
          <w:color w:val="auto"/>
        </w:rPr>
      </w:pPr>
    </w:p>
    <w:tbl>
      <w:tblPr>
        <w:tblLayout w:type="fixed"/>
        <w:tblInd w:w="20" w:type="dxa"/>
        <w:tblCellMar>
          <w:top w:w="0" w:type="dxa"/>
          <w:left w:w="0" w:type="dxa"/>
          <w:bottom w:w="0" w:type="dxa"/>
          <w:right w:w="0" w:type="dxa"/>
        </w:tblCellMar>
      </w:tblPr>
      <w:tr>
        <w:trPr>
          <w:trHeight w:val="207"/>
        </w:trPr>
        <w:tc>
          <w:tcPr>
            <w:tcW w:w="1080" w:type="dxa"/>
            <w:vAlign w:val="bottom"/>
            <w:gridSpan w:val="3"/>
          </w:tcPr>
          <w:p>
            <w:pPr>
              <w:spacing w:after="0"/>
              <w:rPr>
                <w:sz w:val="20"/>
                <w:szCs w:val="20"/>
                <w:color w:val="auto"/>
              </w:rPr>
            </w:pPr>
            <w:r>
              <w:rPr>
                <w:rFonts w:ascii="Arial" w:cs="Arial" w:eastAsia="Arial" w:hAnsi="Arial"/>
                <w:sz w:val="18"/>
                <w:szCs w:val="18"/>
                <w:b w:val="1"/>
                <w:bCs w:val="1"/>
                <w:color w:val="auto"/>
              </w:rPr>
              <w:t>Exhibit</w:t>
            </w:r>
          </w:p>
        </w:tc>
        <w:tc>
          <w:tcPr>
            <w:tcW w:w="900" w:type="dxa"/>
            <w:vAlign w:val="bottom"/>
            <w:vMerge w:val="restart"/>
          </w:tcPr>
          <w:p>
            <w:pPr>
              <w:spacing w:after="0"/>
              <w:rPr>
                <w:sz w:val="20"/>
                <w:szCs w:val="20"/>
                <w:color w:val="auto"/>
              </w:rPr>
            </w:pPr>
            <w:r>
              <w:rPr>
                <w:rFonts w:ascii="Arial" w:cs="Arial" w:eastAsia="Arial" w:hAnsi="Arial"/>
                <w:sz w:val="18"/>
                <w:szCs w:val="18"/>
                <w:b w:val="1"/>
                <w:bCs w:val="1"/>
                <w:color w:val="auto"/>
                <w:w w:val="88"/>
              </w:rPr>
              <w:t>Description</w:t>
            </w:r>
          </w:p>
        </w:tc>
        <w:tc>
          <w:tcPr>
            <w:tcW w:w="9200" w:type="dxa"/>
            <w:vAlign w:val="bottom"/>
            <w:gridSpan w:val="11"/>
            <w:vMerge w:val="restart"/>
          </w:tcPr>
          <w:p>
            <w:pPr>
              <w:spacing w:after="0"/>
              <w:rPr>
                <w:sz w:val="17"/>
                <w:szCs w:val="17"/>
                <w:color w:val="auto"/>
              </w:rPr>
            </w:pPr>
          </w:p>
        </w:tc>
        <w:tc>
          <w:tcPr>
            <w:tcW w:w="0" w:type="dxa"/>
            <w:vAlign w:val="bottom"/>
          </w:tcPr>
          <w:p>
            <w:pPr>
              <w:spacing w:after="0"/>
              <w:rPr>
                <w:sz w:val="1"/>
                <w:szCs w:val="1"/>
                <w:color w:val="auto"/>
              </w:rPr>
            </w:pPr>
          </w:p>
        </w:tc>
      </w:tr>
      <w:tr>
        <w:trPr>
          <w:trHeight w:val="156"/>
        </w:trPr>
        <w:tc>
          <w:tcPr>
            <w:tcW w:w="580" w:type="dxa"/>
            <w:vAlign w:val="bottom"/>
            <w:tcBorders>
              <w:top w:val="single" w:sz="8" w:color="auto"/>
              <w:bottom w:val="single" w:sz="8" w:color="auto"/>
            </w:tcBorders>
          </w:tcPr>
          <w:p>
            <w:pPr>
              <w:spacing w:after="0" w:line="156" w:lineRule="exact"/>
              <w:rPr>
                <w:sz w:val="20"/>
                <w:szCs w:val="20"/>
                <w:color w:val="auto"/>
              </w:rPr>
            </w:pPr>
            <w:r>
              <w:rPr>
                <w:rFonts w:ascii="Arial" w:cs="Arial" w:eastAsia="Arial" w:hAnsi="Arial"/>
                <w:sz w:val="18"/>
                <w:szCs w:val="18"/>
                <w:b w:val="1"/>
                <w:bCs w:val="1"/>
                <w:color w:val="auto"/>
                <w:w w:val="82"/>
              </w:rPr>
              <w:t>Number</w:t>
            </w:r>
          </w:p>
        </w:tc>
        <w:tc>
          <w:tcPr>
            <w:tcW w:w="60" w:type="dxa"/>
            <w:vAlign w:val="bottom"/>
            <w:tcBorders>
              <w:bottom w:val="single" w:sz="8" w:color="auto"/>
            </w:tcBorders>
          </w:tcPr>
          <w:p>
            <w:pPr>
              <w:spacing w:after="0"/>
              <w:rPr>
                <w:sz w:val="13"/>
                <w:szCs w:val="13"/>
                <w:color w:val="auto"/>
              </w:rPr>
            </w:pPr>
          </w:p>
        </w:tc>
        <w:tc>
          <w:tcPr>
            <w:tcW w:w="440" w:type="dxa"/>
            <w:vAlign w:val="bottom"/>
          </w:tcPr>
          <w:p>
            <w:pPr>
              <w:spacing w:after="0"/>
              <w:rPr>
                <w:sz w:val="13"/>
                <w:szCs w:val="13"/>
                <w:color w:val="auto"/>
              </w:rPr>
            </w:pPr>
          </w:p>
        </w:tc>
        <w:tc>
          <w:tcPr>
            <w:tcW w:w="900" w:type="dxa"/>
            <w:vAlign w:val="bottom"/>
            <w:tcBorders>
              <w:bottom w:val="single" w:sz="8" w:color="auto"/>
            </w:tcBorders>
            <w:vMerge w:val="continue"/>
          </w:tcPr>
          <w:p>
            <w:pPr>
              <w:spacing w:after="0"/>
              <w:rPr>
                <w:sz w:val="13"/>
                <w:szCs w:val="13"/>
                <w:color w:val="auto"/>
              </w:rPr>
            </w:pPr>
          </w:p>
        </w:tc>
        <w:tc>
          <w:tcPr>
            <w:tcW w:w="9200" w:type="dxa"/>
            <w:vAlign w:val="bottom"/>
            <w:gridSpan w:val="11"/>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3.1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00" w:type="dxa"/>
            <w:vAlign w:val="bottom"/>
            <w:gridSpan w:val="12"/>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Our Amended and Restated Articles of Incorporation (incorporated by reference to Exhibit 3.1 to the Company's Form 10-Q report for the</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40" w:type="dxa"/>
            <w:vAlign w:val="bottom"/>
            <w:tcBorders>
              <w:top w:val="single" w:sz="8" w:color="0000FF"/>
            </w:tcBorders>
            <w:gridSpan w:val="8"/>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quarter ended June 30, 2020, filed July 24, 2020).</w:t>
              </w:r>
            </w:hyperlink>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2680" w:type="dxa"/>
            <w:vAlign w:val="bottom"/>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3.2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760" w:type="dxa"/>
            <w:vAlign w:val="bottom"/>
            <w:tcBorders>
              <w:bottom w:val="single" w:sz="8" w:color="0000FF"/>
            </w:tcBorders>
            <w:gridSpan w:val="6"/>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Our Bylaws, as amended through February 23, 2021 (incorporated by reference from our Form 8-k, filed March 1, 2021).</w:t>
              </w:r>
            </w:hyperlink>
          </w:p>
        </w:tc>
        <w:tc>
          <w:tcPr>
            <w:tcW w:w="1340" w:type="dxa"/>
            <w:vAlign w:val="bottom"/>
            <w:gridSpan w:val="6"/>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4.1</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20" w:type="dxa"/>
            <w:vAlign w:val="bottom"/>
            <w:tcBorders>
              <w:bottom w:val="single" w:sz="8" w:color="0000FF"/>
            </w:tcBorders>
            <w:gridSpan w:val="9"/>
          </w:tcPr>
          <w:p>
            <w:pPr>
              <w:spacing w:after="0"/>
              <w:rPr>
                <w:rFonts w:ascii="Arial" w:cs="Arial" w:eastAsia="Arial" w:hAnsi="Arial"/>
                <w:sz w:val="18"/>
                <w:szCs w:val="18"/>
                <w:color w:val="0000FF"/>
                <w:w w:val="92"/>
              </w:rPr>
            </w:pPr>
            <w:hyperlink r:id="rId64">
              <w:r>
                <w:rPr>
                  <w:rFonts w:ascii="Arial" w:cs="Arial" w:eastAsia="Arial" w:hAnsi="Arial"/>
                  <w:sz w:val="18"/>
                  <w:szCs w:val="18"/>
                  <w:color w:val="0000FF"/>
                  <w:w w:val="92"/>
                </w:rPr>
                <w:t>Form of stock certificate for common stock (incorporated by reference to Exhibit 4 to the Company's 1998 Form 10-K, filed May 6, 1999).</w:t>
              </w:r>
            </w:hyperlink>
          </w:p>
        </w:tc>
        <w:tc>
          <w:tcPr>
            <w:tcW w:w="80" w:type="dxa"/>
            <w:vAlign w:val="bottom"/>
            <w:gridSpan w:val="3"/>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4.2</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00" w:type="dxa"/>
            <w:vAlign w:val="bottom"/>
            <w:gridSpan w:val="12"/>
          </w:tcPr>
          <w:p>
            <w:pPr>
              <w:spacing w:after="0"/>
              <w:rPr>
                <w:rFonts w:ascii="Arial" w:cs="Arial" w:eastAsia="Arial" w:hAnsi="Arial"/>
                <w:sz w:val="18"/>
                <w:szCs w:val="18"/>
                <w:color w:val="0000FF"/>
                <w:w w:val="92"/>
              </w:rPr>
            </w:pPr>
            <w:hyperlink r:id="rId62">
              <w:r>
                <w:rPr>
                  <w:rFonts w:ascii="Arial" w:cs="Arial" w:eastAsia="Arial" w:hAnsi="Arial"/>
                  <w:sz w:val="18"/>
                  <w:szCs w:val="18"/>
                  <w:color w:val="0000FF"/>
                  <w:w w:val="92"/>
                </w:rPr>
                <w:t>Article 5, 6, 8(c) and 9 of our Amended and Restated Articles of Incorporation (incorporated by reference to Exhibit 3.1 to the Company's</w:t>
              </w:r>
            </w:hyperlink>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920" w:type="dxa"/>
            <w:vAlign w:val="bottom"/>
            <w:tcBorders>
              <w:top w:val="single" w:sz="8" w:color="0000FF"/>
            </w:tcBorders>
            <w:gridSpan w:val="7"/>
          </w:tcPr>
          <w:p>
            <w:pPr>
              <w:spacing w:after="0" w:line="156" w:lineRule="exact"/>
              <w:rPr>
                <w:rFonts w:ascii="Arial" w:cs="Arial" w:eastAsia="Arial" w:hAnsi="Arial"/>
                <w:sz w:val="18"/>
                <w:szCs w:val="18"/>
                <w:color w:val="0000FF"/>
              </w:rPr>
            </w:pPr>
            <w:hyperlink r:id="rId62">
              <w:r>
                <w:rPr>
                  <w:rFonts w:ascii="Arial" w:cs="Arial" w:eastAsia="Arial" w:hAnsi="Arial"/>
                  <w:sz w:val="18"/>
                  <w:szCs w:val="18"/>
                  <w:color w:val="0000FF"/>
                </w:rPr>
                <w:t>Form 10-Q report for the quarter ended June 30, 2020, filed July 24, 2020).</w:t>
              </w:r>
            </w:hyperlink>
          </w:p>
        </w:tc>
        <w:tc>
          <w:tcPr>
            <w:tcW w:w="12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4520" w:type="dxa"/>
            <w:vAlign w:val="bottom"/>
            <w:gridSpan w:val="2"/>
            <w:shd w:val="clear" w:color="auto" w:fill="0000FF"/>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4.3</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040" w:type="dxa"/>
            <w:vAlign w:val="bottom"/>
            <w:tcBorders>
              <w:bottom w:val="single" w:sz="8" w:color="0000FF"/>
            </w:tcBorders>
            <w:gridSpan w:val="10"/>
          </w:tcPr>
          <w:p>
            <w:pPr>
              <w:spacing w:after="0"/>
              <w:rPr>
                <w:rFonts w:ascii="Arial" w:cs="Arial" w:eastAsia="Arial" w:hAnsi="Arial"/>
                <w:sz w:val="18"/>
                <w:szCs w:val="18"/>
                <w:color w:val="0000FF"/>
                <w:w w:val="91"/>
              </w:rPr>
            </w:pPr>
            <w:hyperlink r:id="rId63">
              <w:r>
                <w:rPr>
                  <w:rFonts w:ascii="Arial" w:cs="Arial" w:eastAsia="Arial" w:hAnsi="Arial"/>
                  <w:sz w:val="18"/>
                  <w:szCs w:val="18"/>
                  <w:color w:val="0000FF"/>
                  <w:w w:val="91"/>
                </w:rPr>
                <w:t>Article I and V of our Bylaws, as amended through February 23, 2021 (incorporated by reference from our Form 8-k, filed March 1, 2021).</w:t>
              </w:r>
            </w:hyperlink>
          </w:p>
        </w:tc>
        <w:tc>
          <w:tcPr>
            <w:tcW w:w="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580" w:type="dxa"/>
            <w:vAlign w:val="bottom"/>
          </w:tcPr>
          <w:p>
            <w:pPr>
              <w:spacing w:after="0" w:line="250" w:lineRule="exact"/>
              <w:rPr>
                <w:sz w:val="20"/>
                <w:szCs w:val="20"/>
                <w:color w:val="auto"/>
              </w:rPr>
            </w:pPr>
            <w:r>
              <w:rPr>
                <w:rFonts w:ascii="Arial" w:cs="Arial" w:eastAsia="Arial" w:hAnsi="Arial"/>
                <w:sz w:val="18"/>
                <w:szCs w:val="18"/>
                <w:color w:val="auto"/>
              </w:rPr>
              <w:t xml:space="preserve">4.4 </w:t>
            </w:r>
            <w:r>
              <w:rPr>
                <w:rFonts w:ascii="Arial" w:cs="Arial" w:eastAsia="Arial" w:hAnsi="Arial"/>
                <w:sz w:val="23"/>
                <w:szCs w:val="23"/>
                <w:color w:val="auto"/>
                <w:vertAlign w:val="superscript"/>
              </w:rPr>
              <w:t>(1)</w:t>
            </w: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0100" w:type="dxa"/>
            <w:vAlign w:val="bottom"/>
            <w:gridSpan w:val="12"/>
          </w:tcPr>
          <w:p>
            <w:pPr>
              <w:spacing w:after="0"/>
              <w:rPr>
                <w:sz w:val="20"/>
                <w:szCs w:val="20"/>
                <w:color w:val="auto"/>
              </w:rPr>
            </w:pPr>
            <w:r>
              <w:rPr>
                <w:rFonts w:ascii="Arial" w:cs="Arial" w:eastAsia="Arial" w:hAnsi="Arial"/>
                <w:sz w:val="18"/>
                <w:szCs w:val="18"/>
                <w:color w:val="auto"/>
              </w:rPr>
              <w:t>Instruments defining the rights of holders of long-term debt securities of West and its subsidiaries have been omitted.</w:t>
            </w:r>
          </w:p>
        </w:tc>
        <w:tc>
          <w:tcPr>
            <w:tcW w:w="0" w:type="dxa"/>
            <w:vAlign w:val="bottom"/>
          </w:tcPr>
          <w:p>
            <w:pPr>
              <w:spacing w:after="0"/>
              <w:rPr>
                <w:sz w:val="1"/>
                <w:szCs w:val="1"/>
                <w:color w:val="auto"/>
              </w:rPr>
            </w:pPr>
          </w:p>
        </w:tc>
      </w:tr>
      <w:tr>
        <w:trPr>
          <w:trHeight w:val="190"/>
        </w:trPr>
        <w:tc>
          <w:tcPr>
            <w:tcW w:w="580" w:type="dxa"/>
            <w:vAlign w:val="bottom"/>
          </w:tcPr>
          <w:p>
            <w:pPr>
              <w:spacing w:after="0" w:line="190" w:lineRule="exact"/>
              <w:rPr>
                <w:sz w:val="20"/>
                <w:szCs w:val="20"/>
                <w:color w:val="auto"/>
              </w:rPr>
            </w:pPr>
            <w:r>
              <w:rPr>
                <w:rFonts w:ascii="Arial" w:cs="Arial" w:eastAsia="Arial" w:hAnsi="Arial"/>
                <w:sz w:val="18"/>
                <w:szCs w:val="18"/>
                <w:color w:val="auto"/>
              </w:rPr>
              <w:t>31.1</w:t>
            </w:r>
          </w:p>
        </w:tc>
        <w:tc>
          <w:tcPr>
            <w:tcW w:w="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0100" w:type="dxa"/>
            <w:vAlign w:val="bottom"/>
            <w:gridSpan w:val="12"/>
          </w:tcPr>
          <w:p>
            <w:pPr>
              <w:spacing w:after="0" w:line="190" w:lineRule="exact"/>
              <w:rPr>
                <w:sz w:val="20"/>
                <w:szCs w:val="20"/>
                <w:color w:val="auto"/>
              </w:rPr>
            </w:pPr>
            <w:r>
              <w:rPr>
                <w:rFonts w:ascii="Arial" w:cs="Arial" w:eastAsia="Arial" w:hAnsi="Arial"/>
                <w:sz w:val="18"/>
                <w:szCs w:val="18"/>
                <w:color w:val="0000FF"/>
              </w:rPr>
              <w:t>Certification by the Chief Executive Officer Pursuant to Section 302 of the Sarbanes-Oxley Act of 2002.</w:t>
            </w:r>
          </w:p>
        </w:tc>
        <w:tc>
          <w:tcPr>
            <w:tcW w:w="0" w:type="dxa"/>
            <w:vAlign w:val="bottom"/>
          </w:tcPr>
          <w:p>
            <w:pPr>
              <w:spacing w:after="0"/>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31.2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80" w:type="dxa"/>
            <w:vAlign w:val="bottom"/>
            <w:tcBorders>
              <w:top w:val="single" w:sz="8" w:color="0000FF"/>
              <w:bottom w:val="single" w:sz="8" w:color="0000FF"/>
            </w:tcBorders>
            <w:gridSpan w:val="4"/>
          </w:tcPr>
          <w:p>
            <w:pPr>
              <w:spacing w:after="0"/>
              <w:rPr>
                <w:sz w:val="20"/>
                <w:szCs w:val="20"/>
                <w:color w:val="auto"/>
              </w:rPr>
            </w:pPr>
            <w:r>
              <w:rPr>
                <w:rFonts w:ascii="Arial" w:cs="Arial" w:eastAsia="Arial" w:hAnsi="Arial"/>
                <w:sz w:val="18"/>
                <w:szCs w:val="18"/>
                <w:color w:val="0000FF"/>
                <w:w w:val="91"/>
              </w:rPr>
              <w:t>Certification by the Chief Financial Officer Pursuant to Section 302 of the Sarbanes-Oxley Act of 2002.</w:t>
            </w:r>
          </w:p>
        </w:tc>
        <w:tc>
          <w:tcPr>
            <w:tcW w:w="40" w:type="dxa"/>
            <w:vAlign w:val="bottom"/>
            <w:tcBorders>
              <w:top w:val="single" w:sz="8" w:color="0000FF"/>
            </w:tcBorders>
          </w:tcPr>
          <w:p>
            <w:pPr>
              <w:spacing w:after="0"/>
              <w:rPr>
                <w:sz w:val="19"/>
                <w:szCs w:val="19"/>
                <w:color w:val="auto"/>
              </w:rPr>
            </w:pPr>
          </w:p>
        </w:tc>
        <w:tc>
          <w:tcPr>
            <w:tcW w:w="2580" w:type="dxa"/>
            <w:vAlign w:val="bottom"/>
            <w:gridSpan w:val="7"/>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100" w:type="dxa"/>
            <w:vAlign w:val="bottom"/>
            <w:gridSpan w:val="12"/>
          </w:tcPr>
          <w:p>
            <w:pPr>
              <w:spacing w:after="0"/>
              <w:rPr>
                <w:sz w:val="20"/>
                <w:szCs w:val="20"/>
                <w:color w:val="auto"/>
              </w:rPr>
            </w:pPr>
            <w:r>
              <w:rPr>
                <w:rFonts w:ascii="Arial" w:cs="Arial" w:eastAsia="Arial" w:hAnsi="Arial"/>
                <w:sz w:val="18"/>
                <w:szCs w:val="18"/>
                <w:color w:val="0000FF"/>
                <w:w w:val="90"/>
              </w:rPr>
              <w:t>Certification by the Chief Executive Officer Pursuant to 18 U.S.C. Section 1350, as Adopted Pursuant to Section 906 of the Sarbanes-Oxley</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80" w:type="dxa"/>
            <w:vAlign w:val="bottom"/>
            <w:tcBorders>
              <w:top w:val="single" w:sz="8" w:color="0000FF"/>
            </w:tcBorders>
            <w:gridSpan w:val="11"/>
          </w:tcPr>
          <w:p>
            <w:pPr>
              <w:spacing w:after="0" w:line="156" w:lineRule="exact"/>
              <w:rPr>
                <w:sz w:val="20"/>
                <w:szCs w:val="20"/>
                <w:color w:val="auto"/>
              </w:rPr>
            </w:pPr>
            <w:r>
              <w:rPr>
                <w:rFonts w:ascii="Arial" w:cs="Arial" w:eastAsia="Arial" w:hAnsi="Arial"/>
                <w:sz w:val="18"/>
                <w:szCs w:val="18"/>
                <w:color w:val="0000FF"/>
              </w:rPr>
              <w:t>Act of 2002.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140" w:type="dxa"/>
            <w:vAlign w:val="bottom"/>
            <w:gridSpan w:val="9"/>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80" w:type="dxa"/>
            <w:vAlign w:val="bottom"/>
          </w:tcPr>
          <w:p>
            <w:pPr>
              <w:spacing w:after="0"/>
              <w:rPr>
                <w:sz w:val="20"/>
                <w:szCs w:val="20"/>
                <w:color w:val="auto"/>
              </w:rPr>
            </w:pPr>
            <w:r>
              <w:rPr>
                <w:rFonts w:ascii="Arial" w:cs="Arial" w:eastAsia="Arial" w:hAnsi="Arial"/>
                <w:sz w:val="18"/>
                <w:szCs w:val="18"/>
                <w:color w:val="auto"/>
              </w:rPr>
              <w:t>32.2*</w:t>
            </w: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0100" w:type="dxa"/>
            <w:vAlign w:val="bottom"/>
            <w:gridSpan w:val="12"/>
          </w:tcPr>
          <w:p>
            <w:pPr>
              <w:spacing w:after="0"/>
              <w:rPr>
                <w:sz w:val="20"/>
                <w:szCs w:val="20"/>
                <w:color w:val="auto"/>
              </w:rPr>
            </w:pPr>
            <w:r>
              <w:rPr>
                <w:rFonts w:ascii="Arial" w:cs="Arial" w:eastAsia="Arial" w:hAnsi="Arial"/>
                <w:sz w:val="18"/>
                <w:szCs w:val="18"/>
                <w:color w:val="0000FF"/>
                <w:w w:val="91"/>
              </w:rPr>
              <w:t>Certification by the Chief Financial Officer Pursuant to 18 U.S.C. Section 1350, as Adopted Pursuant to Section 906 of the Sarbanes-Oxley</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40" w:type="dxa"/>
            <w:vAlign w:val="bottom"/>
            <w:tcBorders>
              <w:top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Act of 2002.</w:t>
            </w:r>
          </w:p>
        </w:tc>
        <w:tc>
          <w:tcPr>
            <w:tcW w:w="6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80" w:type="dxa"/>
            <w:vAlign w:val="bottom"/>
            <w:gridSpan w:val="3"/>
          </w:tcPr>
          <w:p>
            <w:pPr>
              <w:spacing w:after="0" w:line="20" w:lineRule="exact"/>
              <w:rPr>
                <w:sz w:val="1"/>
                <w:szCs w:val="1"/>
                <w:color w:val="auto"/>
              </w:rPr>
            </w:pPr>
          </w:p>
        </w:tc>
        <w:tc>
          <w:tcPr>
            <w:tcW w:w="900" w:type="dxa"/>
            <w:vAlign w:val="bottom"/>
            <w:shd w:val="clear" w:color="auto" w:fill="0000FF"/>
          </w:tcPr>
          <w:p>
            <w:pPr>
              <w:spacing w:after="0" w:line="20" w:lineRule="exact"/>
              <w:rPr>
                <w:sz w:val="1"/>
                <w:szCs w:val="1"/>
                <w:color w:val="auto"/>
              </w:rPr>
            </w:pPr>
          </w:p>
        </w:tc>
        <w:tc>
          <w:tcPr>
            <w:tcW w:w="9200" w:type="dxa"/>
            <w:vAlign w:val="bottom"/>
            <w:gridSpan w:val="11"/>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1080" w:type="dxa"/>
            <w:vAlign w:val="bottom"/>
            <w:gridSpan w:val="3"/>
          </w:tcPr>
          <w:p>
            <w:pPr>
              <w:spacing w:after="0"/>
              <w:rPr>
                <w:sz w:val="20"/>
                <w:szCs w:val="20"/>
                <w:color w:val="auto"/>
              </w:rPr>
            </w:pPr>
            <w:r>
              <w:rPr>
                <w:rFonts w:ascii="Arial" w:cs="Arial" w:eastAsia="Arial" w:hAnsi="Arial"/>
                <w:sz w:val="18"/>
                <w:szCs w:val="18"/>
                <w:color w:val="auto"/>
              </w:rPr>
              <w:t>101.INS</w:t>
            </w:r>
          </w:p>
        </w:tc>
        <w:tc>
          <w:tcPr>
            <w:tcW w:w="10100" w:type="dxa"/>
            <w:vAlign w:val="bottom"/>
            <w:gridSpan w:val="12"/>
          </w:tcPr>
          <w:p>
            <w:pPr>
              <w:spacing w:after="0"/>
              <w:rPr>
                <w:sz w:val="20"/>
                <w:szCs w:val="20"/>
                <w:color w:val="auto"/>
              </w:rPr>
            </w:pPr>
            <w:r>
              <w:rPr>
                <w:rFonts w:ascii="Arial" w:cs="Arial" w:eastAsia="Arial" w:hAnsi="Arial"/>
                <w:sz w:val="18"/>
                <w:szCs w:val="18"/>
                <w:color w:val="auto"/>
                <w:w w:val="91"/>
              </w:rPr>
              <w:t>The instance document does not appear in the interactive data file because its XBRL tags are embedded within the inline XBRL document.</w:t>
            </w:r>
          </w:p>
        </w:tc>
        <w:tc>
          <w:tcPr>
            <w:tcW w:w="0" w:type="dxa"/>
            <w:vAlign w:val="bottom"/>
          </w:tcPr>
          <w:p>
            <w:pPr>
              <w:spacing w:after="0"/>
              <w:rPr>
                <w:sz w:val="1"/>
                <w:szCs w:val="1"/>
                <w:color w:val="auto"/>
              </w:rPr>
            </w:pPr>
          </w:p>
        </w:tc>
      </w:tr>
      <w:tr>
        <w:trPr>
          <w:trHeight w:val="242"/>
        </w:trPr>
        <w:tc>
          <w:tcPr>
            <w:tcW w:w="1080" w:type="dxa"/>
            <w:vAlign w:val="bottom"/>
            <w:gridSpan w:val="3"/>
          </w:tcPr>
          <w:p>
            <w:pPr>
              <w:spacing w:after="0"/>
              <w:rPr>
                <w:sz w:val="20"/>
                <w:szCs w:val="20"/>
                <w:color w:val="auto"/>
              </w:rPr>
            </w:pPr>
            <w:r>
              <w:rPr>
                <w:rFonts w:ascii="Arial" w:cs="Arial" w:eastAsia="Arial" w:hAnsi="Arial"/>
                <w:sz w:val="18"/>
                <w:szCs w:val="18"/>
                <w:color w:val="auto"/>
              </w:rPr>
              <w:t>101.SCH</w:t>
            </w:r>
          </w:p>
        </w:tc>
        <w:tc>
          <w:tcPr>
            <w:tcW w:w="10100" w:type="dxa"/>
            <w:vAlign w:val="bottom"/>
            <w:gridSpan w:val="12"/>
          </w:tcPr>
          <w:p>
            <w:pPr>
              <w:spacing w:after="0"/>
              <w:rPr>
                <w:sz w:val="20"/>
                <w:szCs w:val="20"/>
                <w:color w:val="auto"/>
              </w:rPr>
            </w:pPr>
            <w:r>
              <w:rPr>
                <w:rFonts w:ascii="Arial" w:cs="Arial" w:eastAsia="Arial" w:hAnsi="Arial"/>
                <w:sz w:val="18"/>
                <w:szCs w:val="18"/>
                <w:color w:val="auto"/>
              </w:rPr>
              <w:t>Inline XBRL Taxonomy Extension Schema Document</w:t>
            </w:r>
          </w:p>
        </w:tc>
        <w:tc>
          <w:tcPr>
            <w:tcW w:w="0" w:type="dxa"/>
            <w:vAlign w:val="bottom"/>
          </w:tcPr>
          <w:p>
            <w:pPr>
              <w:spacing w:after="0"/>
              <w:rPr>
                <w:sz w:val="1"/>
                <w:szCs w:val="1"/>
                <w:color w:val="auto"/>
              </w:rPr>
            </w:pP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101.CAL</w:t>
            </w:r>
          </w:p>
        </w:tc>
        <w:tc>
          <w:tcPr>
            <w:tcW w:w="10100" w:type="dxa"/>
            <w:vAlign w:val="bottom"/>
            <w:gridSpan w:val="12"/>
          </w:tcPr>
          <w:p>
            <w:pPr>
              <w:spacing w:after="0"/>
              <w:rPr>
                <w:sz w:val="20"/>
                <w:szCs w:val="20"/>
                <w:color w:val="auto"/>
              </w:rPr>
            </w:pPr>
            <w:r>
              <w:rPr>
                <w:rFonts w:ascii="Arial" w:cs="Arial" w:eastAsia="Arial" w:hAnsi="Arial"/>
                <w:sz w:val="18"/>
                <w:szCs w:val="18"/>
                <w:color w:val="auto"/>
              </w:rPr>
              <w:t>Inline XBRL Taxonomy Extension Calculation Linkbase Document</w:t>
            </w:r>
          </w:p>
        </w:tc>
        <w:tc>
          <w:tcPr>
            <w:tcW w:w="0" w:type="dxa"/>
            <w:vAlign w:val="bottom"/>
          </w:tcPr>
          <w:p>
            <w:pPr>
              <w:spacing w:after="0"/>
              <w:rPr>
                <w:sz w:val="1"/>
                <w:szCs w:val="1"/>
                <w:color w:val="auto"/>
              </w:rPr>
            </w:pP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101.LAB</w:t>
            </w:r>
          </w:p>
        </w:tc>
        <w:tc>
          <w:tcPr>
            <w:tcW w:w="10100" w:type="dxa"/>
            <w:vAlign w:val="bottom"/>
            <w:gridSpan w:val="12"/>
          </w:tcPr>
          <w:p>
            <w:pPr>
              <w:spacing w:after="0"/>
              <w:rPr>
                <w:sz w:val="20"/>
                <w:szCs w:val="20"/>
                <w:color w:val="auto"/>
              </w:rPr>
            </w:pPr>
            <w:r>
              <w:rPr>
                <w:rFonts w:ascii="Arial" w:cs="Arial" w:eastAsia="Arial" w:hAnsi="Arial"/>
                <w:sz w:val="18"/>
                <w:szCs w:val="18"/>
                <w:color w:val="auto"/>
              </w:rPr>
              <w:t>Inline XBRL Taxonomy Extension Label Linkbase Document</w:t>
            </w:r>
          </w:p>
        </w:tc>
        <w:tc>
          <w:tcPr>
            <w:tcW w:w="0" w:type="dxa"/>
            <w:vAlign w:val="bottom"/>
          </w:tcPr>
          <w:p>
            <w:pPr>
              <w:spacing w:after="0"/>
              <w:rPr>
                <w:sz w:val="1"/>
                <w:szCs w:val="1"/>
                <w:color w:val="auto"/>
              </w:rPr>
            </w:pPr>
          </w:p>
        </w:tc>
      </w:tr>
      <w:tr>
        <w:trPr>
          <w:trHeight w:val="242"/>
        </w:trPr>
        <w:tc>
          <w:tcPr>
            <w:tcW w:w="1080" w:type="dxa"/>
            <w:vAlign w:val="bottom"/>
            <w:gridSpan w:val="3"/>
          </w:tcPr>
          <w:p>
            <w:pPr>
              <w:spacing w:after="0"/>
              <w:rPr>
                <w:sz w:val="20"/>
                <w:szCs w:val="20"/>
                <w:color w:val="auto"/>
              </w:rPr>
            </w:pPr>
            <w:r>
              <w:rPr>
                <w:rFonts w:ascii="Arial" w:cs="Arial" w:eastAsia="Arial" w:hAnsi="Arial"/>
                <w:sz w:val="18"/>
                <w:szCs w:val="18"/>
                <w:color w:val="auto"/>
              </w:rPr>
              <w:t>101.PRE</w:t>
            </w:r>
          </w:p>
        </w:tc>
        <w:tc>
          <w:tcPr>
            <w:tcW w:w="10100" w:type="dxa"/>
            <w:vAlign w:val="bottom"/>
            <w:gridSpan w:val="12"/>
          </w:tcPr>
          <w:p>
            <w:pPr>
              <w:spacing w:after="0"/>
              <w:rPr>
                <w:sz w:val="20"/>
                <w:szCs w:val="20"/>
                <w:color w:val="auto"/>
              </w:rPr>
            </w:pPr>
            <w:r>
              <w:rPr>
                <w:rFonts w:ascii="Arial" w:cs="Arial" w:eastAsia="Arial" w:hAnsi="Arial"/>
                <w:sz w:val="18"/>
                <w:szCs w:val="18"/>
                <w:color w:val="auto"/>
              </w:rPr>
              <w:t>Inline XBRL Taxonomy Extension Presentation Linkbase Document</w:t>
            </w:r>
          </w:p>
        </w:tc>
        <w:tc>
          <w:tcPr>
            <w:tcW w:w="0" w:type="dxa"/>
            <w:vAlign w:val="bottom"/>
          </w:tcPr>
          <w:p>
            <w:pPr>
              <w:spacing w:after="0"/>
              <w:rPr>
                <w:sz w:val="1"/>
                <w:szCs w:val="1"/>
                <w:color w:val="auto"/>
              </w:rPr>
            </w:pPr>
          </w:p>
        </w:tc>
      </w:tr>
      <w:tr>
        <w:trPr>
          <w:trHeight w:val="230"/>
        </w:trPr>
        <w:tc>
          <w:tcPr>
            <w:tcW w:w="1080" w:type="dxa"/>
            <w:vAlign w:val="bottom"/>
            <w:gridSpan w:val="3"/>
          </w:tcPr>
          <w:p>
            <w:pPr>
              <w:spacing w:after="0"/>
              <w:rPr>
                <w:sz w:val="20"/>
                <w:szCs w:val="20"/>
                <w:color w:val="auto"/>
              </w:rPr>
            </w:pPr>
            <w:r>
              <w:rPr>
                <w:rFonts w:ascii="Arial" w:cs="Arial" w:eastAsia="Arial" w:hAnsi="Arial"/>
                <w:sz w:val="18"/>
                <w:szCs w:val="18"/>
                <w:color w:val="auto"/>
              </w:rPr>
              <w:t>101.DEF</w:t>
            </w:r>
          </w:p>
        </w:tc>
        <w:tc>
          <w:tcPr>
            <w:tcW w:w="10100" w:type="dxa"/>
            <w:vAlign w:val="bottom"/>
            <w:gridSpan w:val="12"/>
          </w:tcPr>
          <w:p>
            <w:pPr>
              <w:spacing w:after="0"/>
              <w:rPr>
                <w:sz w:val="20"/>
                <w:szCs w:val="20"/>
                <w:color w:val="auto"/>
              </w:rPr>
            </w:pPr>
            <w:r>
              <w:rPr>
                <w:rFonts w:ascii="Arial" w:cs="Arial" w:eastAsia="Arial" w:hAnsi="Arial"/>
                <w:sz w:val="18"/>
                <w:szCs w:val="18"/>
                <w:color w:val="auto"/>
              </w:rPr>
              <w:t>Inline XBRL Taxonomy Extension Definition Linkbase Document</w:t>
            </w:r>
          </w:p>
        </w:tc>
        <w:tc>
          <w:tcPr>
            <w:tcW w:w="0" w:type="dxa"/>
            <w:vAlign w:val="bottom"/>
          </w:tcPr>
          <w:p>
            <w:pPr>
              <w:spacing w:after="0"/>
              <w:rPr>
                <w:sz w:val="1"/>
                <w:szCs w:val="1"/>
                <w:color w:val="auto"/>
              </w:rPr>
            </w:pPr>
          </w:p>
        </w:tc>
      </w:tr>
    </w:tbl>
    <w:p>
      <w:pPr>
        <w:ind w:left="1100" w:hanging="1074"/>
        <w:spacing w:after="0"/>
        <w:tabs>
          <w:tab w:leader="none" w:pos="1100" w:val="left"/>
        </w:tabs>
        <w:numPr>
          <w:ilvl w:val="1"/>
          <w:numId w:val="10"/>
        </w:numPr>
        <w:rPr>
          <w:rFonts w:ascii="Arial" w:cs="Arial" w:eastAsia="Arial" w:hAnsi="Arial"/>
          <w:sz w:val="18"/>
          <w:szCs w:val="18"/>
          <w:color w:val="auto"/>
        </w:rPr>
      </w:pPr>
      <w:r>
        <w:rPr>
          <w:rFonts w:ascii="Arial" w:cs="Arial" w:eastAsia="Arial" w:hAnsi="Arial"/>
          <w:sz w:val="18"/>
          <w:szCs w:val="18"/>
          <w:color w:val="auto"/>
        </w:rPr>
        <w:t>Inline XBRL for the cover page of this Quarterly Report on Form 10-Q, included in the Exhibit 101 Inline XBRL Document Set.</w:t>
      </w:r>
    </w:p>
    <w:p>
      <w:pPr>
        <w:spacing w:after="0" w:line="359" w:lineRule="exact"/>
        <w:rPr>
          <w:rFonts w:ascii="Arial" w:cs="Arial" w:eastAsia="Arial" w:hAnsi="Arial"/>
          <w:sz w:val="18"/>
          <w:szCs w:val="18"/>
          <w:color w:val="auto"/>
        </w:rPr>
      </w:pPr>
    </w:p>
    <w:p>
      <w:pPr>
        <w:ind w:firstLine="8"/>
        <w:spacing w:after="0" w:line="599" w:lineRule="auto"/>
        <w:tabs>
          <w:tab w:leader="none" w:pos="178" w:val="left"/>
        </w:tabs>
        <w:numPr>
          <w:ilvl w:val="0"/>
          <w:numId w:val="11"/>
        </w:numPr>
        <w:rPr>
          <w:rFonts w:ascii="Arial" w:cs="Arial" w:eastAsia="Arial" w:hAnsi="Arial"/>
          <w:sz w:val="20"/>
          <w:szCs w:val="20"/>
          <w:color w:val="auto"/>
          <w:vertAlign w:val="superscript"/>
        </w:rPr>
      </w:pPr>
      <w:r>
        <w:rPr>
          <w:rFonts w:ascii="Arial" w:cs="Arial" w:eastAsia="Arial" w:hAnsi="Arial"/>
          <w:sz w:val="16"/>
          <w:szCs w:val="16"/>
          <w:color w:val="auto"/>
        </w:rPr>
        <w:t>We agree to furnish to the SEC, upon request, a copy of each instrument with respect to issuances of long-term debt of the Company and its subsidiaries. * Furnished, not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-860425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30" w:right="399" w:bottom="1440" w:gutter="0" w:footer="0" w:header="0"/>
        </w:sectPr>
      </w:pPr>
    </w:p>
    <w:bookmarkStart w:id="43" w:name="page44"/>
    <w:bookmarkEnd w:id="43"/>
    <w:p>
      <w:pPr>
        <w:spacing w:after="0"/>
        <w:rPr>
          <w:sz w:val="20"/>
          <w:szCs w:val="20"/>
          <w:color w:val="auto"/>
        </w:rPr>
      </w:pPr>
      <w:r>
        <w:rPr>
          <w:rFonts w:ascii="Arial" w:cs="Arial" w:eastAsia="Arial" w:hAnsi="Arial"/>
          <w:sz w:val="16"/>
          <w:szCs w:val="16"/>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379"/>
        <w:spacing w:after="0"/>
        <w:rPr>
          <w:sz w:val="20"/>
          <w:szCs w:val="20"/>
          <w:color w:val="auto"/>
        </w:rPr>
      </w:pPr>
      <w:r>
        <w:rPr>
          <w:rFonts w:ascii="Arial" w:cs="Arial" w:eastAsia="Arial" w:hAnsi="Arial"/>
          <w:sz w:val="18"/>
          <w:szCs w:val="18"/>
          <w:b w:val="1"/>
          <w:bCs w:val="1"/>
          <w:u w:val="single" w:color="auto"/>
          <w:color w:val="auto"/>
        </w:rPr>
        <w:t>SIGNATURE</w:t>
      </w:r>
    </w:p>
    <w:p>
      <w:pPr>
        <w:spacing w:after="0" w:line="2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West Pharmaceutical Services, Inc. has duly caused this report to be signed on its behalf by the undersigned thereunto duly authorized.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WEST PHARMACEUTICAL SERVICES,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By: /s/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July 27,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0860"/>
          </w:cols>
          <w:pgMar w:left="320" w:top="130" w:right="719" w:bottom="1440" w:gutter="0" w:footer="0" w:header="0"/>
        </w:sectPr>
      </w:pPr>
    </w:p>
    <w:bookmarkStart w:id="44" w:name="page45"/>
    <w:bookmarkEnd w:id="44"/>
    <w:p>
      <w:pPr>
        <w:jc w:val="right"/>
        <w:spacing w:after="0"/>
        <w:rPr>
          <w:sz w:val="20"/>
          <w:szCs w:val="20"/>
          <w:color w:val="auto"/>
        </w:rPr>
      </w:pPr>
      <w:r>
        <w:rPr>
          <w:rFonts w:ascii="Arial" w:cs="Arial" w:eastAsia="Arial" w:hAnsi="Arial"/>
          <w:sz w:val="18"/>
          <w:szCs w:val="18"/>
          <w:b w:val="1"/>
          <w:bCs w:val="1"/>
          <w:color w:val="auto"/>
        </w:rPr>
        <w:t>EXHIBIT 31.1</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Eric M. Green, certify that:</w:t>
      </w:r>
    </w:p>
    <w:p>
      <w:pPr>
        <w:spacing w:after="0" w:line="171"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40" w:hanging="328"/>
        <w:spacing w:after="0" w:line="263"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ectPr>
          <w:pgSz w:w="11900" w:h="16838" w:orient="portrait"/>
          <w:cols w:equalWidth="0" w:num="1">
            <w:col w:w="11240"/>
          </w:cols>
          <w:pgMar w:left="320" w:top="1417" w:right="339" w:bottom="1440" w:gutter="0" w:footer="0" w:header="0"/>
        </w:sectPr>
      </w:pPr>
    </w:p>
    <w:bookmarkStart w:id="45" w:name="page46"/>
    <w:bookmarkEnd w:id="45"/>
    <w:p>
      <w:pPr>
        <w:jc w:val="right"/>
        <w:spacing w:after="0"/>
        <w:rPr>
          <w:sz w:val="20"/>
          <w:szCs w:val="20"/>
          <w:color w:val="auto"/>
        </w:rPr>
      </w:pPr>
      <w:r>
        <w:rPr>
          <w:rFonts w:ascii="Arial" w:cs="Arial" w:eastAsia="Arial" w:hAnsi="Arial"/>
          <w:sz w:val="18"/>
          <w:szCs w:val="18"/>
          <w:b w:val="1"/>
          <w:bCs w:val="1"/>
          <w:color w:val="auto"/>
        </w:rPr>
        <w:t>EXHIBIT 31.2</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CERTIFICATION</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Bernard J. Birkett, certify that:</w:t>
      </w:r>
    </w:p>
    <w:p>
      <w:pPr>
        <w:spacing w:after="0" w:line="17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West Pharmaceutical Services, Inc.;</w:t>
      </w:r>
    </w:p>
    <w:p>
      <w:pPr>
        <w:spacing w:after="0" w:line="171" w:lineRule="exact"/>
        <w:rPr>
          <w:rFonts w:ascii="Arial" w:cs="Arial" w:eastAsia="Arial" w:hAnsi="Arial"/>
          <w:sz w:val="18"/>
          <w:szCs w:val="18"/>
          <w:color w:val="auto"/>
        </w:rPr>
      </w:pPr>
    </w:p>
    <w:p>
      <w:pPr>
        <w:jc w:val="both"/>
        <w:ind w:left="660" w:right="12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9" w:lineRule="exact"/>
        <w:rPr>
          <w:rFonts w:ascii="Arial" w:cs="Arial" w:eastAsia="Arial" w:hAnsi="Arial"/>
          <w:sz w:val="18"/>
          <w:szCs w:val="18"/>
          <w:color w:val="auto"/>
        </w:rPr>
      </w:pPr>
    </w:p>
    <w:p>
      <w:pPr>
        <w:ind w:left="660" w:right="80" w:hanging="328"/>
        <w:spacing w:after="0" w:line="308" w:lineRule="auto"/>
        <w:tabs>
          <w:tab w:leader="none" w:pos="66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jc w:val="both"/>
        <w:ind w:left="660" w:right="140" w:hanging="328"/>
        <w:spacing w:after="0" w:line="263" w:lineRule="auto"/>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9" w:lineRule="exact"/>
        <w:rPr>
          <w:rFonts w:ascii="Arial" w:cs="Arial" w:eastAsia="Arial" w:hAnsi="Arial"/>
          <w:sz w:val="18"/>
          <w:szCs w:val="18"/>
          <w:color w:val="auto"/>
        </w:rPr>
      </w:pPr>
    </w:p>
    <w:p>
      <w:pPr>
        <w:ind w:left="1300" w:right="12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9" w:lineRule="exact"/>
        <w:rPr>
          <w:rFonts w:ascii="Arial" w:cs="Arial" w:eastAsia="Arial" w:hAnsi="Arial"/>
          <w:sz w:val="18"/>
          <w:szCs w:val="18"/>
          <w:color w:val="auto"/>
        </w:rPr>
      </w:pPr>
    </w:p>
    <w:p>
      <w:pPr>
        <w:ind w:left="1300" w:right="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9" w:lineRule="exact"/>
        <w:rPr>
          <w:rFonts w:ascii="Arial" w:cs="Arial" w:eastAsia="Arial" w:hAnsi="Arial"/>
          <w:sz w:val="18"/>
          <w:szCs w:val="18"/>
          <w:color w:val="auto"/>
        </w:rPr>
      </w:pPr>
    </w:p>
    <w:p>
      <w:pPr>
        <w:jc w:val="both"/>
        <w:ind w:left="1300" w:right="22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1300" w:right="240" w:hanging="320"/>
        <w:spacing w:after="0" w:line="263"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9" w:lineRule="exact"/>
        <w:rPr>
          <w:rFonts w:ascii="Arial" w:cs="Arial" w:eastAsia="Arial" w:hAnsi="Arial"/>
          <w:sz w:val="18"/>
          <w:szCs w:val="18"/>
          <w:color w:val="auto"/>
        </w:rPr>
      </w:pPr>
    </w:p>
    <w:p>
      <w:pPr>
        <w:ind w:left="660" w:right="100" w:hanging="328"/>
        <w:spacing w:after="0" w:line="34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69" w:lineRule="exact"/>
        <w:rPr>
          <w:rFonts w:ascii="Arial" w:cs="Arial" w:eastAsia="Arial" w:hAnsi="Arial"/>
          <w:sz w:val="16"/>
          <w:szCs w:val="16"/>
          <w:color w:val="auto"/>
        </w:rPr>
      </w:pPr>
    </w:p>
    <w:p>
      <w:pPr>
        <w:ind w:left="1300" w:right="460" w:hanging="320"/>
        <w:spacing w:after="0" w:line="342" w:lineRule="auto"/>
        <w:tabs>
          <w:tab w:leader="none" w:pos="130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9" w:lineRule="exact"/>
        <w:rPr>
          <w:rFonts w:ascii="Arial" w:cs="Arial" w:eastAsia="Arial" w:hAnsi="Arial"/>
          <w:sz w:val="16"/>
          <w:szCs w:val="16"/>
          <w:color w:val="auto"/>
        </w:rPr>
      </w:pPr>
    </w:p>
    <w:p>
      <w:pPr>
        <w:ind w:left="1300" w:right="160" w:hanging="320"/>
        <w:spacing w:after="0" w:line="277" w:lineRule="auto"/>
        <w:tabs>
          <w:tab w:leader="none" w:pos="130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ectPr>
          <w:pgSz w:w="11900" w:h="16838" w:orient="portrait"/>
          <w:cols w:equalWidth="0" w:num="1">
            <w:col w:w="11240"/>
          </w:cols>
          <w:pgMar w:left="320" w:top="1417" w:right="339" w:bottom="1440" w:gutter="0" w:footer="0" w:header="0"/>
        </w:sectPr>
      </w:pPr>
    </w:p>
    <w:bookmarkStart w:id="46" w:name="page47"/>
    <w:bookmarkEnd w:id="46"/>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June 30, 2023, as filed with the Securities and Exchange Commission on the date hereof (the “Report”), I, Eric M. Green, President and Chief Executive Officer, Chair of the Board of Directors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4"/>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Eric M. Green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Eric M. Green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President and Chief Executive Officer, Chair of the Board of Directors</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p>
      <w:pPr>
        <w:sectPr>
          <w:pgSz w:w="11900" w:h="16838" w:orient="portrait"/>
          <w:cols w:equalWidth="0" w:num="1">
            <w:col w:w="11240"/>
          </w:cols>
          <w:pgMar w:left="320" w:top="1417" w:right="339" w:bottom="1440" w:gutter="0" w:footer="0" w:header="0"/>
        </w:sectPr>
      </w:pPr>
    </w:p>
    <w:bookmarkStart w:id="47" w:name="page48"/>
    <w:bookmarkEnd w:id="47"/>
    <w:p>
      <w:pPr>
        <w:jc w:val="right"/>
        <w:spacing w:after="0"/>
        <w:rPr>
          <w:sz w:val="20"/>
          <w:szCs w:val="20"/>
          <w:color w:val="auto"/>
        </w:rPr>
      </w:pPr>
      <w:r>
        <w:rPr>
          <w:rFonts w:ascii="Arial" w:cs="Arial" w:eastAsia="Arial" w:hAnsi="Arial"/>
          <w:sz w:val="18"/>
          <w:szCs w:val="18"/>
          <w:b w:val="1"/>
          <w:bCs w:val="1"/>
          <w:color w:val="auto"/>
        </w:rPr>
        <w:t>EXHIBIT 32.2</w:t>
      </w: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 SECTION 906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SARBANES-OXLEY ACT OF 2002</w:t>
      </w:r>
    </w:p>
    <w:p>
      <w:pPr>
        <w:spacing w:after="0" w:line="200" w:lineRule="exact"/>
        <w:rPr>
          <w:sz w:val="20"/>
          <w:szCs w:val="20"/>
          <w:color w:val="auto"/>
        </w:rPr>
      </w:pPr>
    </w:p>
    <w:p>
      <w:pPr>
        <w:spacing w:after="0" w:line="2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Quarterly Report on Form 10-Q of West Pharmaceutical Services, Inc. (the “Company”) for the period ended June 30, 2023, as filed with the Securities and Exchange Commission on the date hereof (the “Report”), I, Bernard J. Birkett, Senior Vice President, Chief Financial and Operations Officer of the Company, certify, pursuant to 18 U.S.C. Section 1350, as adopted pursuant to Section 906 of the Sarbanes-Oxley Act of 2002, that:</w:t>
      </w:r>
    </w:p>
    <w:p>
      <w:pPr>
        <w:spacing w:after="0" w:line="214" w:lineRule="exact"/>
        <w:rPr>
          <w:sz w:val="20"/>
          <w:szCs w:val="20"/>
          <w:color w:val="auto"/>
        </w:rPr>
      </w:pPr>
    </w:p>
    <w:p>
      <w:pPr>
        <w:ind w:left="260" w:hanging="252"/>
        <w:spacing w:after="0"/>
        <w:tabs>
          <w:tab w:leader="none" w:pos="2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252" w:lineRule="exact"/>
        <w:rPr>
          <w:rFonts w:ascii="Arial" w:cs="Arial" w:eastAsia="Arial" w:hAnsi="Arial"/>
          <w:sz w:val="18"/>
          <w:szCs w:val="18"/>
          <w:color w:val="auto"/>
        </w:rPr>
      </w:pPr>
    </w:p>
    <w:p>
      <w:pPr>
        <w:ind w:left="260" w:hanging="252"/>
        <w:spacing w:after="0"/>
        <w:tabs>
          <w:tab w:leader="none" w:pos="2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 Bernard J. Birkett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Bernard J. Birkett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Senior Vice President, Chief Financial and Operations Officer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 July 27, 2023</w:t>
      </w:r>
    </w:p>
    <w:sectPr>
      <w:pgSz w:w="11900" w:h="16838" w:orient="portrait"/>
      <w:cols w:equalWidth="0" w:num="1">
        <w:col w:w="11240"/>
      </w:cols>
      <w:pgMar w:left="320" w:top="14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
      <w:numFmt w:val="bullet"/>
      <w:start w:val="1"/>
    </w:lvl>
  </w:abstractNum>
  <w:abstractNum w:abstractNumId="3">
    <w:nsid w:val="12200854"/>
    <w:multiLevelType w:val="hybridMultilevel"/>
    <w:lvl w:ilvl="0">
      <w:lvlJc w:val="left"/>
      <w:lvlText w:val="(%1)"/>
      <w:numFmt w:val="lowerLetter"/>
      <w:start w:val="1"/>
    </w:lvl>
  </w:abstractNum>
  <w:abstractNum w:abstractNumId="4">
    <w:nsid w:val="4DB127F8"/>
    <w:multiLevelType w:val="hybridMultilevel"/>
    <w:lvl w:ilvl="0">
      <w:lvlJc w:val="left"/>
      <w:lvlText w:val="(%1)"/>
      <w:numFmt w:val="decimal"/>
      <w:start w:val="1"/>
    </w:lvl>
  </w:abstractNum>
  <w:abstractNum w:abstractNumId="5">
    <w:nsid w:val="216231B"/>
    <w:multiLevelType w:val="hybridMultilevel"/>
    <w:lvl w:ilvl="0">
      <w:lvlJc w:val="left"/>
      <w:lvlText w:val="(%1)"/>
      <w:numFmt w:val="decimal"/>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1"/>
      <w:numFmt w:val="decimal"/>
      <w:start w:val="1"/>
    </w:lvl>
    <w:lvl w:ilvl="1">
      <w:lvlJc w:val="left"/>
      <w:lvlText w:val="%2"/>
      <w:numFmt w:val="decimal"/>
      <w:start w:val="104"/>
    </w:lvl>
  </w:abstractNum>
  <w:abstractNum w:abstractNumId="10">
    <w:nsid w:val="3352255A"/>
    <w:multiLevelType w:val="hybridMultilevel"/>
    <w:lvl w:ilvl="0">
      <w:lvlJc w:val="left"/>
      <w:lvlText w:val="(%1)"/>
      <w:numFmt w:val="decimal"/>
      <w:start w:val="1"/>
    </w:lvl>
    <w:lvl w:ilvl="1">
      <w:lvlJc w:val="left"/>
      <w:lvlText w:val="%2"/>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7" Type="http://schemas.openxmlformats.org/officeDocument/2006/relationships/image" Target="media/image9.png"/><Relationship Id="rId18" Type="http://schemas.openxmlformats.org/officeDocument/2006/relationships/image" Target="media/image10.png"/><Relationship Id="rId19"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6" Type="http://schemas.openxmlformats.org/officeDocument/2006/relationships/image" Target="media/image18.png"/><Relationship Id="rId27" Type="http://schemas.openxmlformats.org/officeDocument/2006/relationships/image" Target="media/image19.png"/><Relationship Id="rId28" Type="http://schemas.openxmlformats.org/officeDocument/2006/relationships/image" Target="media/image20.png"/><Relationship Id="rId29" Type="http://schemas.openxmlformats.org/officeDocument/2006/relationships/image" Target="media/image21.png"/><Relationship Id="rId30" Type="http://schemas.openxmlformats.org/officeDocument/2006/relationships/image" Target="media/image22.png"/><Relationship Id="rId31" Type="http://schemas.openxmlformats.org/officeDocument/2006/relationships/image" Target="media/image23.png"/><Relationship Id="rId32" Type="http://schemas.openxmlformats.org/officeDocument/2006/relationships/image" Target="media/image24.png"/><Relationship Id="rId33" Type="http://schemas.openxmlformats.org/officeDocument/2006/relationships/image" Target="media/image25.png"/><Relationship Id="rId34" Type="http://schemas.openxmlformats.org/officeDocument/2006/relationships/image" Target="media/image26.png"/><Relationship Id="rId35" Type="http://schemas.openxmlformats.org/officeDocument/2006/relationships/image" Target="media/image27.png"/><Relationship Id="rId36" Type="http://schemas.openxmlformats.org/officeDocument/2006/relationships/image" Target="media/image28.png"/><Relationship Id="rId37"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5" Type="http://schemas.openxmlformats.org/officeDocument/2006/relationships/image" Target="media/image53.png"/><Relationship Id="rId66" Type="http://schemas.openxmlformats.org/officeDocument/2006/relationships/image" Target="media/image54.png"/><Relationship Id="rId16" Type="http://schemas.openxmlformats.org/officeDocument/2006/relationships/hyperlink" Target="https://www.sec.gov/ix?doc=/Archives/edgar/data/0000105770/000010577023000012/wst-20221231.htm" TargetMode="External"/><Relationship Id="rId38" Type="http://schemas.openxmlformats.org/officeDocument/2006/relationships/hyperlink" Target="https://www.sec.gov/ix?doc=/Archives/edgar/data/105770/000010577023000012/wst-20221231.htm" TargetMode="External"/><Relationship Id="rId62" Type="http://schemas.openxmlformats.org/officeDocument/2006/relationships/hyperlink" Target="https://www.sec.gov/Archives/edgar/data/105770/000010577020000045/ex31articlesofincorpor.htm" TargetMode="External"/><Relationship Id="rId63" Type="http://schemas.openxmlformats.org/officeDocument/2006/relationships/hyperlink" Target="https://www.sec.gov/Archives/edgar/data/105770/000010577021000014/wpsbylawamendmentsfinalfeb.htm" TargetMode="External"/><Relationship Id="rId64" Type="http://schemas.openxmlformats.org/officeDocument/2006/relationships/hyperlink" Target="http://www.sec.gov/Archives/edgar/data/105770/0000105770-99-000016-index.html"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2023-07-27T15:40:17Z</dcterms:created>
  <dcterms:modified xsi:type="dcterms:W3CDTF">2023-07-27T15:40:17Z</dcterms:modified>
</cp:coreProperties>
</file>