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-157480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480" w:hanging="33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or</w:t>
      </w:r>
    </w:p>
    <w:p>
      <w:pPr>
        <w:spacing w:after="0" w:line="27" w:lineRule="exact"/>
        <w:rPr>
          <w:sz w:val="24"/>
          <w:szCs w:val="24"/>
          <w:color w:val="auto"/>
        </w:rPr>
      </w:pPr>
    </w:p>
    <w:p>
      <w:pPr>
        <w:ind w:left="4340" w:right="1500" w:hanging="4190"/>
        <w:spacing w:after="0" w:line="360" w:lineRule="auto"/>
        <w:tabs>
          <w:tab w:leader="none" w:pos="47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ind w:left="43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1-8036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19685</wp:posOffset>
            </wp:positionV>
            <wp:extent cx="1722755" cy="694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WEST PHARMACEUTICAL SERVICES, INC.</w:t>
      </w:r>
    </w:p>
    <w:p>
      <w:pPr>
        <w:spacing w:after="0" w:line="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9" w:lineRule="exact"/>
        <w:rPr>
          <w:sz w:val="24"/>
          <w:szCs w:val="24"/>
          <w:color w:val="auto"/>
        </w:rPr>
      </w:pPr>
    </w:p>
    <w:tbl>
      <w:tblPr>
        <w:tblLayout w:type="fixed"/>
        <w:tblInd w:w="640" w:type="dxa"/>
        <w:tblCellMar>
          <w:top w:w="0" w:type="dxa"/>
          <w:left w:w="0" w:type="dxa"/>
          <w:bottom w:w="0" w:type="dxa"/>
          <w:right w:w="0" w:type="dxa"/>
        </w:tblCellMar>
      </w:tblPr>
      <w:tr>
        <w:trPr>
          <w:trHeight w:val="233"/>
        </w:trPr>
        <w:tc>
          <w:tcPr>
            <w:tcW w:w="536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402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23-1210010</w:t>
            </w: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402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387"/>
        </w:trPr>
        <w:tc>
          <w:tcPr>
            <w:tcW w:w="536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530 Herman O. West Drive, Exton, PA</w:t>
            </w:r>
          </w:p>
        </w:tc>
        <w:tc>
          <w:tcPr>
            <w:tcW w:w="402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19341-1147</w:t>
            </w:r>
          </w:p>
        </w:tc>
      </w:tr>
      <w:tr>
        <w:trPr>
          <w:trHeight w:val="234"/>
        </w:trPr>
        <w:tc>
          <w:tcPr>
            <w:tcW w:w="53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02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0"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610-594-2900</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20"/>
          </w:cols>
          <w:pgMar w:left="320" w:top="1283" w:right="459" w:bottom="1440" w:gutter="0" w:footer="0" w:header="0"/>
        </w:sectPr>
      </w:pPr>
    </w:p>
    <w:p>
      <w:pPr>
        <w:spacing w:after="0" w:line="46"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Common Stock, par value $0.25 per share</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43"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WST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3">
            <w:col w:w="4280" w:space="720"/>
            <w:col w:w="1540" w:space="720"/>
            <w:col w:w="3860"/>
          </w:cols>
          <w:pgMar w:left="320" w:top="1283" w:right="459" w:bottom="1440" w:gutter="0" w:footer="0" w:header="0"/>
          <w:type w:val="continuous"/>
        </w:sectPr>
      </w:pPr>
    </w:p>
    <w:p>
      <w:pPr>
        <w:spacing w:after="0" w:line="7" w:lineRule="exact"/>
        <w:rPr>
          <w:sz w:val="24"/>
          <w:szCs w:val="24"/>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88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4"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9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6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p>
      <w:pPr>
        <w:ind w:right="1460"/>
        <w:spacing w:after="0" w:line="219" w:lineRule="exact"/>
        <w:rPr>
          <w:sz w:val="20"/>
          <w:szCs w:val="20"/>
          <w:color w:val="auto"/>
        </w:rPr>
      </w:pPr>
      <w:r>
        <w:rPr>
          <w:rFonts w:ascii="Times New Roman" w:cs="Times New Roman" w:eastAsia="Times New Roman" w:hAnsi="Times New Roman"/>
          <w:sz w:val="18"/>
          <w:szCs w:val="18"/>
          <w:color w:val="auto"/>
        </w:rPr>
        <w:t xml:space="preserve">or revised financial accounting standards provided pursuant to 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whether the registrant is a shell company (as defined in Rule 12b-2 of the Exchange Act).</w:t>
      </w:r>
    </w:p>
    <w:p>
      <w:pPr>
        <w:spacing w:after="0" w:line="1" w:lineRule="exact"/>
        <w:rPr>
          <w:sz w:val="24"/>
          <w:szCs w:val="24"/>
          <w:color w:val="auto"/>
        </w:rPr>
      </w:pPr>
    </w:p>
    <w:p>
      <w:pPr>
        <w:ind w:left="77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20, 2025, there were 71,943,412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83"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20" w:type="dxa"/>
            <w:vAlign w:val="bottom"/>
            <w:gridSpan w:val="13"/>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0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6940" w:type="dxa"/>
            <w:vAlign w:val="bottom"/>
            <w:gridSpan w:val="18"/>
            <w:vMerge w:val="restart"/>
          </w:tcPr>
          <w:p>
            <w:pPr>
              <w:spacing w:after="0"/>
              <w:rPr>
                <w:sz w:val="24"/>
                <w:szCs w:val="24"/>
                <w:color w:val="auto"/>
              </w:rPr>
            </w:pPr>
          </w:p>
        </w:tc>
        <w:tc>
          <w:tcPr>
            <w:tcW w:w="66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5"/>
        </w:trPr>
        <w:tc>
          <w:tcPr>
            <w:tcW w:w="3080" w:type="dxa"/>
            <w:vAlign w:val="bottom"/>
            <w:tcBorders>
              <w:bottom w:val="single" w:sz="8" w:color="0000FF"/>
            </w:tcBorders>
            <w:gridSpan w:val="4"/>
            <w:vMerge w:val="continue"/>
          </w:tcPr>
          <w:p>
            <w:pPr>
              <w:spacing w:after="0"/>
              <w:rPr>
                <w:sz w:val="18"/>
                <w:szCs w:val="18"/>
                <w:color w:val="auto"/>
              </w:rPr>
            </w:pPr>
          </w:p>
        </w:tc>
        <w:tc>
          <w:tcPr>
            <w:tcW w:w="6940" w:type="dxa"/>
            <w:vAlign w:val="bottom"/>
            <w:gridSpan w:val="18"/>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STATEMENTS (UNAUDITED)</w:t>
            </w:r>
          </w:p>
        </w:tc>
        <w:tc>
          <w:tcPr>
            <w:tcW w:w="3920" w:type="dxa"/>
            <w:vAlign w:val="bottom"/>
            <w:gridSpan w:val="8"/>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Income for the Three and Nine Months ended</w:t>
            </w:r>
          </w:p>
        </w:tc>
        <w:tc>
          <w:tcPr>
            <w:tcW w:w="42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40" w:type="dxa"/>
            <w:vAlign w:val="bottom"/>
            <w:tcBorders>
              <w:top w:val="single" w:sz="8" w:color="0000FF"/>
              <w:bottom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September 30, 2025 and 2024</w:t>
            </w:r>
          </w:p>
        </w:tc>
        <w:tc>
          <w:tcPr>
            <w:tcW w:w="8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840" w:type="dxa"/>
            <w:vAlign w:val="bottom"/>
            <w:tcBorders>
              <w:top w:val="single" w:sz="8" w:color="0000FF"/>
            </w:tcBorders>
            <w:gridSpan w:val="2"/>
          </w:tcPr>
          <w:p>
            <w:pPr>
              <w:spacing w:after="0"/>
              <w:rPr>
                <w:sz w:val="15"/>
                <w:szCs w:val="15"/>
                <w:color w:val="auto"/>
              </w:rPr>
            </w:pPr>
          </w:p>
        </w:tc>
        <w:tc>
          <w:tcPr>
            <w:tcW w:w="21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00" w:type="dxa"/>
            <w:vAlign w:val="bottom"/>
            <w:tcBorders>
              <w:bottom w:val="single" w:sz="8" w:color="0000FF"/>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440" w:type="dxa"/>
            <w:vAlign w:val="bottom"/>
            <w:gridSpan w:val="20"/>
          </w:tcPr>
          <w:p>
            <w:pPr>
              <w:spacing w:after="0" w:line="203" w:lineRule="exact"/>
              <w:rPr>
                <w:sz w:val="20"/>
                <w:szCs w:val="20"/>
                <w:color w:val="auto"/>
              </w:rPr>
            </w:pPr>
            <w:r>
              <w:rPr>
                <w:rFonts w:ascii="Times New Roman" w:cs="Times New Roman" w:eastAsia="Times New Roman" w:hAnsi="Times New Roman"/>
                <w:sz w:val="18"/>
                <w:szCs w:val="18"/>
                <w:b w:val="1"/>
                <w:bCs w:val="1"/>
                <w:color w:val="0000FF"/>
              </w:rPr>
              <w:t>Condensed Consolidated Statements of Comprehensive Income for the Three and Nine</w:t>
            </w:r>
          </w:p>
        </w:tc>
        <w:tc>
          <w:tcPr>
            <w:tcW w:w="420" w:type="dxa"/>
            <w:vAlign w:val="bottom"/>
            <w:gridSpan w:val="2"/>
            <w:vMerge w:val="restart"/>
          </w:tcPr>
          <w:p>
            <w:pPr>
              <w:spacing w:after="0"/>
              <w:rPr>
                <w:sz w:val="17"/>
                <w:szCs w:val="17"/>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rPr>
              <w:t>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20" w:type="dxa"/>
            <w:vAlign w:val="bottom"/>
            <w:tcBorders>
              <w:top w:val="single" w:sz="8" w:color="0000FF"/>
              <w:bottom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Months ended September 30, 2025 and 2024</w:t>
            </w:r>
          </w:p>
        </w:tc>
        <w:tc>
          <w:tcPr>
            <w:tcW w:w="2440" w:type="dxa"/>
            <w:vAlign w:val="bottom"/>
            <w:tcBorders>
              <w:top w:val="single" w:sz="8" w:color="0000FF"/>
            </w:tcBorders>
            <w:gridSpan w:val="4"/>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Balance Sheets at September 30, 2025 and December 31, 2024</w:t>
            </w:r>
          </w:p>
        </w:tc>
        <w:tc>
          <w:tcPr>
            <w:tcW w:w="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0000FF"/>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Cash Flows for the Nine Months ended September 30,</w:t>
            </w:r>
          </w:p>
        </w:tc>
        <w:tc>
          <w:tcPr>
            <w:tcW w:w="42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2025 and 2024</w:t>
            </w:r>
          </w:p>
        </w:tc>
        <w:tc>
          <w:tcPr>
            <w:tcW w:w="5840" w:type="dxa"/>
            <w:vAlign w:val="bottom"/>
            <w:tcBorders>
              <w:top w:val="single" w:sz="8" w:color="0000FF"/>
            </w:tcBorders>
            <w:gridSpan w:val="14"/>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Notes to Condensed Consolidated Financial Statements</w:t>
            </w:r>
          </w:p>
        </w:tc>
        <w:tc>
          <w:tcPr>
            <w:tcW w:w="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0000FF"/>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w:t>
            </w:r>
          </w:p>
        </w:tc>
        <w:tc>
          <w:tcPr>
            <w:tcW w:w="42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RESULTS OF OPERATIONS</w:t>
            </w:r>
          </w:p>
        </w:tc>
        <w:tc>
          <w:tcPr>
            <w:tcW w:w="4200" w:type="dxa"/>
            <w:vAlign w:val="bottom"/>
            <w:tcBorders>
              <w:top w:val="single" w:sz="8" w:color="0000FF"/>
            </w:tcBorders>
            <w:gridSpan w:val="8"/>
          </w:tcPr>
          <w:p>
            <w:pPr>
              <w:spacing w:after="0"/>
              <w:rPr>
                <w:sz w:val="14"/>
                <w:szCs w:val="14"/>
                <w:color w:val="auto"/>
              </w:rPr>
            </w:pPr>
          </w:p>
        </w:tc>
        <w:tc>
          <w:tcPr>
            <w:tcW w:w="520" w:type="dxa"/>
            <w:vAlign w:val="bottom"/>
            <w:gridSpan w:val="2"/>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52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0000FF"/>
                <w:w w:val="99"/>
              </w:rPr>
              <w:t>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64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000" w:type="dxa"/>
            <w:vAlign w:val="bottom"/>
            <w:gridSpan w:val="5"/>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7240" w:type="dxa"/>
            <w:vAlign w:val="bottom"/>
            <w:gridSpan w:val="19"/>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52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0000FF"/>
                <w:w w:val="99"/>
              </w:rPr>
              <w:t>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RISK FACTORS</w:t>
            </w:r>
          </w:p>
        </w:tc>
        <w:tc>
          <w:tcPr>
            <w:tcW w:w="660" w:type="dxa"/>
            <w:vAlign w:val="bottom"/>
            <w:tcBorders>
              <w:top w:val="single" w:sz="8" w:color="0000FF"/>
            </w:tcBorders>
          </w:tcPr>
          <w:p>
            <w:pPr>
              <w:spacing w:after="0"/>
              <w:rPr>
                <w:sz w:val="18"/>
                <w:szCs w:val="18"/>
                <w:color w:val="auto"/>
              </w:rPr>
            </w:pPr>
          </w:p>
        </w:tc>
        <w:tc>
          <w:tcPr>
            <w:tcW w:w="5460" w:type="dxa"/>
            <w:vAlign w:val="bottom"/>
            <w:gridSpan w:val="14"/>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3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9"/>
              </w:rPr>
              <w:t>UNREGISTERED SALES OF EQUITY SECURITIES AND USE OF PROCEEDS</w:t>
            </w:r>
          </w:p>
        </w:tc>
        <w:tc>
          <w:tcPr>
            <w:tcW w:w="1060" w:type="dxa"/>
            <w:vAlign w:val="bottom"/>
            <w:gridSpan w:val="6"/>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2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5420" w:type="dxa"/>
            <w:vAlign w:val="bottom"/>
            <w:gridSpan w:val="13"/>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52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0000FF"/>
                <w:w w:val="99"/>
              </w:rPr>
              <w:t>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42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4" w:right="8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Pharmaceutical Services, Inc.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26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5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September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Borders>
              <w:bottom w:val="single" w:sz="8" w:color="auto"/>
            </w:tcBorders>
          </w:tcPr>
          <w:p>
            <w:pPr>
              <w:spacing w:after="0"/>
              <w:rPr>
                <w:sz w:val="20"/>
                <w:szCs w:val="20"/>
                <w:color w:val="auto"/>
              </w:rPr>
            </w:pPr>
          </w:p>
        </w:tc>
      </w:tr>
      <w:tr>
        <w:trPr>
          <w:trHeight w:val="227"/>
        </w:trPr>
        <w:tc>
          <w:tcPr>
            <w:tcW w:w="5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2,144.4</w:t>
            </w:r>
          </w:p>
        </w:tc>
      </w:tr>
      <w:tr>
        <w:trPr>
          <w:trHeight w:val="22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1,419.5</w:t>
            </w:r>
          </w:p>
        </w:tc>
      </w:tr>
      <w:tr>
        <w:trPr>
          <w:trHeight w:val="223"/>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w:t>
            </w: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22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(Note 14)</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profit</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expense (income)</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155"/>
        </w:trPr>
        <w:tc>
          <w:tcPr>
            <w:tcW w:w="510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Income before income taxes and equity in net income of</w:t>
            </w: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43"/>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affiliated companies</w:t>
            </w:r>
          </w:p>
        </w:tc>
        <w:tc>
          <w:tcPr>
            <w:tcW w:w="10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of affiliated companies</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5"/>
        </w:trPr>
        <w:tc>
          <w:tcPr>
            <w:tcW w:w="5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0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Borders>
              <w:bottom w:val="single" w:sz="8" w:color="auto"/>
            </w:tcBorders>
          </w:tcPr>
          <w:p>
            <w:pPr>
              <w:jc w:val="right"/>
              <w:ind w:right="8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4.97</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4.91</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5"/>
        </w:trPr>
        <w:tc>
          <w:tcPr>
            <w:tcW w:w="5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10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72.7</w:t>
            </w: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73.8</w:t>
            </w:r>
          </w:p>
        </w:tc>
      </w:tr>
      <w:tr>
        <w:trPr>
          <w:trHeight w:val="20"/>
        </w:trPr>
        <w:tc>
          <w:tcPr>
            <w:tcW w:w="5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(UNAUDITED)</w:t>
      </w:r>
    </w:p>
    <w:p>
      <w:pPr>
        <w:sectPr>
          <w:pgSz w:w="11900" w:h="16838" w:orient="portrait"/>
          <w:cols w:equalWidth="0" w:num="1">
            <w:col w:w="11240"/>
          </w:cols>
          <w:pgMar w:left="320" w:top="124" w:right="339" w:bottom="1440" w:gutter="0" w:footer="0" w:header="0"/>
        </w:sectPr>
      </w:pPr>
    </w:p>
    <w:p>
      <w:pPr>
        <w:spacing w:after="0" w:line="43" w:lineRule="exact"/>
        <w:rPr>
          <w:sz w:val="20"/>
          <w:szCs w:val="20"/>
          <w:color w:val="auto"/>
        </w:rPr>
      </w:pPr>
    </w:p>
    <w:p>
      <w:pPr>
        <w:ind w:right="1560"/>
        <w:spacing w:after="0" w:line="260" w:lineRule="auto"/>
        <w:rPr>
          <w:sz w:val="20"/>
          <w:szCs w:val="20"/>
          <w:color w:val="auto"/>
        </w:rPr>
      </w:pPr>
      <w:r>
        <w:rPr>
          <w:rFonts w:ascii="Times New Roman" w:cs="Times New Roman" w:eastAsia="Times New Roman" w:hAnsi="Times New Roman"/>
          <w:sz w:val="18"/>
          <w:szCs w:val="18"/>
          <w:color w:val="auto"/>
        </w:rPr>
        <w:t>West Pharmaceutical Services, Inc. and Subsidiaries (in millions)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5200" w:val="left"/>
        </w:tabs>
        <w:rPr>
          <w:sz w:val="20"/>
          <w:szCs w:val="20"/>
          <w:color w:val="auto"/>
        </w:rPr>
      </w:pPr>
      <w:r>
        <w:rPr>
          <w:rFonts w:ascii="Times New Roman" w:cs="Times New Roman" w:eastAsia="Times New Roman" w:hAnsi="Times New Roman"/>
          <w:sz w:val="18"/>
          <w:szCs w:val="18"/>
          <w:color w:val="auto"/>
        </w:rPr>
        <w:t>Net income</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p>
      <w:pPr>
        <w:spacing w:after="0" w:line="23" w:lineRule="exact"/>
        <w:rPr>
          <w:sz w:val="20"/>
          <w:szCs w:val="20"/>
          <w:color w:val="auto"/>
        </w:rPr>
      </w:pPr>
    </w:p>
    <w:p>
      <w:pPr>
        <w:ind w:left="220" w:right="520"/>
        <w:spacing w:after="0" w:line="234" w:lineRule="auto"/>
        <w:rPr>
          <w:sz w:val="20"/>
          <w:szCs w:val="20"/>
          <w:color w:val="auto"/>
        </w:rPr>
      </w:pPr>
      <w:r>
        <w:rPr>
          <w:rFonts w:ascii="Times New Roman" w:cs="Times New Roman" w:eastAsia="Times New Roman" w:hAnsi="Times New Roman"/>
          <w:sz w:val="18"/>
          <w:szCs w:val="18"/>
          <w:color w:val="auto"/>
        </w:rPr>
        <w:t>Foreign currency translation adjustments, net of tax of $0.7 and $(2.5), $(1.4) and $(0.8), respectively</w:t>
      </w:r>
    </w:p>
    <w:p>
      <w:pPr>
        <w:spacing w:after="0" w:line="10" w:lineRule="exact"/>
        <w:rPr>
          <w:sz w:val="20"/>
          <w:szCs w:val="20"/>
          <w:color w:val="auto"/>
        </w:rPr>
      </w:pPr>
    </w:p>
    <w:p>
      <w:pPr>
        <w:ind w:left="220" w:right="260"/>
        <w:spacing w:after="0" w:line="237" w:lineRule="auto"/>
        <w:rPr>
          <w:sz w:val="20"/>
          <w:szCs w:val="20"/>
          <w:color w:val="auto"/>
        </w:rPr>
      </w:pPr>
      <w:r>
        <w:rPr>
          <w:rFonts w:ascii="Times New Roman" w:cs="Times New Roman" w:eastAsia="Times New Roman" w:hAnsi="Times New Roman"/>
          <w:sz w:val="18"/>
          <w:szCs w:val="18"/>
          <w:color w:val="auto"/>
        </w:rPr>
        <w:t>Defined benefit pension and other postretirement plan adjustments, net of tax of $0.0 and $(0.2), $(0.3) and $(0.3), respectively</w:t>
      </w:r>
    </w:p>
    <w:p>
      <w:pPr>
        <w:spacing w:after="0" w:line="10" w:lineRule="exact"/>
        <w:rPr>
          <w:sz w:val="20"/>
          <w:szCs w:val="20"/>
          <w:color w:val="auto"/>
        </w:rPr>
      </w:pPr>
    </w:p>
    <w:p>
      <w:pPr>
        <w:ind w:left="220" w:right="200"/>
        <w:spacing w:after="0" w:line="237" w:lineRule="auto"/>
        <w:rPr>
          <w:sz w:val="20"/>
          <w:szCs w:val="20"/>
          <w:color w:val="auto"/>
        </w:rPr>
      </w:pPr>
      <w:r>
        <w:rPr>
          <w:rFonts w:ascii="Times New Roman" w:cs="Times New Roman" w:eastAsia="Times New Roman" w:hAnsi="Times New Roman"/>
          <w:sz w:val="18"/>
          <w:szCs w:val="18"/>
          <w:color w:val="auto"/>
        </w:rPr>
        <w:t>Net (loss) gain on equity affiliate accumulated other comprehensive income, net of tax of $0.0 and $0.0, $0.0 and $0.0, respectively</w:t>
      </w:r>
    </w:p>
    <w:p>
      <w:pPr>
        <w:spacing w:after="0" w:line="10" w:lineRule="exact"/>
        <w:rPr>
          <w:sz w:val="20"/>
          <w:szCs w:val="20"/>
          <w:color w:val="auto"/>
        </w:rPr>
      </w:pPr>
    </w:p>
    <w:p>
      <w:pPr>
        <w:ind w:left="220" w:right="160"/>
        <w:spacing w:after="0" w:line="237" w:lineRule="auto"/>
        <w:rPr>
          <w:sz w:val="20"/>
          <w:szCs w:val="20"/>
          <w:color w:val="auto"/>
        </w:rPr>
      </w:pPr>
      <w:r>
        <w:rPr>
          <w:rFonts w:ascii="Times New Roman" w:cs="Times New Roman" w:eastAsia="Times New Roman" w:hAnsi="Times New Roman"/>
          <w:sz w:val="18"/>
          <w:szCs w:val="18"/>
          <w:color w:val="auto"/>
        </w:rPr>
        <w:t>Net (loss) gain on derivatives, net of tax of $(0.5) and $1.1, $1.2 and $0.7,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52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20" w:type="dxa"/>
            <w:vAlign w:val="bottom"/>
          </w:tcPr>
          <w:p>
            <w:pPr>
              <w:spacing w:after="0"/>
              <w:rPr>
                <w:sz w:val="17"/>
                <w:szCs w:val="17"/>
                <w:color w:val="auto"/>
              </w:rPr>
            </w:pPr>
          </w:p>
        </w:tc>
        <w:tc>
          <w:tcPr>
            <w:tcW w:w="266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15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September 30,</w:t>
            </w:r>
          </w:p>
        </w:tc>
        <w:tc>
          <w:tcPr>
            <w:tcW w:w="940" w:type="dxa"/>
            <w:vAlign w:val="bottom"/>
            <w:tcBorders>
              <w:bottom w:val="single" w:sz="8" w:color="auto"/>
            </w:tcBorders>
          </w:tcPr>
          <w:p>
            <w:pPr>
              <w:spacing w:after="0"/>
              <w:rPr>
                <w:sz w:val="20"/>
                <w:szCs w:val="20"/>
                <w:color w:val="auto"/>
              </w:rPr>
            </w:pPr>
          </w:p>
        </w:tc>
      </w:tr>
      <w:tr>
        <w:trPr>
          <w:trHeight w:val="229"/>
        </w:trPr>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4"/>
              </w:rPr>
              <w:t>2025</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8"/>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140.0</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r>
      <w:tr>
        <w:trPr>
          <w:trHeight w:val="643"/>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19"/>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8"/>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7"/>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-1061085</wp:posOffset>
            </wp:positionV>
            <wp:extent cx="713232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-529590</wp:posOffset>
            </wp:positionV>
            <wp:extent cx="7132320" cy="266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-1361440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-1515745</wp:posOffset>
            </wp:positionV>
            <wp:extent cx="18770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20" w:space="420"/>
            <w:col w:w="5500"/>
          </w:cols>
          <w:pgMar w:left="320" w:top="124"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w:t>
            </w:r>
          </w:p>
        </w:tc>
      </w:tr>
      <w:tr>
        <w:trPr>
          <w:trHeight w:val="20"/>
        </w:trPr>
        <w:tc>
          <w:tcPr>
            <w:tcW w:w="5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 (UNAUDITED)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West Pharmaceutical Services, Inc. and Subsidiaries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 millions, except per share data)</w:t>
            </w:r>
          </w:p>
        </w:tc>
        <w:tc>
          <w:tcPr>
            <w:tcW w:w="200" w:type="dxa"/>
            <w:vAlign w:val="bottom"/>
          </w:tcPr>
          <w:p>
            <w:pPr>
              <w:spacing w:after="0"/>
              <w:rPr>
                <w:sz w:val="17"/>
                <w:szCs w:val="17"/>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September 30,</w:t>
            </w:r>
          </w:p>
        </w:tc>
        <w:tc>
          <w:tcPr>
            <w:tcW w:w="200" w:type="dxa"/>
            <w:vAlign w:val="bottom"/>
          </w:tcPr>
          <w:p>
            <w:pPr>
              <w:spacing w:after="0"/>
              <w:rPr>
                <w:sz w:val="17"/>
                <w:szCs w:val="17"/>
                <w:color w:val="auto"/>
              </w:rPr>
            </w:pPr>
          </w:p>
        </w:tc>
        <w:tc>
          <w:tcPr>
            <w:tcW w:w="136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484.6</w:t>
            </w:r>
          </w:p>
        </w:tc>
        <w:tc>
          <w:tcPr>
            <w:tcW w:w="0" w:type="dxa"/>
            <w:vAlign w:val="bottom"/>
          </w:tcPr>
          <w:p>
            <w:pPr>
              <w:spacing w:after="0"/>
              <w:rPr>
                <w:sz w:val="1"/>
                <w:szCs w:val="1"/>
                <w:color w:val="auto"/>
              </w:rPr>
            </w:pPr>
          </w:p>
        </w:tc>
      </w:tr>
      <w:tr>
        <w:trPr>
          <w:trHeight w:val="226"/>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552.5</w:t>
            </w:r>
          </w:p>
        </w:tc>
        <w:tc>
          <w:tcPr>
            <w:tcW w:w="0" w:type="dxa"/>
            <w:vAlign w:val="bottom"/>
          </w:tcPr>
          <w:p>
            <w:pPr>
              <w:spacing w:after="0"/>
              <w:rPr>
                <w:sz w:val="1"/>
                <w:szCs w:val="1"/>
                <w:color w:val="auto"/>
              </w:rPr>
            </w:pPr>
          </w:p>
        </w:tc>
      </w:tr>
      <w:tr>
        <w:trPr>
          <w:trHeight w:val="23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377.0</w:t>
            </w:r>
          </w:p>
        </w:tc>
        <w:tc>
          <w:tcPr>
            <w:tcW w:w="0" w:type="dxa"/>
            <w:vAlign w:val="bottom"/>
          </w:tcPr>
          <w:p>
            <w:pPr>
              <w:spacing w:after="0"/>
              <w:rPr>
                <w:sz w:val="1"/>
                <w:szCs w:val="1"/>
                <w:color w:val="auto"/>
              </w:rPr>
            </w:pPr>
          </w:p>
        </w:tc>
      </w:tr>
      <w:tr>
        <w:trPr>
          <w:trHeight w:val="226"/>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0" w:type="dxa"/>
            <w:vAlign w:val="bottom"/>
          </w:tcPr>
          <w:p>
            <w:pPr>
              <w:spacing w:after="0"/>
              <w:rPr>
                <w:sz w:val="1"/>
                <w:szCs w:val="1"/>
                <w:color w:val="auto"/>
              </w:rPr>
            </w:pPr>
          </w:p>
        </w:tc>
      </w:tr>
      <w:tr>
        <w:trPr>
          <w:trHeight w:val="22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1,538.1</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2,985.8</w:t>
            </w:r>
          </w:p>
        </w:tc>
        <w:tc>
          <w:tcPr>
            <w:tcW w:w="0" w:type="dxa"/>
            <w:vAlign w:val="bottom"/>
          </w:tcPr>
          <w:p>
            <w:pPr>
              <w:spacing w:after="0"/>
              <w:rPr>
                <w:sz w:val="1"/>
                <w:szCs w:val="1"/>
                <w:color w:val="auto"/>
              </w:rPr>
            </w:pPr>
          </w:p>
        </w:tc>
      </w:tr>
      <w:tr>
        <w:trPr>
          <w:trHeight w:val="23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1,404.2</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1,581.6</w:t>
            </w:r>
          </w:p>
        </w:tc>
        <w:tc>
          <w:tcPr>
            <w:tcW w:w="0" w:type="dxa"/>
            <w:vAlign w:val="bottom"/>
          </w:tcPr>
          <w:p>
            <w:pPr>
              <w:spacing w:after="0"/>
              <w:rPr>
                <w:sz w:val="1"/>
                <w:szCs w:val="1"/>
                <w:color w:val="auto"/>
              </w:rPr>
            </w:pPr>
          </w:p>
        </w:tc>
      </w:tr>
      <w:tr>
        <w:trPr>
          <w:trHeight w:val="23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w:t>
            </w:r>
          </w:p>
        </w:tc>
        <w:tc>
          <w:tcPr>
            <w:tcW w:w="0" w:type="dxa"/>
            <w:vAlign w:val="bottom"/>
          </w:tcPr>
          <w:p>
            <w:pPr>
              <w:spacing w:after="0"/>
              <w:rPr>
                <w:sz w:val="1"/>
                <w:szCs w:val="1"/>
                <w:color w:val="auto"/>
              </w:rPr>
            </w:pPr>
          </w:p>
        </w:tc>
      </w:tr>
      <w:tr>
        <w:trPr>
          <w:trHeight w:val="226"/>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affiliated companies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202.1</w:t>
            </w:r>
          </w:p>
        </w:tc>
        <w:tc>
          <w:tcPr>
            <w:tcW w:w="0" w:type="dxa"/>
            <w:vAlign w:val="bottom"/>
          </w:tcPr>
          <w:p>
            <w:pPr>
              <w:spacing w:after="0"/>
              <w:rPr>
                <w:sz w:val="1"/>
                <w:szCs w:val="1"/>
                <w:color w:val="auto"/>
              </w:rPr>
            </w:pPr>
          </w:p>
        </w:tc>
      </w:tr>
      <w:tr>
        <w:trPr>
          <w:trHeight w:val="23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0" w:type="dxa"/>
            <w:vAlign w:val="bottom"/>
          </w:tcPr>
          <w:p>
            <w:pPr>
              <w:spacing w:after="0"/>
              <w:rPr>
                <w:sz w:val="1"/>
                <w:szCs w:val="1"/>
                <w:color w:val="auto"/>
              </w:rPr>
            </w:pPr>
          </w:p>
        </w:tc>
      </w:tr>
      <w:tr>
        <w:trPr>
          <w:trHeight w:val="226"/>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3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0" w:type="dxa"/>
            <w:vAlign w:val="bottom"/>
          </w:tcPr>
          <w:p>
            <w:pPr>
              <w:spacing w:after="0"/>
              <w:rPr>
                <w:sz w:val="1"/>
                <w:szCs w:val="1"/>
                <w:color w:val="auto"/>
              </w:rPr>
            </w:pPr>
          </w:p>
        </w:tc>
      </w:tr>
      <w:tr>
        <w:trPr>
          <w:trHeight w:val="22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0" w:type="dxa"/>
            <w:vAlign w:val="bottom"/>
          </w:tcPr>
          <w:p>
            <w:pPr>
              <w:spacing w:after="0"/>
              <w:rPr>
                <w:sz w:val="1"/>
                <w:szCs w:val="1"/>
                <w:color w:val="auto"/>
              </w:rPr>
            </w:pPr>
          </w:p>
        </w:tc>
      </w:tr>
      <w:tr>
        <w:trPr>
          <w:trHeight w:val="252"/>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3,643.4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8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 AND EQUITY</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239.3</w:t>
            </w:r>
          </w:p>
        </w:tc>
        <w:tc>
          <w:tcPr>
            <w:tcW w:w="0" w:type="dxa"/>
            <w:vAlign w:val="bottom"/>
          </w:tcPr>
          <w:p>
            <w:pPr>
              <w:spacing w:after="0"/>
              <w:rPr>
                <w:sz w:val="1"/>
                <w:szCs w:val="1"/>
                <w:color w:val="auto"/>
              </w:rPr>
            </w:pPr>
          </w:p>
        </w:tc>
      </w:tr>
      <w:tr>
        <w:trPr>
          <w:trHeight w:val="226"/>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salaries, wages and benefits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0" w:type="dxa"/>
            <w:vAlign w:val="bottom"/>
          </w:tcPr>
          <w:p>
            <w:pPr>
              <w:spacing w:after="0"/>
              <w:rPr>
                <w:sz w:val="1"/>
                <w:szCs w:val="1"/>
                <w:color w:val="auto"/>
              </w:rPr>
            </w:pPr>
          </w:p>
        </w:tc>
      </w:tr>
      <w:tr>
        <w:trPr>
          <w:trHeight w:val="23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taxes payable</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0" w:type="dxa"/>
            <w:vAlign w:val="bottom"/>
          </w:tcPr>
          <w:p>
            <w:pPr>
              <w:spacing w:after="0"/>
              <w:rPr>
                <w:sz w:val="1"/>
                <w:szCs w:val="1"/>
                <w:color w:val="auto"/>
              </w:rPr>
            </w:pPr>
          </w:p>
        </w:tc>
      </w:tr>
      <w:tr>
        <w:trPr>
          <w:trHeight w:val="226"/>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0" w:type="dxa"/>
            <w:vAlign w:val="bottom"/>
          </w:tcPr>
          <w:p>
            <w:pPr>
              <w:spacing w:after="0"/>
              <w:rPr>
                <w:sz w:val="1"/>
                <w:szCs w:val="1"/>
                <w:color w:val="auto"/>
              </w:rPr>
            </w:pPr>
          </w:p>
        </w:tc>
      </w:tr>
      <w:tr>
        <w:trPr>
          <w:trHeight w:val="23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w:t>
            </w:r>
          </w:p>
        </w:tc>
        <w:tc>
          <w:tcPr>
            <w:tcW w:w="0" w:type="dxa"/>
            <w:vAlign w:val="bottom"/>
          </w:tcPr>
          <w:p>
            <w:pPr>
              <w:spacing w:after="0"/>
              <w:rPr>
                <w:sz w:val="1"/>
                <w:szCs w:val="1"/>
                <w:color w:val="auto"/>
              </w:rPr>
            </w:pPr>
          </w:p>
        </w:tc>
      </w:tr>
      <w:tr>
        <w:trPr>
          <w:trHeight w:val="21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550.4</w:t>
            </w:r>
          </w:p>
        </w:tc>
        <w:tc>
          <w:tcPr>
            <w:tcW w:w="0" w:type="dxa"/>
            <w:vAlign w:val="bottom"/>
          </w:tcPr>
          <w:p>
            <w:pPr>
              <w:spacing w:after="0"/>
              <w:rPr>
                <w:sz w:val="1"/>
                <w:szCs w:val="1"/>
                <w:color w:val="auto"/>
              </w:rPr>
            </w:pPr>
          </w:p>
        </w:tc>
      </w:tr>
      <w:tr>
        <w:trPr>
          <w:trHeight w:val="22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0" w:type="dxa"/>
            <w:vAlign w:val="bottom"/>
          </w:tcPr>
          <w:p>
            <w:pPr>
              <w:spacing w:after="0"/>
              <w:rPr>
                <w:sz w:val="1"/>
                <w:szCs w:val="1"/>
                <w:color w:val="auto"/>
              </w:rPr>
            </w:pPr>
          </w:p>
        </w:tc>
      </w:tr>
      <w:tr>
        <w:trPr>
          <w:trHeight w:val="226"/>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23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Pension and other postretirement benefits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0" w:type="dxa"/>
            <w:vAlign w:val="bottom"/>
          </w:tcPr>
          <w:p>
            <w:pPr>
              <w:spacing w:after="0"/>
              <w:rPr>
                <w:sz w:val="1"/>
                <w:szCs w:val="1"/>
                <w:color w:val="auto"/>
              </w:rPr>
            </w:pPr>
          </w:p>
        </w:tc>
      </w:tr>
      <w:tr>
        <w:trPr>
          <w:trHeight w:val="226"/>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0" w:type="dxa"/>
            <w:vAlign w:val="bottom"/>
          </w:tcPr>
          <w:p>
            <w:pPr>
              <w:spacing w:after="0"/>
              <w:rPr>
                <w:sz w:val="1"/>
                <w:szCs w:val="1"/>
                <w:color w:val="auto"/>
              </w:rPr>
            </w:pPr>
          </w:p>
        </w:tc>
      </w:tr>
      <w:tr>
        <w:trPr>
          <w:trHeight w:val="23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compensation benefits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0" w:type="dxa"/>
            <w:vAlign w:val="bottom"/>
          </w:tcPr>
          <w:p>
            <w:pPr>
              <w:spacing w:after="0"/>
              <w:rPr>
                <w:sz w:val="1"/>
                <w:szCs w:val="1"/>
                <w:color w:val="auto"/>
              </w:rPr>
            </w:pPr>
          </w:p>
        </w:tc>
      </w:tr>
      <w:tr>
        <w:trPr>
          <w:trHeight w:val="22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961.1</w:t>
            </w:r>
          </w:p>
        </w:tc>
        <w:tc>
          <w:tcPr>
            <w:tcW w:w="0" w:type="dxa"/>
            <w:vAlign w:val="bottom"/>
          </w:tcPr>
          <w:p>
            <w:pPr>
              <w:spacing w:after="0"/>
              <w:rPr>
                <w:sz w:val="1"/>
                <w:szCs w:val="1"/>
                <w:color w:val="auto"/>
              </w:rPr>
            </w:pPr>
          </w:p>
        </w:tc>
      </w:tr>
      <w:tr>
        <w:trPr>
          <w:trHeight w:val="92"/>
        </w:trPr>
        <w:tc>
          <w:tcPr>
            <w:tcW w:w="8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16)</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8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Preferred stock, 3.0 million shares authorized; 0 shares issued and outstanding</w:t>
            </w:r>
          </w:p>
        </w:tc>
        <w:tc>
          <w:tcPr>
            <w:tcW w:w="2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par value $0.25 per share; 200.0 million shares authorized; shares issued: September 30, 2025 -</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75.3 million, December 31, 2024 - 75.3 million; shares outstanding: September 30, 2025 - 71.9 million,</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December 31, 2024 - 72.3 million</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26"/>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2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0" w:type="dxa"/>
            <w:vAlign w:val="bottom"/>
          </w:tcPr>
          <w:p>
            <w:pPr>
              <w:spacing w:after="0"/>
              <w:rPr>
                <w:sz w:val="1"/>
                <w:szCs w:val="1"/>
                <w:color w:val="auto"/>
              </w:rPr>
            </w:pPr>
          </w:p>
        </w:tc>
      </w:tr>
      <w:tr>
        <w:trPr>
          <w:trHeight w:val="23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3,956.6</w:t>
            </w:r>
          </w:p>
        </w:tc>
        <w:tc>
          <w:tcPr>
            <w:tcW w:w="0" w:type="dxa"/>
            <w:vAlign w:val="bottom"/>
          </w:tcPr>
          <w:p>
            <w:pPr>
              <w:spacing w:after="0"/>
              <w:rPr>
                <w:sz w:val="1"/>
                <w:szCs w:val="1"/>
                <w:color w:val="auto"/>
              </w:rPr>
            </w:pPr>
          </w:p>
        </w:tc>
      </w:tr>
      <w:tr>
        <w:trPr>
          <w:trHeight w:val="226"/>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(258.1)</w:t>
            </w:r>
          </w:p>
        </w:tc>
        <w:tc>
          <w:tcPr>
            <w:tcW w:w="0" w:type="dxa"/>
            <w:vAlign w:val="bottom"/>
          </w:tcPr>
          <w:p>
            <w:pPr>
              <w:spacing w:after="0"/>
              <w:rPr>
                <w:sz w:val="1"/>
                <w:szCs w:val="1"/>
                <w:color w:val="auto"/>
              </w:rPr>
            </w:pPr>
          </w:p>
        </w:tc>
      </w:tr>
      <w:tr>
        <w:trPr>
          <w:trHeight w:val="26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Treasury stock, at cost (September 30, 2025 - 3.4 million shares, December 31, 2024 - 3.0 million shares)</w:t>
            </w:r>
          </w:p>
        </w:tc>
        <w:tc>
          <w:tcPr>
            <w:tcW w:w="2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(1,057.1)</w:t>
            </w:r>
          </w:p>
        </w:tc>
        <w:tc>
          <w:tcPr>
            <w:tcW w:w="0" w:type="dxa"/>
            <w:vAlign w:val="bottom"/>
          </w:tcPr>
          <w:p>
            <w:pPr>
              <w:spacing w:after="0"/>
              <w:rPr>
                <w:sz w:val="1"/>
                <w:szCs w:val="1"/>
                <w:color w:val="auto"/>
              </w:rPr>
            </w:pPr>
          </w:p>
        </w:tc>
      </w:tr>
      <w:tr>
        <w:trPr>
          <w:trHeight w:val="21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Equity</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2,682.3</w:t>
            </w:r>
          </w:p>
        </w:tc>
        <w:tc>
          <w:tcPr>
            <w:tcW w:w="0" w:type="dxa"/>
            <w:vAlign w:val="bottom"/>
          </w:tcPr>
          <w:p>
            <w:pPr>
              <w:spacing w:after="0"/>
              <w:rPr>
                <w:sz w:val="1"/>
                <w:szCs w:val="1"/>
                <w:color w:val="auto"/>
              </w:rPr>
            </w:pPr>
          </w:p>
        </w:tc>
      </w:tr>
      <w:tr>
        <w:trPr>
          <w:trHeight w:val="252"/>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3,643.4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5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CASH FLOWS (UNAUDITED) </w:t>
      </w:r>
      <w:r>
        <w:rPr>
          <w:rFonts w:ascii="Times New Roman" w:cs="Times New Roman" w:eastAsia="Times New Roman" w:hAnsi="Times New Roman"/>
          <w:sz w:val="18"/>
          <w:szCs w:val="18"/>
          <w:color w:val="auto"/>
        </w:rPr>
        <w:t>West Pharmaceutical Services, Inc. and Subsidiaries (in millions)</w:t>
      </w:r>
    </w:p>
    <w:p>
      <w:pPr>
        <w:spacing w:after="0" w:line="202"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8"/>
          <w:szCs w:val="18"/>
          <w:color w:val="auto"/>
        </w:rPr>
        <w:t>Nine Months Ended</w:t>
      </w:r>
    </w:p>
    <w:p>
      <w:pPr>
        <w:jc w:val="center"/>
        <w:ind w:left="8000"/>
        <w:spacing w:after="0"/>
        <w:rPr>
          <w:sz w:val="20"/>
          <w:szCs w:val="20"/>
          <w:color w:val="auto"/>
        </w:rPr>
      </w:pPr>
      <w:r>
        <w:rPr>
          <w:rFonts w:ascii="Times New Roman" w:cs="Times New Roman" w:eastAsia="Times New Roman" w:hAnsi="Times New Roman"/>
          <w:sz w:val="18"/>
          <w:szCs w:val="18"/>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2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29"/>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Amortization</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Non-cash restructuring charges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Asset impairments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non-cash items, net</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r>
      <w:tr>
        <w:trPr>
          <w:trHeight w:val="142"/>
        </w:trPr>
        <w:tc>
          <w:tcPr>
            <w:tcW w:w="8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w:t>
            </w:r>
          </w:p>
        </w:tc>
      </w:tr>
      <w:tr>
        <w:trPr>
          <w:trHeight w:val="142"/>
        </w:trPr>
        <w:tc>
          <w:tcPr>
            <w:tcW w:w="8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Borrowings of long-term debt</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9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repayments on finance leases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Excise tax payments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payments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stock-based compensation awards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stock purchase plan contributions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purchased under share repurchase programs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repurchased for employee tax withholdings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r>
      <w:tr>
        <w:trPr>
          <w:trHeight w:val="162"/>
        </w:trPr>
        <w:tc>
          <w:tcPr>
            <w:tcW w:w="8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including cash equivalents at beginning of period</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853.9</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including cash equivalents at end of period</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4"/>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20" w:firstLine="2043"/>
        <w:spacing w:after="0" w:line="37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Note 1: Basis of Presentation</w:t>
      </w:r>
    </w:p>
    <w:p>
      <w:pPr>
        <w:spacing w:after="0" w:line="1" w:lineRule="exact"/>
        <w:rPr>
          <w:sz w:val="20"/>
          <w:szCs w:val="20"/>
          <w:color w:val="auto"/>
        </w:rPr>
      </w:pPr>
    </w:p>
    <w:p>
      <w:pPr>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 The condensed consolidated financial statements included in this report are unaudited and have been prepared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(“U.S.”) generally accepted accounting principles (“U.S. GAAP”) for interim financial reporting and U.S. Securities and Exchange Commission (“SEC”) regulations. The year-end condensed consolidated balance sheet data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financial statements include all adjustments, which are of a normal recurring nature, necessary for a fair statement of the financial position, results of operations, cash flows and the change in equity for the periods presented. The condensed consolidated financial statements for the three and nine months ended September 30, 2025, should be read in conjunction with the consolidated financial statements and notes thereto of West Pharmaceutical Services, Inc. and its majority-owned subsidiaries (which may be referred to as “West”, the “Company”, “we”, “us” or “our”) appearing in our Annual Report on Form 10-K for the year ended December 31, 2024 (the “</w:t>
      </w:r>
      <w:hyperlink r:id="rId21">
        <w:r>
          <w:rPr>
            <w:rFonts w:ascii="Times New Roman" w:cs="Times New Roman" w:eastAsia="Times New Roman" w:hAnsi="Times New Roman"/>
            <w:sz w:val="18"/>
            <w:szCs w:val="18"/>
            <w:u w:val="single" w:color="auto"/>
            <w:color w:val="0000FF"/>
          </w:rPr>
          <w:t>2024 Annual Report</w:t>
        </w:r>
      </w:hyperlink>
      <w:r>
        <w:rPr>
          <w:rFonts w:ascii="Times New Roman" w:cs="Times New Roman" w:eastAsia="Times New Roman" w:hAnsi="Times New Roman"/>
          <w:sz w:val="18"/>
          <w:szCs w:val="18"/>
          <w:color w:val="auto"/>
        </w:rPr>
        <w:t>”). The results of operations for any interim period are not necessarily indicative of results for the full year.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New Accounting Standards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Standards</w:t>
      </w:r>
    </w:p>
    <w:p>
      <w:pPr>
        <w:spacing w:after="0" w:line="121" w:lineRule="exact"/>
        <w:rPr>
          <w:sz w:val="20"/>
          <w:szCs w:val="20"/>
          <w:color w:val="auto"/>
        </w:rPr>
      </w:pPr>
    </w:p>
    <w:p>
      <w:pPr>
        <w:ind w:right="100"/>
        <w:spacing w:after="0" w:line="258"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No. 2023-07, Segment Reporting, which expands annual and interim disclosure requirements for reportable segments, primarily through enhanced disclosures about significant segment expenses and enhancement of interim disclosure requirements. This guidance is effective for fiscal years beginning after December 15, 2023 and interim periods beginning after December 15, 2024. The Company has adopted and implemented the applicable disclosure requirements within this report and the </w:t>
      </w:r>
      <w:hyperlink r:id="rId21">
        <w:r>
          <w:rPr>
            <w:rFonts w:ascii="Times New Roman" w:cs="Times New Roman" w:eastAsia="Times New Roman" w:hAnsi="Times New Roman"/>
            <w:sz w:val="18"/>
            <w:szCs w:val="18"/>
            <w:u w:val="single" w:color="auto"/>
            <w:color w:val="0000FF"/>
          </w:rPr>
          <w:t>2024 Annual Report</w:t>
        </w:r>
      </w:hyperlink>
      <w:r>
        <w:rPr>
          <w:rFonts w:ascii="Times New Roman" w:cs="Times New Roman" w:eastAsia="Times New Roman" w:hAnsi="Times New Roman"/>
          <w:sz w:val="18"/>
          <w:szCs w:val="18"/>
          <w:color w:val="000000"/>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Standards Issued Not Yet Adopted</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guidance that seeks to enhance income tax disclosures to provide information to better assess how an entity's operations and related tax risks affect its tax rate and prospects for future cash flows. Within the income tax rate reconciliation, the amendment requires disclosure of additional categories and greater detail about individual reconciling items over a specified threshold. It also requires information pertaining to taxes paid to be disaggregated for federal, state, and foreign taxes and further disaggregated for specific jurisdictions over a specified threshold. This guidance is effective for fiscal years beginning after December 15, 2024. We are currently evaluating the impact of this guidance on our financial statements and disclosures, but we do not expect the adoption to have a material impact on the consolidated financial statements other than the expanded footnote disclosure.</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guidance that seeks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The amendments require that at each interim and annual reporting period an entity: (1) disclose the amounts of purchases of inventory, employee compensation, depreciation, and intangible asset amortization included in each of the Company's relevant expense captions; (2) include certain amounts that are already required to be disclosed under current U.S. GAAP in the same disclosure as the other disaggregation requirements; (3) disclose a qualitative description of the amounts remaining in relevant expense captions that are not separately disaggregated quantitatively; and (4) disclose the total amount of selling expenses and, in annual reporting periods, an entity’s definition of selling expenses. This guidance is effective for fiscal years beginning after December 15, 2026, and interim reporting periods beginning after December 15, 2027. The Company is currently evaluating the impact of this guidance on our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revenue results from the sale of goods or services and reflects the consideration to which we expect to be entitled in exchange for those goods or services. We record revenue based on a five-step model, in accordance with Accounting Standards Codification (“ASC”)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presents the approximate percentage of our net sales by market group:</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4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gridSpan w:val="7"/>
          </w:tcPr>
          <w:p>
            <w:pPr>
              <w:jc w:val="center"/>
              <w:ind w:right="140"/>
              <w:spacing w:after="0" w:line="202"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2900" w:type="dxa"/>
            <w:vAlign w:val="bottom"/>
            <w:gridSpan w:val="6"/>
          </w:tcPr>
          <w:p>
            <w:pPr>
              <w:jc w:val="center"/>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Borders>
              <w:bottom w:val="single" w:sz="8" w:color="auto"/>
            </w:tcBorders>
            <w:gridSpan w:val="4"/>
          </w:tcPr>
          <w:p>
            <w:pPr>
              <w:jc w:val="center"/>
              <w:ind w:left="930"/>
              <w:spacing w:after="0"/>
              <w:rPr>
                <w:sz w:val="20"/>
                <w:szCs w:val="20"/>
                <w:color w:val="auto"/>
              </w:rPr>
            </w:pPr>
            <w:r>
              <w:rPr>
                <w:rFonts w:ascii="Times New Roman" w:cs="Times New Roman" w:eastAsia="Times New Roman" w:hAnsi="Times New Roman"/>
                <w:sz w:val="18"/>
                <w:szCs w:val="18"/>
                <w:color w:val="auto"/>
                <w:w w:val="99"/>
              </w:rPr>
              <w:t>September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tcBorders>
              <w:bottom w:val="single" w:sz="8" w:color="auto"/>
            </w:tcBorders>
            <w:gridSpan w:val="4"/>
          </w:tcPr>
          <w:p>
            <w:pPr>
              <w:jc w:val="center"/>
              <w:ind w:left="810"/>
              <w:spacing w:after="0"/>
              <w:rPr>
                <w:sz w:val="20"/>
                <w:szCs w:val="20"/>
                <w:color w:val="auto"/>
              </w:rPr>
            </w:pPr>
            <w:r>
              <w:rPr>
                <w:rFonts w:ascii="Times New Roman" w:cs="Times New Roman" w:eastAsia="Times New Roman" w:hAnsi="Times New Roman"/>
                <w:sz w:val="18"/>
                <w:szCs w:val="18"/>
                <w:color w:val="auto"/>
                <w:w w:val="99"/>
              </w:rPr>
              <w:t>September 30,</w:t>
            </w: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7"/>
        </w:trPr>
        <w:tc>
          <w:tcPr>
            <w:tcW w:w="49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auto"/>
            </w:tcBorders>
          </w:tcPr>
          <w:p>
            <w:pPr>
              <w:spacing w:after="0"/>
              <w:rPr>
                <w:sz w:val="19"/>
                <w:szCs w:val="19"/>
                <w:color w:val="auto"/>
              </w:rPr>
            </w:pPr>
          </w:p>
        </w:tc>
      </w:tr>
      <w:tr>
        <w:trPr>
          <w:trHeight w:val="223"/>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Biologics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5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r>
      <w:tr>
        <w:trPr>
          <w:trHeight w:val="248"/>
        </w:trPr>
        <w:tc>
          <w:tcPr>
            <w:tcW w:w="4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7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presents the approximate percentage of our net sales by product category:</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gridSpan w:val="7"/>
          </w:tcPr>
          <w:p>
            <w:pPr>
              <w:jc w:val="center"/>
              <w:ind w:right="140"/>
              <w:spacing w:after="0" w:line="202"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2900" w:type="dxa"/>
            <w:vAlign w:val="bottom"/>
            <w:gridSpan w:val="6"/>
          </w:tcPr>
          <w:p>
            <w:pPr>
              <w:jc w:val="center"/>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4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Borders>
              <w:bottom w:val="single" w:sz="8" w:color="auto"/>
            </w:tcBorders>
            <w:gridSpan w:val="4"/>
          </w:tcPr>
          <w:p>
            <w:pPr>
              <w:jc w:val="center"/>
              <w:ind w:left="930"/>
              <w:spacing w:after="0"/>
              <w:rPr>
                <w:sz w:val="20"/>
                <w:szCs w:val="20"/>
                <w:color w:val="auto"/>
              </w:rPr>
            </w:pPr>
            <w:r>
              <w:rPr>
                <w:rFonts w:ascii="Times New Roman" w:cs="Times New Roman" w:eastAsia="Times New Roman" w:hAnsi="Times New Roman"/>
                <w:sz w:val="18"/>
                <w:szCs w:val="18"/>
                <w:color w:val="auto"/>
                <w:w w:val="99"/>
              </w:rPr>
              <w:t>September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tcBorders>
              <w:bottom w:val="single" w:sz="8" w:color="auto"/>
            </w:tcBorders>
            <w:gridSpan w:val="4"/>
          </w:tcPr>
          <w:p>
            <w:pPr>
              <w:jc w:val="center"/>
              <w:ind w:left="810"/>
              <w:spacing w:after="0"/>
              <w:rPr>
                <w:sz w:val="20"/>
                <w:szCs w:val="20"/>
                <w:color w:val="auto"/>
              </w:rPr>
            </w:pPr>
            <w:r>
              <w:rPr>
                <w:rFonts w:ascii="Times New Roman" w:cs="Times New Roman" w:eastAsia="Times New Roman" w:hAnsi="Times New Roman"/>
                <w:sz w:val="18"/>
                <w:szCs w:val="18"/>
                <w:color w:val="auto"/>
                <w:w w:val="99"/>
              </w:rPr>
              <w:t>September 30,</w:t>
            </w: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7"/>
        </w:trPr>
        <w:tc>
          <w:tcPr>
            <w:tcW w:w="49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auto"/>
            </w:tcBorders>
          </w:tcPr>
          <w:p>
            <w:pPr>
              <w:spacing w:after="0"/>
              <w:rPr>
                <w:sz w:val="19"/>
                <w:szCs w:val="19"/>
                <w:color w:val="auto"/>
              </w:rPr>
            </w:pPr>
          </w:p>
        </w:tc>
      </w:tr>
      <w:tr>
        <w:trPr>
          <w:trHeight w:val="223"/>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High-Value Product ("HVP") Components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46 %</w:t>
            </w:r>
          </w:p>
        </w:tc>
      </w:tr>
      <w:tr>
        <w:trPr>
          <w:trHeight w:val="229"/>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High-Value Product ("HVP") Delivery Devices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Packaging</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5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r>
      <w:tr>
        <w:trPr>
          <w:trHeight w:val="248"/>
        </w:trPr>
        <w:tc>
          <w:tcPr>
            <w:tcW w:w="4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379"/>
        </w:trPr>
        <w:tc>
          <w:tcPr>
            <w:tcW w:w="7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presents the approximate percentage of our net sales by geographic location:</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gridSpan w:val="7"/>
          </w:tcPr>
          <w:p>
            <w:pPr>
              <w:jc w:val="center"/>
              <w:ind w:right="1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90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9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center"/>
              <w:ind w:left="930"/>
              <w:spacing w:after="0"/>
              <w:rPr>
                <w:sz w:val="20"/>
                <w:szCs w:val="20"/>
                <w:color w:val="auto"/>
              </w:rPr>
            </w:pPr>
            <w:r>
              <w:rPr>
                <w:rFonts w:ascii="Times New Roman" w:cs="Times New Roman" w:eastAsia="Times New Roman" w:hAnsi="Times New Roman"/>
                <w:sz w:val="18"/>
                <w:szCs w:val="18"/>
                <w:color w:val="auto"/>
                <w:w w:val="99"/>
              </w:rPr>
              <w:t>September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left="770"/>
              <w:spacing w:after="0"/>
              <w:rPr>
                <w:sz w:val="20"/>
                <w:szCs w:val="20"/>
                <w:color w:val="auto"/>
              </w:rPr>
            </w:pPr>
            <w:r>
              <w:rPr>
                <w:rFonts w:ascii="Times New Roman" w:cs="Times New Roman" w:eastAsia="Times New Roman" w:hAnsi="Times New Roman"/>
                <w:sz w:val="18"/>
                <w:szCs w:val="18"/>
                <w:color w:val="auto"/>
                <w:w w:val="99"/>
              </w:rPr>
              <w:t>September 30,</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Pr>
          <w:p>
            <w:pPr>
              <w:spacing w:after="0"/>
              <w:rPr>
                <w:sz w:val="19"/>
                <w:szCs w:val="19"/>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0" w:type="dxa"/>
            <w:vAlign w:val="bottom"/>
          </w:tcPr>
          <w:p>
            <w:pPr>
              <w:spacing w:after="0"/>
              <w:rPr>
                <w:sz w:val="19"/>
                <w:szCs w:val="19"/>
                <w:color w:val="auto"/>
              </w:rPr>
            </w:pPr>
          </w:p>
        </w:tc>
      </w:tr>
      <w:tr>
        <w:trPr>
          <w:trHeight w:val="23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Africa</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0" w:type="dxa"/>
            <w:vAlign w:val="bottom"/>
          </w:tcPr>
          <w:p>
            <w:pPr>
              <w:spacing w:after="0"/>
              <w:rPr>
                <w:sz w:val="19"/>
                <w:szCs w:val="19"/>
                <w:color w:val="auto"/>
              </w:rPr>
            </w:pPr>
          </w:p>
        </w:tc>
      </w:tr>
      <w:tr>
        <w:trPr>
          <w:trHeight w:val="230"/>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19"/>
                <w:szCs w:val="19"/>
                <w:color w:val="auto"/>
              </w:rPr>
            </w:pPr>
          </w:p>
        </w:tc>
      </w:tr>
      <w:tr>
        <w:trPr>
          <w:trHeight w:val="223"/>
        </w:trPr>
        <w:tc>
          <w:tcPr>
            <w:tcW w:w="49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contract assets and liabilities: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96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 millions)</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December 31, 2024</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assets, September 30, 2025</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contract assets - increase (decrease)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ectPr>
          <w:pgSz w:w="11900" w:h="16838" w:orient="portrait"/>
          <w:cols w:equalWidth="0" w:num="1">
            <w:col w:w="11240"/>
          </w:cols>
          <w:pgMar w:left="320" w:top="124"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Deferred income,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income,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deferred income - decrease (increase)</w:t>
      </w:r>
    </w:p>
    <w:p>
      <w:pPr>
        <w:spacing w:after="0" w:line="20" w:lineRule="exact"/>
        <w:rPr>
          <w:sz w:val="20"/>
          <w:szCs w:val="20"/>
          <w:color w:val="auto"/>
        </w:rPr>
      </w:pPr>
      <w:r>
        <w:rPr>
          <w:sz w:val="20"/>
          <w:szCs w:val="20"/>
          <w:color w:val="auto"/>
        </w:rPr>
        <w:br w:type="column"/>
      </w:r>
    </w:p>
    <w:p>
      <w:pPr>
        <w:ind w:left="1088" w:hanging="1088"/>
        <w:spacing w:after="0"/>
        <w:tabs>
          <w:tab w:leader="none" w:pos="108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(53.2)</w:t>
      </w:r>
    </w:p>
    <w:p>
      <w:pPr>
        <w:spacing w:after="0" w:line="27" w:lineRule="exact"/>
        <w:rPr>
          <w:rFonts w:ascii="Times New Roman" w:cs="Times New Roman" w:eastAsia="Times New Roman" w:hAnsi="Times New Roman"/>
          <w:sz w:val="18"/>
          <w:szCs w:val="18"/>
          <w:color w:val="auto"/>
        </w:rPr>
      </w:pPr>
    </w:p>
    <w:p>
      <w:pPr>
        <w:ind w:left="10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(47.3)</w:t>
      </w:r>
    </w:p>
    <w:p>
      <w:pPr>
        <w:spacing w:after="0" w:line="31" w:lineRule="exact"/>
        <w:rPr>
          <w:sz w:val="20"/>
          <w:szCs w:val="20"/>
          <w:color w:val="auto"/>
        </w:rPr>
      </w:pPr>
    </w:p>
    <w:p>
      <w:pPr>
        <w:ind w:left="1248" w:hanging="1248"/>
        <w:spacing w:after="0"/>
        <w:tabs>
          <w:tab w:leader="none" w:pos="12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944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972" w:space="720"/>
            <w:col w:w="1548"/>
          </w:cols>
          <w:pgMar w:left="320" w:top="124" w:right="339" w:bottom="1440" w:gutter="0" w:footer="0" w:header="0"/>
          <w:type w:val="continuous"/>
        </w:sectPr>
      </w:pPr>
    </w:p>
    <w:p>
      <w:pPr>
        <w:spacing w:after="0" w:line="3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Contract assets are included within other current assets and deferred income is included within other current liabilities and other long-term liabilities. During the nine months ended September 30, 2025, $39.3 million of revenue was recognized that was included in deferred income at the beginning of the year.</w:t>
      </w:r>
    </w:p>
    <w:p>
      <w:pPr>
        <w:spacing w:after="0" w:line="68"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As of September 30, 2025, performance obligations expected to be satisfied beyond one year were $4.3 million. The remaining $43.0 million of performance obligations are expected to be satisfied within one year or less.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Net Income Per Share</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reconciles the shares used in the calculation of basic net income per share to those used for diluted net income per share: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20" w:type="dxa"/>
            <w:vAlign w:val="bottom"/>
            <w:gridSpan w:val="5"/>
          </w:tcPr>
          <w:p>
            <w:pPr>
              <w:jc w:val="center"/>
              <w:ind w:right="440"/>
              <w:spacing w:after="0" w:line="202"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17"/>
                <w:szCs w:val="17"/>
                <w:color w:val="auto"/>
              </w:rPr>
            </w:pPr>
          </w:p>
        </w:tc>
        <w:tc>
          <w:tcPr>
            <w:tcW w:w="2840" w:type="dxa"/>
            <w:vAlign w:val="bottom"/>
            <w:gridSpan w:val="4"/>
          </w:tcPr>
          <w:p>
            <w:pPr>
              <w:jc w:val="center"/>
              <w:ind w:right="270"/>
              <w:spacing w:after="0" w:line="202" w:lineRule="exact"/>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September 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72.3</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176"/>
        </w:trPr>
        <w:tc>
          <w:tcPr>
            <w:tcW w:w="4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Dilutive effect of equity awards, based on the treasury stock</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method</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assuming dilution</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there were 0.4 million and 0.3 million shares, respectively, from stock-based compensation plans not included in the computation of diluted net income per share because their impact was antidilutive. There were 0.4 million and 0.3 million antidilutive shares outstanding during the nine months ended September 30, 2025 and 2024, respectively.</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February 2023, the Board of Directors approved a share repurchase program under which the Company was able repurchase up to $1.0 billion in shares of common stock. This program was completed during January 2025.</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December 2024, the Board of Directors approved a share repurchase program under which the Company was able to repurchase up to 550,000 shares of common stock on the open market or in privately-negotiated transactions. The number of shares to be repurchased and the timing of such transactions depended on a variety of factors, including market conditions. This program was completed during April 2025. The Company did not repurchase any shares during the three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below table summarizes the details of the Company's repurchases of common stock under these programs: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03"/>
        </w:trPr>
        <w:tc>
          <w:tcPr>
            <w:tcW w:w="6280" w:type="dxa"/>
            <w:vAlign w:val="bottom"/>
          </w:tcPr>
          <w:p>
            <w:pPr>
              <w:spacing w:after="0"/>
              <w:rPr>
                <w:sz w:val="17"/>
                <w:szCs w:val="17"/>
                <w:color w:val="auto"/>
              </w:rPr>
            </w:pPr>
          </w:p>
        </w:tc>
        <w:tc>
          <w:tcPr>
            <w:tcW w:w="174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80" w:type="dxa"/>
            <w:vAlign w:val="bottom"/>
          </w:tcPr>
          <w:p>
            <w:pPr>
              <w:spacing w:after="0"/>
              <w:rPr>
                <w:sz w:val="17"/>
                <w:szCs w:val="17"/>
                <w:color w:val="auto"/>
              </w:rPr>
            </w:pPr>
          </w:p>
        </w:tc>
        <w:tc>
          <w:tcPr>
            <w:tcW w:w="3040" w:type="dxa"/>
            <w:vAlign w:val="bottom"/>
            <w:gridSpan w:val="4"/>
          </w:tcPr>
          <w:p>
            <w:pPr>
              <w:jc w:val="right"/>
              <w:ind w:right="79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30,</w:t>
            </w:r>
          </w:p>
        </w:tc>
        <w:tc>
          <w:tcPr>
            <w:tcW w:w="180" w:type="dxa"/>
            <w:vAlign w:val="bottom"/>
          </w:tcPr>
          <w:p>
            <w:pPr>
              <w:spacing w:after="0"/>
              <w:rPr>
                <w:sz w:val="20"/>
                <w:szCs w:val="20"/>
                <w:color w:val="auto"/>
              </w:rPr>
            </w:pPr>
          </w:p>
        </w:tc>
        <w:tc>
          <w:tcPr>
            <w:tcW w:w="3040" w:type="dxa"/>
            <w:vAlign w:val="bottom"/>
            <w:gridSpan w:val="4"/>
          </w:tcPr>
          <w:p>
            <w:pPr>
              <w:jc w:val="right"/>
              <w:ind w:right="10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7"/>
        </w:trPr>
        <w:tc>
          <w:tcPr>
            <w:tcW w:w="62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1,409,786</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repurchases ($ in millions)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per repurchased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359.24</w:t>
            </w:r>
          </w:p>
        </w:tc>
      </w:tr>
      <w:tr>
        <w:trPr>
          <w:trHeight w:val="419"/>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24"/>
        </w:trPr>
        <w:tc>
          <w:tcPr>
            <w:tcW w:w="96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Inventories are valued at the lower of cost (on a first-in, first-out basis) or net realizable value. Inventory balances were as follows: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6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7"/>
                <w:szCs w:val="17"/>
                <w:color w:val="auto"/>
              </w:rPr>
            </w:pPr>
          </w:p>
        </w:tc>
        <w:tc>
          <w:tcPr>
            <w:tcW w:w="1380" w:type="dxa"/>
            <w:vAlign w:val="bottom"/>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0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23"/>
        </w:trPr>
        <w:tc>
          <w:tcPr>
            <w:tcW w:w="6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w:t>
            </w:r>
          </w:p>
        </w:tc>
      </w:tr>
      <w:tr>
        <w:trPr>
          <w:trHeight w:val="20"/>
        </w:trPr>
        <w:tc>
          <w:tcPr>
            <w:tcW w:w="6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21"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Lease payments included in the measurement of the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1"/>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6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8"/>
                <w:szCs w:val="18"/>
                <w:color w:val="auto"/>
              </w:rPr>
            </w:pPr>
          </w:p>
        </w:tc>
        <w:tc>
          <w:tcPr>
            <w:tcW w:w="288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r>
      <w:tr>
        <w:trPr>
          <w:trHeight w:val="22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right-of-use (ROU)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interest on lease liabilities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finance lease amounts in the condensed consolidated balance sheets: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were as follows:</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3"/>
        </w:trPr>
        <w:tc>
          <w:tcPr>
            <w:tcW w:w="8000" w:type="dxa"/>
            <w:vAlign w:val="bottom"/>
          </w:tcPr>
          <w:p>
            <w:pPr>
              <w:spacing w:after="0"/>
              <w:rPr>
                <w:sz w:val="17"/>
                <w:szCs w:val="17"/>
                <w:color w:val="auto"/>
              </w:rPr>
            </w:pPr>
          </w:p>
        </w:tc>
        <w:tc>
          <w:tcPr>
            <w:tcW w:w="2740" w:type="dxa"/>
            <w:vAlign w:val="bottom"/>
            <w:gridSpan w:val="4"/>
          </w:tcPr>
          <w:p>
            <w:pPr>
              <w:jc w:val="right"/>
              <w:ind w:right="31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c>
          <w:tcPr>
            <w:tcW w:w="500" w:type="dxa"/>
            <w:vAlign w:val="bottom"/>
          </w:tcPr>
          <w:p>
            <w:pPr>
              <w:spacing w:after="0"/>
              <w:rPr>
                <w:sz w:val="17"/>
                <w:szCs w:val="17"/>
                <w:color w:val="auto"/>
              </w:rPr>
            </w:pPr>
          </w:p>
        </w:tc>
      </w:tr>
      <w:tr>
        <w:trPr>
          <w:trHeight w:val="236"/>
        </w:trPr>
        <w:tc>
          <w:tcPr>
            <w:tcW w:w="80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500" w:type="dxa"/>
            <w:vAlign w:val="bottom"/>
            <w:tcBorders>
              <w:bottom w:val="single" w:sz="8" w:color="auto"/>
            </w:tcBorders>
          </w:tcPr>
          <w:p>
            <w:pPr>
              <w:spacing w:after="0"/>
              <w:rPr>
                <w:sz w:val="20"/>
                <w:szCs w:val="20"/>
                <w:color w:val="auto"/>
              </w:rPr>
            </w:pP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new lease liabilities: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bl>
    <w:p>
      <w:pPr>
        <w:spacing w:after="0" w:line="1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the weighted average remaining lease term for operating leases was 6.1 years and 8.3 years, respectively. As of September 30, 2025 and December 31, 2024, the weighted average remaining lease term for finance leases was 4.6 years and 6.3 years, respectively.</w:t>
      </w:r>
    </w:p>
    <w:p>
      <w:pPr>
        <w:spacing w:after="0" w:line="6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weighted average discount rate for operating leases was 4.00% and 3.99%, respectively. As of September 30, 2025 and December 31, 2024, the weighted average discount rate for finance leases was 4.16% and 4.80%, respectively.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the Company's lease liabilities as of September 30, 2025 were as follows: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2"/>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period as of September 30,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7"/>
              </w:rPr>
              <w:t>0.4</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7"/>
              </w:rPr>
              <w:t>1.5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7"/>
              </w:rPr>
              <w:t>1.5</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7"/>
              </w:rPr>
              <w:t>1.1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7"/>
              </w:rPr>
              <w:t>0.5</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color w:val="auto"/>
                <w:w w:val="97"/>
              </w:rPr>
              <w:t>0.9</w:t>
            </w:r>
          </w:p>
        </w:tc>
      </w:tr>
      <w:tr>
        <w:trPr>
          <w:trHeight w:val="223"/>
        </w:trPr>
        <w:tc>
          <w:tcPr>
            <w:tcW w:w="80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7"/>
              </w:rPr>
              <w:t>5.9</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lease interest</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rPr>
              <w:t>(0.5)</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7"/>
              </w:rPr>
              <w:t>5.4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Affiliated Companies</w:t>
      </w:r>
    </w:p>
    <w:p>
      <w:pPr>
        <w:spacing w:after="0" w:line="121"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color w:val="auto"/>
        </w:rPr>
        <w:t>The following table summarizes the aggregate carrying amounts of our investments in affiliated companies that are accounted for under the equity method and our investments in affiliated companies that are not accounted for under the equity method: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carrying value of investments in affiliated companies: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method affiliates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230"/>
        </w:trPr>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Non-equity method affiliates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8"/>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 in affiliated companies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elected to record non-equity method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amounts due to and from affiliates in the condensed consolidated balance sheets: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46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Payables due to affiliates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due from affiliates</w:t>
            </w: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affiliate transactions: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60" w:type="dxa"/>
            <w:vAlign w:val="bottom"/>
            <w:gridSpan w:val="3"/>
          </w:tcPr>
          <w:p>
            <w:pPr>
              <w:jc w:val="right"/>
              <w:ind w:right="25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40" w:type="dxa"/>
            <w:vAlign w:val="bottom"/>
            <w:gridSpan w:val="4"/>
          </w:tcPr>
          <w:p>
            <w:pPr>
              <w:jc w:val="right"/>
              <w:ind w:right="79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47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from (and payments to) affiliates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to affiliates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spacing w:after="0" w:line="166"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majority of the purchase transactions listed above relate to a distributorship agreement with Daikyo Seiko, Ltd. ("Daikyo") that allows the Company to purchase and re-sell Daikyo products.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w:t>
      </w:r>
    </w:p>
    <w:p>
      <w:pPr>
        <w:spacing w:after="0" w:line="121" w:lineRule="exact"/>
        <w:rPr>
          <w:sz w:val="20"/>
          <w:szCs w:val="20"/>
          <w:color w:val="auto"/>
        </w:rPr>
      </w:pPr>
    </w:p>
    <w:p>
      <w:pPr>
        <w:jc w:val="both"/>
        <w:ind w:right="160"/>
        <w:spacing w:after="0" w:line="273" w:lineRule="auto"/>
        <w:rPr>
          <w:sz w:val="20"/>
          <w:szCs w:val="20"/>
          <w:color w:val="auto"/>
        </w:rPr>
      </w:pPr>
      <w:r>
        <w:rPr>
          <w:rFonts w:ascii="Times New Roman" w:cs="Times New Roman" w:eastAsia="Times New Roman" w:hAnsi="Times New Roman"/>
          <w:sz w:val="18"/>
          <w:szCs w:val="18"/>
          <w:color w:val="auto"/>
        </w:rPr>
        <w:t>The following table summarizes our long-term debt obligations, net of unamortized debt issuance costs and current maturities. The interest rates shown in parentheses are as of September 30, 2025.</w:t>
      </w:r>
    </w:p>
    <w:tbl>
      <w:tblPr>
        <w:tblLayout w:type="fixed"/>
        <w:tblInd w:w="0" w:type="dxa"/>
        <w:tblCellMar>
          <w:top w:w="0" w:type="dxa"/>
          <w:left w:w="0" w:type="dxa"/>
          <w:bottom w:w="0" w:type="dxa"/>
          <w:right w:w="0" w:type="dxa"/>
        </w:tblCellMar>
      </w:tblPr>
      <w:tr>
        <w:trPr>
          <w:trHeight w:val="191"/>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6"/>
                <w:szCs w:val="16"/>
                <w:color w:val="auto"/>
              </w:rPr>
            </w:pPr>
          </w:p>
        </w:tc>
        <w:tc>
          <w:tcPr>
            <w:tcW w:w="138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due July 2, 2027 (5.35%)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Series C notes, due July 5, 2027 (4.02%)</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23"/>
        </w:trPr>
        <w:tc>
          <w:tcPr>
            <w:tcW w:w="80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for Term Loan and Series Notes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At September 30, 2025, the Company had $130.0 million in borrowings under the Term Loan which were classified as long-term. Please refer to Note 9, </w:t>
      </w:r>
      <w:r>
        <w:rPr>
          <w:rFonts w:ascii="Times New Roman" w:cs="Times New Roman" w:eastAsia="Times New Roman" w:hAnsi="Times New Roman"/>
          <w:sz w:val="18"/>
          <w:szCs w:val="18"/>
          <w:i w:val="1"/>
          <w:iCs w:val="1"/>
          <w:u w:val="single" w:color="auto"/>
          <w:color w:val="0000FF"/>
        </w:rPr>
        <w:t>Derivative Financial Instruments</w:t>
      </w:r>
      <w:r>
        <w:rPr>
          <w:rFonts w:ascii="Times New Roman" w:cs="Times New Roman" w:eastAsia="Times New Roman" w:hAnsi="Times New Roman"/>
          <w:sz w:val="18"/>
          <w:szCs w:val="18"/>
          <w:color w:val="000000"/>
        </w:rPr>
        <w:t>, for a discussion of the foreign currency hedge associated with the Term Loan.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Multi-Currency Revolving Credit Facility</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September 30, 2025, the borrowing capacity available under our $500.0 million multi-currency revolving credit facility, including outstanding letters of credit of $2.3 million, was $497.7 million.</w:t>
      </w:r>
    </w:p>
    <w:p>
      <w:pPr>
        <w:spacing w:after="0" w:line="5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September 30, 2025, we were in compliance with all of our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 Financial Instruments</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condensed consolidated balance sheet at fair value.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Rate Risk</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entered into forward exchange contracts, designated as fair value hedges, to manage our exposure to fluctuating foreign exchange rates on cross-currency intercompany loans. As of both September 30, 2025 and December 31, 2024, the notional amounts of these forward exchange contracts were Singapore Dollar (“SGD”) 421.9 million and $13.4 million. We have also entered into forward exchange contracts, designated as fair value hedges, to manage our exposure to fluctuating foreign exchange rates on cross-currency intercompany demand notes which were executed at various times throughout 2023 and 2024. As of September 30, 2025, the total notional amounts of these forward exchange contracts were Euro ("EUR") 118.3 million and $47.1 million. As of December 31, 2024, the total notional amounts of these forward exchange contracts were EUR 145.3 million and $47.1 million</w:t>
      </w:r>
    </w:p>
    <w:p>
      <w:pPr>
        <w:spacing w:after="0" w:line="79" w:lineRule="exact"/>
        <w:rPr>
          <w:sz w:val="20"/>
          <w:szCs w:val="20"/>
          <w:color w:val="auto"/>
        </w:rPr>
      </w:pPr>
    </w:p>
    <w:p>
      <w:pPr>
        <w:jc w:val="both"/>
        <w:ind w:right="440"/>
        <w:spacing w:after="0" w:line="264" w:lineRule="auto"/>
        <w:rPr>
          <w:sz w:val="20"/>
          <w:szCs w:val="20"/>
          <w:color w:val="auto"/>
        </w:rPr>
      </w:pPr>
      <w:r>
        <w:rPr>
          <w:rFonts w:ascii="Times New Roman" w:cs="Times New Roman" w:eastAsia="Times New Roman" w:hAnsi="Times New Roman"/>
          <w:sz w:val="18"/>
          <w:szCs w:val="18"/>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September 30, 2025, we had outstanding foreign currency contracts to purchase and sell certain pairs of currencies,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Sell</w:t>
            </w:r>
          </w:p>
        </w:tc>
        <w:tc>
          <w:tcPr>
            <w:tcW w:w="2340" w:type="dxa"/>
            <w:vAlign w:val="bottom"/>
            <w:tcBorders>
              <w:bottom w:val="single" w:sz="8" w:color="auto"/>
            </w:tcBorders>
          </w:tcPr>
          <w:p>
            <w:pPr>
              <w:spacing w:after="0"/>
              <w:rPr>
                <w:sz w:val="20"/>
                <w:szCs w:val="20"/>
                <w:color w:val="auto"/>
              </w:rPr>
            </w:pPr>
          </w:p>
        </w:tc>
      </w:tr>
      <w:tr>
        <w:trPr>
          <w:trHeight w:val="22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6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USD</w:t>
            </w:r>
          </w:p>
        </w:tc>
        <w:tc>
          <w:tcPr>
            <w:tcW w:w="2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EUR</w:t>
            </w:r>
          </w:p>
        </w:tc>
        <w:tc>
          <w:tcPr>
            <w:tcW w:w="234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SGD</w:t>
            </w:r>
          </w:p>
        </w:tc>
      </w:tr>
      <w:tr>
        <w:trPr>
          <w:trHeight w:val="223"/>
        </w:trPr>
        <w:tc>
          <w:tcPr>
            <w:tcW w:w="1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16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JPY</w:t>
            </w:r>
          </w:p>
        </w:tc>
        <w:tc>
          <w:tcPr>
            <w:tcW w:w="1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5,388.2</w:t>
            </w:r>
          </w:p>
        </w:tc>
        <w:tc>
          <w:tcPr>
            <w:tcW w:w="1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1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December 2019, we entered into a cross-currency swap for $90 million, which we designated as a hedge of our net investment in Daikyo. The cross-currency swap had an original maturity date of December 31, 2024, but was extinguished in July 2024. In July 2024, we entered into a new cross-currency swap for $130 million, which we designated as a hedge of our net investment in Daikyo. As of September 30, 2025, the notional amount of the cross-currency swap is ¥17.0 billion ($130.0 million) and the swap termination date is July 2, 2027. Under the cross-currency swap, we receive fixed USD interest rate payments in return for paying fixed JPY interest rate payments.</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Additionally, we will periodically enter into forward exchange contracts to mitigate our exposure to fluctuating foreign exchange rates on assets and liabilities, other than the intercompany loans and demand notes referenced above, which are denominated in foreign currencies. The Company has elected not to designate these forward contracts in hedging relationships, and any change in the value of the contracts is recognized in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6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We regularly purchase call options on crude oil to mitigate our exposure to such oil-based surcharges and protect operating cash flows with regard to a portion of our forecasted elastomer purchases. As of September 30, 2025, we had outstanding contracts to purchase 184,895 barrels of crude oil from September 2025 to March 2027, at a weighted-average strike price of $76.26 per barrel.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Derivative Instruments on Financial Position and Results of Operations</w:t>
      </w:r>
    </w:p>
    <w:p>
      <w:pPr>
        <w:spacing w:after="0" w:line="11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Note 10, </w:t>
      </w:r>
      <w:r>
        <w:rPr>
          <w:rFonts w:ascii="Times New Roman" w:cs="Times New Roman" w:eastAsia="Times New Roman" w:hAnsi="Times New Roman"/>
          <w:sz w:val="18"/>
          <w:szCs w:val="18"/>
          <w:i w:val="1"/>
          <w:iCs w:val="1"/>
          <w:u w:val="single" w:color="auto"/>
          <w:color w:val="0000FF"/>
        </w:rPr>
        <w:t>Fair Value Measurements</w:t>
      </w:r>
      <w:r>
        <w:rPr>
          <w:rFonts w:ascii="Times New Roman" w:cs="Times New Roman" w:eastAsia="Times New Roman" w:hAnsi="Times New Roman"/>
          <w:sz w:val="18"/>
          <w:szCs w:val="18"/>
          <w:color w:val="auto"/>
        </w:rPr>
        <w:t>, for the balance sheet location and fair values of our derivative instruments as of September 30, 2025 and December 31,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effects of derivative instruments designated as fair value hedges on the condensed consolidated statements of income:</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 millions)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Hedges: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Hedged item (intercompany loan)</w:t>
      </w:r>
    </w:p>
    <w:p>
      <w:pPr>
        <w:spacing w:after="0" w:line="23" w:lineRule="exact"/>
        <w:rPr>
          <w:sz w:val="20"/>
          <w:szCs w:val="20"/>
          <w:color w:val="auto"/>
        </w:rPr>
      </w:pPr>
    </w:p>
    <w:p>
      <w:pPr>
        <w:ind w:left="20" w:right="260"/>
        <w:spacing w:after="0" w:line="234" w:lineRule="auto"/>
        <w:rPr>
          <w:sz w:val="20"/>
          <w:szCs w:val="20"/>
          <w:color w:val="auto"/>
        </w:rPr>
      </w:pPr>
      <w:r>
        <w:rPr>
          <w:rFonts w:ascii="Times New Roman" w:cs="Times New Roman" w:eastAsia="Times New Roman" w:hAnsi="Times New Roman"/>
          <w:sz w:val="18"/>
          <w:szCs w:val="18"/>
          <w:color w:val="auto"/>
        </w:rPr>
        <w:t>Derivative designated as hedging instrument</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Amount excluded from effectiveness testing</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8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9"/>
              </w:rPr>
              <w:t>Amount of Gain (Loss) Recognized</w:t>
            </w:r>
          </w:p>
        </w:tc>
        <w:tc>
          <w:tcPr>
            <w:tcW w:w="27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Amount of Gain (Loss) Recognized</w:t>
            </w:r>
          </w:p>
        </w:tc>
        <w:tc>
          <w:tcPr>
            <w:tcW w:w="10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34"/>
        </w:trPr>
        <w:tc>
          <w:tcPr>
            <w:tcW w:w="300" w:type="dxa"/>
            <w:vAlign w:val="bottom"/>
          </w:tcPr>
          <w:p>
            <w:pPr>
              <w:spacing w:after="0"/>
              <w:rPr>
                <w:sz w:val="20"/>
                <w:szCs w:val="20"/>
                <w:color w:val="auto"/>
              </w:rPr>
            </w:pPr>
          </w:p>
        </w:tc>
        <w:tc>
          <w:tcPr>
            <w:tcW w:w="25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 Income for the</w:t>
            </w:r>
          </w:p>
        </w:tc>
        <w:tc>
          <w:tcPr>
            <w:tcW w:w="300" w:type="dxa"/>
            <w:vAlign w:val="bottom"/>
          </w:tcPr>
          <w:p>
            <w:pPr>
              <w:spacing w:after="0"/>
              <w:rPr>
                <w:sz w:val="20"/>
                <w:szCs w:val="20"/>
                <w:color w:val="auto"/>
              </w:rPr>
            </w:pPr>
          </w:p>
        </w:tc>
        <w:tc>
          <w:tcPr>
            <w:tcW w:w="24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w w:val="99"/>
              </w:rPr>
              <w:t>in Income for the</w:t>
            </w:r>
          </w:p>
        </w:tc>
        <w:tc>
          <w:tcPr>
            <w:tcW w:w="10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184"/>
        </w:trPr>
        <w:tc>
          <w:tcPr>
            <w:tcW w:w="300" w:type="dxa"/>
            <w:vAlign w:val="bottom"/>
          </w:tcPr>
          <w:p>
            <w:pPr>
              <w:spacing w:after="0"/>
              <w:rPr>
                <w:sz w:val="16"/>
                <w:szCs w:val="16"/>
                <w:color w:val="auto"/>
              </w:rPr>
            </w:pPr>
          </w:p>
        </w:tc>
        <w:tc>
          <w:tcPr>
            <w:tcW w:w="2580" w:type="dxa"/>
            <w:vAlign w:val="bottom"/>
            <w:gridSpan w:val="5"/>
          </w:tcPr>
          <w:p>
            <w:pPr>
              <w:jc w:val="center"/>
              <w:ind w:right="380"/>
              <w:spacing w:after="0" w:line="184"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300" w:type="dxa"/>
            <w:vAlign w:val="bottom"/>
          </w:tcPr>
          <w:p>
            <w:pPr>
              <w:spacing w:after="0"/>
              <w:rPr>
                <w:sz w:val="16"/>
                <w:szCs w:val="16"/>
                <w:color w:val="auto"/>
              </w:rPr>
            </w:pPr>
          </w:p>
        </w:tc>
        <w:tc>
          <w:tcPr>
            <w:tcW w:w="2460" w:type="dxa"/>
            <w:vAlign w:val="bottom"/>
            <w:gridSpan w:val="4"/>
          </w:tcPr>
          <w:p>
            <w:pPr>
              <w:jc w:val="center"/>
              <w:ind w:right="210"/>
              <w:spacing w:after="0" w:line="184" w:lineRule="exact"/>
              <w:rPr>
                <w:sz w:val="20"/>
                <w:szCs w:val="20"/>
                <w:color w:val="auto"/>
              </w:rPr>
            </w:pPr>
            <w:r>
              <w:rPr>
                <w:rFonts w:ascii="Times New Roman" w:cs="Times New Roman" w:eastAsia="Times New Roman" w:hAnsi="Times New Roman"/>
                <w:sz w:val="18"/>
                <w:szCs w:val="18"/>
                <w:color w:val="auto"/>
                <w:w w:val="99"/>
              </w:rPr>
              <w:t>Nine Months Ended</w:t>
            </w:r>
          </w:p>
        </w:tc>
        <w:tc>
          <w:tcPr>
            <w:tcW w:w="10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243"/>
        </w:trPr>
        <w:tc>
          <w:tcPr>
            <w:tcW w:w="3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September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September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Location on Statement of Income</w:t>
            </w:r>
          </w:p>
        </w:tc>
      </w:tr>
      <w:tr>
        <w:trPr>
          <w:trHeight w:val="223"/>
        </w:trPr>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439"/>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7"/>
              </w:rPr>
              <w:t>7.3</w:t>
            </w:r>
          </w:p>
        </w:tc>
        <w:tc>
          <w:tcPr>
            <w:tcW w:w="8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(6.2)</w:t>
            </w:r>
          </w:p>
        </w:tc>
        <w:tc>
          <w:tcPr>
            <w:tcW w:w="100" w:type="dxa"/>
            <w:vAlign w:val="bottom"/>
          </w:tcPr>
          <w:p>
            <w:pPr>
              <w:spacing w:after="0"/>
              <w:rPr>
                <w:sz w:val="24"/>
                <w:szCs w:val="24"/>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r>
      <w:tr>
        <w:trPr>
          <w:trHeight w:val="418"/>
        </w:trPr>
        <w:tc>
          <w:tcPr>
            <w:tcW w:w="300" w:type="dxa"/>
            <w:vAlign w:val="bottom"/>
          </w:tcPr>
          <w:p>
            <w:pPr>
              <w:spacing w:after="0"/>
              <w:rPr>
                <w:sz w:val="24"/>
                <w:szCs w:val="24"/>
                <w:color w:val="auto"/>
              </w:rPr>
            </w:pPr>
          </w:p>
        </w:tc>
        <w:tc>
          <w:tcPr>
            <w:tcW w:w="10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(7.3)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r>
      <w:tr>
        <w:trPr>
          <w:trHeight w:val="418"/>
        </w:trPr>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8"/>
              </w:rPr>
              <w:t>(1.3)</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8"/>
              </w:rPr>
              <w:t>(5.3)</w:t>
            </w:r>
          </w:p>
        </w:tc>
        <w:tc>
          <w:tcPr>
            <w:tcW w:w="100" w:type="dxa"/>
            <w:vAlign w:val="bottom"/>
          </w:tcPr>
          <w:p>
            <w:pPr>
              <w:spacing w:after="0"/>
              <w:rPr>
                <w:sz w:val="24"/>
                <w:szCs w:val="24"/>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r>
      <w:tr>
        <w:trPr>
          <w:trHeight w:val="223"/>
        </w:trPr>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8"/>
              </w:rPr>
              <w:t>(1.3)</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8"/>
              </w:rPr>
              <w:t>(5.3)</w:t>
            </w: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-1010920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-719455</wp:posOffset>
            </wp:positionV>
            <wp:extent cx="7132320" cy="266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-187960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680" w:space="40"/>
            <w:col w:w="8520"/>
          </w:cols>
          <w:pgMar w:left="320" w:top="124" w:right="339" w:bottom="1440" w:gutter="0" w:footer="0" w:header="0"/>
          <w:type w:val="continuous"/>
        </w:sect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recognize in earnings the initial value of forward point components for hedges of intercompany loans on a straight-line basis over the life of the fair value hedge. The value of forward point components for hedges of intercompany demand notes is recognized currently in earnings using a market approach. The expense recognized in earnings, pre-tax, for forward point components for the three and nine months ended September 30, 2025 was $0.4 million and $1.3 million, respectively. The expense recognized in earnings, pre-tax, for forward point components for the three and nine months ended September 30, 2024 was $1.8 million and $5.3 million, respectively.</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effects of derivative instruments designated as fair value, cash flow, and net investment hedges on other comprehensive income (“OCI”) and earnings, net of tax:</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8"/>
                <w:szCs w:val="18"/>
                <w:color w:val="auto"/>
              </w:rPr>
            </w:pPr>
          </w:p>
        </w:tc>
        <w:tc>
          <w:tcPr>
            <w:tcW w:w="286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Amount of Gain (Loss) Recognized</w:t>
            </w:r>
          </w:p>
        </w:tc>
        <w:tc>
          <w:tcPr>
            <w:tcW w:w="27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Amount of (Gain) Loss Reclassified</w:t>
            </w: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20" w:type="dxa"/>
            <w:vAlign w:val="bottom"/>
          </w:tcPr>
          <w:p>
            <w:pPr>
              <w:spacing w:after="0"/>
              <w:rPr>
                <w:sz w:val="15"/>
                <w:szCs w:val="15"/>
                <w:color w:val="auto"/>
              </w:rPr>
            </w:pPr>
          </w:p>
        </w:tc>
        <w:tc>
          <w:tcPr>
            <w:tcW w:w="2860" w:type="dxa"/>
            <w:vAlign w:val="bottom"/>
            <w:gridSpan w:val="6"/>
            <w:vMerge w:val="continue"/>
          </w:tcPr>
          <w:p>
            <w:pPr>
              <w:spacing w:after="0"/>
              <w:rPr>
                <w:sz w:val="15"/>
                <w:szCs w:val="15"/>
                <w:color w:val="auto"/>
              </w:rPr>
            </w:pPr>
          </w:p>
        </w:tc>
        <w:tc>
          <w:tcPr>
            <w:tcW w:w="278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from Accumulated OCI into Income</w:t>
            </w:r>
          </w:p>
        </w:tc>
        <w:tc>
          <w:tcPr>
            <w:tcW w:w="1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in OCI for the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2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color w:val="auto"/>
              </w:rPr>
              <w:t>for the</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5"/>
          </w:tcPr>
          <w:p>
            <w:pPr>
              <w:jc w:val="center"/>
              <w:ind w:right="400"/>
              <w:spacing w:after="0" w:line="198"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2380" w:type="dxa"/>
            <w:vAlign w:val="bottom"/>
            <w:gridSpan w:val="4"/>
          </w:tcPr>
          <w:p>
            <w:pPr>
              <w:jc w:val="center"/>
              <w:ind w:left="330"/>
              <w:spacing w:after="0" w:line="198"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Location of (Gain) Loss Reclassified</w:t>
            </w: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350"/>
              <w:spacing w:after="0"/>
              <w:rPr>
                <w:sz w:val="20"/>
                <w:szCs w:val="20"/>
                <w:color w:val="auto"/>
              </w:rPr>
            </w:pPr>
            <w:r>
              <w:rPr>
                <w:rFonts w:ascii="Times New Roman" w:cs="Times New Roman" w:eastAsia="Times New Roman" w:hAnsi="Times New Roman"/>
                <w:sz w:val="18"/>
                <w:szCs w:val="18"/>
                <w:color w:val="auto"/>
                <w:w w:val="99"/>
              </w:rPr>
              <w:t>September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from Accumulated OCI into Income</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7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0" w:type="dxa"/>
            <w:vAlign w:val="bottom"/>
          </w:tcPr>
          <w:p>
            <w:pPr>
              <w:spacing w:after="0"/>
              <w:rPr>
                <w:sz w:val="1"/>
                <w:szCs w:val="1"/>
                <w:color w:val="auto"/>
              </w:rPr>
            </w:pPr>
          </w:p>
        </w:tc>
      </w:tr>
      <w:tr>
        <w:trPr>
          <w:trHeight w:val="24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7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treasury locks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Hedges: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0" w:type="dxa"/>
            <w:vAlign w:val="bottom"/>
          </w:tcPr>
          <w:p>
            <w:pPr>
              <w:spacing w:after="0"/>
              <w:rPr>
                <w:sz w:val="1"/>
                <w:szCs w:val="1"/>
                <w:color w:val="auto"/>
              </w:rPr>
            </w:pPr>
          </w:p>
        </w:tc>
      </w:tr>
      <w:tr>
        <w:trPr>
          <w:trHeight w:val="24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286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Amount of Gain (Loss) Recognized</w:t>
            </w:r>
          </w:p>
        </w:tc>
        <w:tc>
          <w:tcPr>
            <w:tcW w:w="27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Amount of (Gain) Loss Reclassified</w:t>
            </w:r>
          </w:p>
        </w:tc>
        <w:tc>
          <w:tcPr>
            <w:tcW w:w="1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2860" w:type="dxa"/>
            <w:vAlign w:val="bottom"/>
            <w:gridSpan w:val="6"/>
            <w:vMerge w:val="continue"/>
          </w:tcPr>
          <w:p>
            <w:pPr>
              <w:spacing w:after="0"/>
              <w:rPr>
                <w:sz w:val="15"/>
                <w:szCs w:val="15"/>
                <w:color w:val="auto"/>
              </w:rPr>
            </w:pPr>
          </w:p>
        </w:tc>
        <w:tc>
          <w:tcPr>
            <w:tcW w:w="278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from Accumulated OCI into Income</w:t>
            </w:r>
          </w:p>
        </w:tc>
        <w:tc>
          <w:tcPr>
            <w:tcW w:w="1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in OCI for the</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0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color w:val="auto"/>
              </w:rPr>
              <w:t>for the</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380"/>
              <w:spacing w:after="0" w:line="189" w:lineRule="exact"/>
              <w:rPr>
                <w:sz w:val="20"/>
                <w:szCs w:val="20"/>
                <w:color w:val="auto"/>
              </w:rPr>
            </w:pPr>
            <w:r>
              <w:rPr>
                <w:rFonts w:ascii="Times New Roman" w:cs="Times New Roman" w:eastAsia="Times New Roman" w:hAnsi="Times New Roman"/>
                <w:sz w:val="18"/>
                <w:szCs w:val="18"/>
                <w:color w:val="auto"/>
              </w:rPr>
              <w:t>Nine Months Ended</w:t>
            </w:r>
          </w:p>
        </w:tc>
        <w:tc>
          <w:tcPr>
            <w:tcW w:w="2360" w:type="dxa"/>
            <w:vAlign w:val="bottom"/>
            <w:gridSpan w:val="4"/>
          </w:tcPr>
          <w:p>
            <w:pPr>
              <w:jc w:val="center"/>
              <w:ind w:left="330"/>
              <w:spacing w:after="0" w:line="189" w:lineRule="exact"/>
              <w:rPr>
                <w:sz w:val="20"/>
                <w:szCs w:val="20"/>
                <w:color w:val="auto"/>
              </w:rPr>
            </w:pPr>
            <w:r>
              <w:rPr>
                <w:rFonts w:ascii="Times New Roman" w:cs="Times New Roman" w:eastAsia="Times New Roman" w:hAnsi="Times New Roman"/>
                <w:sz w:val="18"/>
                <w:szCs w:val="18"/>
                <w:color w:val="auto"/>
              </w:rPr>
              <w:t>Nine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Location of (Gain) Loss Reclassified</w:t>
            </w:r>
          </w:p>
        </w:tc>
        <w:tc>
          <w:tcPr>
            <w:tcW w:w="0" w:type="dxa"/>
            <w:vAlign w:val="bottom"/>
          </w:tcPr>
          <w:p>
            <w:pPr>
              <w:spacing w:after="0"/>
              <w:rPr>
                <w:sz w:val="1"/>
                <w:szCs w:val="1"/>
                <w:color w:val="auto"/>
              </w:rPr>
            </w:pPr>
          </w:p>
        </w:tc>
      </w:tr>
      <w:tr>
        <w:trPr>
          <w:trHeight w:val="236"/>
        </w:trPr>
        <w:tc>
          <w:tcPr>
            <w:tcW w:w="2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8"/>
                <w:szCs w:val="18"/>
                <w:color w:val="auto"/>
                <w:w w:val="99"/>
              </w:rPr>
              <w:t>September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from Accumulated OCI into Income</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7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0" w:type="dxa"/>
            <w:vAlign w:val="bottom"/>
          </w:tcPr>
          <w:p>
            <w:pPr>
              <w:spacing w:after="0"/>
              <w:rPr>
                <w:sz w:val="1"/>
                <w:szCs w:val="1"/>
                <w:color w:val="auto"/>
              </w:rPr>
            </w:pPr>
          </w:p>
        </w:tc>
      </w:tr>
      <w:tr>
        <w:trPr>
          <w:trHeight w:val="24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treasury locks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Hedges: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Refer to the above table which summarizes the effects of derivative instruments designated as fair value hedges within the other expense (income) line in our condensed consolidated statements of income for the three and nine months ended September 30, 2025 and September 30, 2024.</w:t>
      </w:r>
    </w:p>
    <w:p>
      <w:pPr>
        <w:spacing w:after="0" w:line="54"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18"/>
          <w:szCs w:val="18"/>
          <w:color w:val="auto"/>
        </w:rPr>
        <w:t>The following table summarizes the effects of derivative instruments designated as cash flow and net investment hedges by line item in the condensed consolidated statements of income:</w:t>
      </w:r>
    </w:p>
    <w:tbl>
      <w:tblPr>
        <w:tblLayout w:type="fixed"/>
        <w:tblInd w:w="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2760" w:type="dxa"/>
            <w:vAlign w:val="bottom"/>
            <w:gridSpan w:val="4"/>
          </w:tcPr>
          <w:p>
            <w:pPr>
              <w:jc w:val="right"/>
              <w:ind w:right="290"/>
              <w:spacing w:after="0" w:line="182" w:lineRule="exact"/>
              <w:rPr>
                <w:sz w:val="20"/>
                <w:szCs w:val="20"/>
                <w:color w:val="auto"/>
              </w:rPr>
            </w:pPr>
            <w:r>
              <w:rPr>
                <w:rFonts w:ascii="Times New Roman" w:cs="Times New Roman" w:eastAsia="Times New Roman" w:hAnsi="Times New Roman"/>
                <w:sz w:val="18"/>
                <w:szCs w:val="18"/>
                <w:color w:val="auto"/>
              </w:rPr>
              <w:t>Three Months 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4"/>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rPr>
              <w:t>Nine Months Ended</w:t>
            </w:r>
          </w:p>
        </w:tc>
        <w:tc>
          <w:tcPr>
            <w:tcW w:w="480" w:type="dxa"/>
            <w:vAlign w:val="bottom"/>
          </w:tcPr>
          <w:p>
            <w:pPr>
              <w:spacing w:after="0"/>
              <w:rPr>
                <w:sz w:val="15"/>
                <w:szCs w:val="15"/>
                <w:color w:val="auto"/>
              </w:rPr>
            </w:pPr>
          </w:p>
        </w:tc>
      </w:tr>
      <w:tr>
        <w:trPr>
          <w:trHeight w:val="236"/>
        </w:trPr>
        <w:tc>
          <w:tcPr>
            <w:tcW w:w="47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September 30,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Borders>
              <w:bottom w:val="single" w:sz="8" w:color="auto"/>
            </w:tcBorders>
          </w:tcPr>
          <w:p>
            <w:pPr>
              <w:spacing w:after="0"/>
              <w:rPr>
                <w:sz w:val="20"/>
                <w:szCs w:val="20"/>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19"/>
                <w:szCs w:val="19"/>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0.1</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effects of derivative instruments not designated as hedges on the condensed consolidated statements of income: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Amount of Gain (Loss) Recognized</w:t>
            </w:r>
          </w:p>
        </w:tc>
        <w:tc>
          <w:tcPr>
            <w:tcW w:w="27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Amount of Gain (Loss) Recognized</w:t>
            </w: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0"/>
        </w:trPr>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 Income for the</w:t>
            </w:r>
          </w:p>
        </w:tc>
        <w:tc>
          <w:tcPr>
            <w:tcW w:w="300" w:type="dxa"/>
            <w:vAlign w:val="bottom"/>
          </w:tcPr>
          <w:p>
            <w:pPr>
              <w:spacing w:after="0"/>
              <w:rPr>
                <w:sz w:val="19"/>
                <w:szCs w:val="19"/>
                <w:color w:val="auto"/>
              </w:rPr>
            </w:pPr>
          </w:p>
        </w:tc>
        <w:tc>
          <w:tcPr>
            <w:tcW w:w="248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in Income for the</w:t>
            </w: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189"/>
        </w:trPr>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5"/>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300" w:type="dxa"/>
            <w:vAlign w:val="bottom"/>
          </w:tcPr>
          <w:p>
            <w:pPr>
              <w:spacing w:after="0"/>
              <w:rPr>
                <w:sz w:val="16"/>
                <w:szCs w:val="16"/>
                <w:color w:val="auto"/>
              </w:rPr>
            </w:pPr>
          </w:p>
        </w:tc>
        <w:tc>
          <w:tcPr>
            <w:tcW w:w="2480" w:type="dxa"/>
            <w:vAlign w:val="bottom"/>
            <w:gridSpan w:val="4"/>
          </w:tcPr>
          <w:p>
            <w:pPr>
              <w:jc w:val="center"/>
              <w:ind w:right="210"/>
              <w:spacing w:after="0" w:line="189" w:lineRule="exact"/>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234"/>
        </w:trPr>
        <w:tc>
          <w:tcPr>
            <w:tcW w:w="2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September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Location on Statement of Income</w:t>
            </w:r>
          </w:p>
        </w:tc>
      </w:tr>
      <w:tr>
        <w:trPr>
          <w:trHeight w:val="22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4"/>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tcPr>
          <w:p>
            <w:pPr>
              <w:spacing w:after="0"/>
              <w:rPr>
                <w:sz w:val="19"/>
                <w:szCs w:val="19"/>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call options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(0.5)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r>
      <w:tr>
        <w:trPr>
          <w:trHeight w:val="230"/>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Forwards</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7"/>
              </w:rPr>
              <w:t>0.3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7"/>
              </w:rPr>
              <w:t>1.2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r>
      <w:tr>
        <w:trPr>
          <w:trHeight w:val="248"/>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7"/>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7"/>
              </w:rPr>
              <w:t>0.7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2025 and 2024, there was no material ineffectiveness related to these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68"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Unadjusted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980" w:right="180" w:hanging="324"/>
        <w:spacing w:after="0" w:line="312" w:lineRule="auto"/>
        <w:tabs>
          <w:tab w:leader="none" w:pos="9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Level 2</w:t>
      </w:r>
      <w:r>
        <w:rPr>
          <w:rFonts w:ascii="Times New Roman" w:cs="Times New Roman" w:eastAsia="Times New Roman" w:hAnsi="Times New Roman"/>
          <w:sz w:val="17"/>
          <w:szCs w:val="17"/>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31"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Unobservable inputs that reflect the reporting entity’s own assumptions.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tables present the assets and liabilities recorded at fair value on a recurring basis: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Balance at</w:t>
            </w:r>
          </w:p>
        </w:tc>
        <w:tc>
          <w:tcPr>
            <w:tcW w:w="106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Basis of Fair Value Measurements</w:t>
            </w:r>
          </w:p>
        </w:tc>
        <w:tc>
          <w:tcPr>
            <w:tcW w:w="1100" w:type="dxa"/>
            <w:vAlign w:val="bottom"/>
            <w:tcBorders>
              <w:bottom w:val="single" w:sz="8" w:color="auto"/>
            </w:tcBorders>
          </w:tcPr>
          <w:p>
            <w:pPr>
              <w:spacing w:after="0"/>
              <w:rPr>
                <w:sz w:val="22"/>
                <w:szCs w:val="22"/>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8"/>
                <w:szCs w:val="18"/>
                <w:color w:val="auto"/>
                <w:w w:val="99"/>
              </w:rPr>
              <w:t>September 30,</w:t>
            </w: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Pr>
          <w:p>
            <w:pPr>
              <w:spacing w:after="0"/>
              <w:rPr>
                <w:sz w:val="21"/>
                <w:szCs w:val="21"/>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Level 2</w:t>
            </w:r>
          </w:p>
        </w:tc>
        <w:tc>
          <w:tcPr>
            <w:tcW w:w="46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Level 3</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80" w:type="dxa"/>
            <w:vAlign w:val="bottom"/>
            <w:tcBorders>
              <w:top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Cross-currency swap</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call options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186.8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8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9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Balance at</w:t>
            </w:r>
          </w:p>
        </w:tc>
        <w:tc>
          <w:tcPr>
            <w:tcW w:w="10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Basis of Fair Value Measurements</w:t>
            </w:r>
          </w:p>
        </w:tc>
        <w:tc>
          <w:tcPr>
            <w:tcW w:w="1100" w:type="dxa"/>
            <w:vAlign w:val="bottom"/>
            <w:tcBorders>
              <w:bottom w:val="single" w:sz="8" w:color="auto"/>
            </w:tcBorders>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8"/>
                <w:szCs w:val="18"/>
                <w:color w:val="auto"/>
                <w:w w:val="98"/>
              </w:rPr>
              <w:t>December 31,</w:t>
            </w: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Pr>
          <w:p>
            <w:pPr>
              <w:spacing w:after="0"/>
              <w:rPr>
                <w:sz w:val="21"/>
                <w:szCs w:val="21"/>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Level 2</w:t>
            </w:r>
          </w:p>
        </w:tc>
        <w:tc>
          <w:tcPr>
            <w:tcW w:w="46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Level 3</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80" w:type="dxa"/>
            <w:vAlign w:val="bottom"/>
            <w:tcBorders>
              <w:top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Cross-currency swap</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call options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128.7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8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9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Deferred compensation assets are included within other noncurrent assets and are valued using a market approach based on quoted market prices in an active market. Money market funds are included within cash and cash equivalents and are valued based on quoted market prices in active markets, with no valuation adjustment. Time deposits are included within cash and cash equivalents and are valued using relevant observable market inputs including quoted prices for similar assets and interest rate curves.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of the cross-currency swap, included within other noncurrent assets, is valued using a market approach. Please refer to Note 9, </w:t>
      </w:r>
      <w:r>
        <w:rPr>
          <w:rFonts w:ascii="Times New Roman" w:cs="Times New Roman" w:eastAsia="Times New Roman" w:hAnsi="Times New Roman"/>
          <w:sz w:val="18"/>
          <w:szCs w:val="18"/>
          <w:i w:val="1"/>
          <w:iCs w:val="1"/>
          <w:u w:val="single" w:color="auto"/>
          <w:color w:val="0000FF"/>
        </w:rPr>
        <w:t>Derivative Financial Instruments</w:t>
      </w:r>
      <w:r>
        <w:rPr>
          <w:rFonts w:ascii="Times New Roman" w:cs="Times New Roman" w:eastAsia="Times New Roman" w:hAnsi="Times New Roman"/>
          <w:sz w:val="18"/>
          <w:szCs w:val="18"/>
          <w:color w:val="auto"/>
        </w:rPr>
        <w:t>, for further discussion of our derivatives. The fair value of our commodity call options, included within other current and other noncurrent assets, is valued using a market approach. The fair value of the contingent consideration liability, within current and long-term liabilities, related to the SmartDose® technology platform (the “SmartDose® contingent consideration”) was initially determined using a probability-weighted income approach, and is revalued at each reporting date or more frequently if circumstances dictate. Changes in the fair value of this obligation are recorded as income or expense within other expense (income) in our condensed consolidated statements of income. The fair value of deferred compensation liabilities is based on quoted prices of the underlying employees’ investment selections and is included within other long-term liabilities.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carrying amounts of our cash and accounts receivable approximate their fair values due to their near-term maturities.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estimated fair value of long-term debt is based on quoted market prices for debt issuances with similar terms and maturities and is classified as Level 2 within the fair value hierarchy. At September 30, 2025, the estimated fair value of long-term debt was $202.1 million compared to a carrying amount of $202.7 million. At December 31, 2024, the estimated fair value of long-term debt was $200.5 million and the carrying amount was $202.6 million. As of September 30, 2025 and December 31, 2024, all debt is long-term.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Accumulated Other Comprehensive Loss</w:t>
      </w:r>
    </w:p>
    <w:p>
      <w:pPr>
        <w:spacing w:after="0" w:line="121"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8"/>
          <w:szCs w:val="18"/>
          <w:color w:val="auto"/>
        </w:rPr>
        <w:t>The following table presents the changes in the components of accumulated other comprehensive income ("AOCI") (loss), net of tax, for the nine months ended September 30, 2025:</w:t>
      </w:r>
    </w:p>
    <w:p>
      <w:pPr>
        <w:sectPr>
          <w:pgSz w:w="11900" w:h="16838" w:orient="portrait"/>
          <w:cols w:equalWidth="0" w:num="1">
            <w:col w:w="11240"/>
          </w:cols>
          <w:pgMar w:left="320" w:top="124" w:right="339" w:bottom="1440" w:gutter="0" w:footer="0" w:header="0"/>
        </w:sectPr>
      </w:pP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 millions)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2024</w:t>
      </w:r>
    </w:p>
    <w:p>
      <w:pPr>
        <w:spacing w:after="0" w:line="27" w:lineRule="exact"/>
        <w:rPr>
          <w:sz w:val="20"/>
          <w:szCs w:val="20"/>
          <w:color w:val="auto"/>
        </w:rPr>
      </w:pPr>
    </w:p>
    <w:p>
      <w:pPr>
        <w:ind w:left="100"/>
        <w:spacing w:after="0" w:line="234" w:lineRule="auto"/>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10" w:lineRule="exact"/>
        <w:rPr>
          <w:sz w:val="20"/>
          <w:szCs w:val="20"/>
          <w:color w:val="auto"/>
        </w:rPr>
      </w:pPr>
    </w:p>
    <w:p>
      <w:pPr>
        <w:ind w:left="100" w:right="40"/>
        <w:spacing w:after="0" w:line="222" w:lineRule="auto"/>
        <w:rPr>
          <w:sz w:val="20"/>
          <w:szCs w:val="20"/>
          <w:color w:val="auto"/>
        </w:rPr>
      </w:pPr>
      <w:r>
        <w:rPr>
          <w:rFonts w:ascii="Times New Roman" w:cs="Times New Roman" w:eastAsia="Times New Roman" w:hAnsi="Times New Roman"/>
          <w:sz w:val="18"/>
          <w:szCs w:val="18"/>
          <w:color w:val="auto"/>
        </w:rPr>
        <w:t>Amounts reclassified out from accumulated other comprehensive income</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(loss)</w:t>
      </w:r>
    </w:p>
    <w:p>
      <w:pPr>
        <w:spacing w:after="0" w:line="7" w:lineRule="exact"/>
        <w:rPr>
          <w:sz w:val="20"/>
          <w:szCs w:val="20"/>
          <w:color w:val="auto"/>
        </w:rPr>
      </w:pPr>
    </w:p>
    <w:p>
      <w:pPr>
        <w:ind w:left="100"/>
        <w:spacing w:after="0" w:line="234" w:lineRule="auto"/>
        <w:rPr>
          <w:sz w:val="20"/>
          <w:szCs w:val="20"/>
          <w:color w:val="auto"/>
        </w:rPr>
      </w:pPr>
      <w:r>
        <w:rPr>
          <w:rFonts w:ascii="Times New Roman" w:cs="Times New Roman" w:eastAsia="Times New Roman" w:hAnsi="Times New Roman"/>
          <w:sz w:val="18"/>
          <w:szCs w:val="18"/>
          <w:color w:val="auto"/>
        </w:rPr>
        <w:t>Other comprehensive income (loss), net of tax</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September 30,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280"/>
              <w:spacing w:after="0" w:line="182" w:lineRule="exact"/>
              <w:rPr>
                <w:sz w:val="20"/>
                <w:szCs w:val="20"/>
                <w:color w:val="auto"/>
              </w:rPr>
            </w:pPr>
            <w:r>
              <w:rPr>
                <w:rFonts w:ascii="Times New Roman" w:cs="Times New Roman" w:eastAsia="Times New Roman" w:hAnsi="Times New Roman"/>
                <w:sz w:val="18"/>
                <w:szCs w:val="18"/>
                <w:color w:val="auto"/>
                <w:w w:val="99"/>
              </w:rPr>
              <w:t>Change in equity</w:t>
            </w:r>
          </w:p>
        </w:tc>
        <w:tc>
          <w:tcPr>
            <w:tcW w:w="2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Defined benefit pension and</w:t>
            </w:r>
          </w:p>
        </w:tc>
        <w:tc>
          <w:tcPr>
            <w:tcW w:w="160" w:type="dxa"/>
            <w:vAlign w:val="bottom"/>
          </w:tcPr>
          <w:p>
            <w:pPr>
              <w:spacing w:after="0"/>
              <w:rPr>
                <w:sz w:val="15"/>
                <w:szCs w:val="15"/>
                <w:color w:val="auto"/>
              </w:rPr>
            </w:pPr>
          </w:p>
        </w:tc>
        <w:tc>
          <w:tcPr>
            <w:tcW w:w="116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color w:val="auto"/>
                <w:w w:val="99"/>
              </w:rPr>
              <w:t>Foreign</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8"/>
              </w:rPr>
              <w:t>affiliate investment</w:t>
            </w:r>
          </w:p>
        </w:tc>
        <w:tc>
          <w:tcPr>
            <w:tcW w:w="22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8"/>
              </w:rPr>
              <w:t>currency</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AOCI</w:t>
            </w:r>
          </w:p>
        </w:tc>
        <w:tc>
          <w:tcPr>
            <w:tcW w:w="120" w:type="dxa"/>
            <w:vAlign w:val="bottom"/>
          </w:tcPr>
          <w:p>
            <w:pPr>
              <w:spacing w:after="0"/>
              <w:rPr>
                <w:sz w:val="21"/>
                <w:szCs w:val="21"/>
                <w:color w:val="auto"/>
              </w:rPr>
            </w:pPr>
          </w:p>
        </w:tc>
        <w:tc>
          <w:tcPr>
            <w:tcW w:w="2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other postretirement plans</w:t>
            </w:r>
          </w:p>
        </w:tc>
        <w:tc>
          <w:tcPr>
            <w:tcW w:w="16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translation</w:t>
            </w: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8"/>
              </w:rPr>
              <w:t>(2.5)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0" w:type="dxa"/>
            <w:vAlign w:val="bottom"/>
          </w:tcPr>
          <w:p>
            <w:pPr>
              <w:spacing w:after="0"/>
              <w:rPr>
                <w:sz w:val="1"/>
                <w:szCs w:val="1"/>
                <w:color w:val="auto"/>
              </w:rPr>
            </w:pPr>
          </w:p>
        </w:tc>
      </w:tr>
      <w:tr>
        <w:trPr>
          <w:trHeight w:val="399"/>
        </w:trPr>
        <w:tc>
          <w:tcPr>
            <w:tcW w:w="180" w:type="dxa"/>
            <w:vAlign w:val="bottom"/>
          </w:tcPr>
          <w:p>
            <w:pPr>
              <w:spacing w:after="0"/>
              <w:rPr>
                <w:sz w:val="24"/>
                <w:szCs w:val="24"/>
                <w:color w:val="auto"/>
              </w:rPr>
            </w:pPr>
          </w:p>
        </w:tc>
        <w:tc>
          <w:tcPr>
            <w:tcW w:w="11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594"/>
        </w:trPr>
        <w:tc>
          <w:tcPr>
            <w:tcW w:w="180" w:type="dxa"/>
            <w:vAlign w:val="bottom"/>
          </w:tcPr>
          <w:p>
            <w:pPr>
              <w:spacing w:after="0"/>
              <w:rPr>
                <w:sz w:val="24"/>
                <w:szCs w:val="24"/>
                <w:color w:val="auto"/>
              </w:rPr>
            </w:pPr>
          </w:p>
        </w:tc>
        <w:tc>
          <w:tcPr>
            <w:tcW w:w="11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398"/>
        </w:trPr>
        <w:tc>
          <w:tcPr>
            <w:tcW w:w="18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-1250950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-830580</wp:posOffset>
            </wp:positionV>
            <wp:extent cx="7132320" cy="377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-187960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80"/>
            <w:col w:w="7980"/>
          </w:cols>
          <w:pgMar w:left="320" w:top="1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8"/>
          <w:szCs w:val="18"/>
          <w:color w:val="auto"/>
        </w:rPr>
        <w:t>The following table presents the changes in the components of accumulated other comprehensive income ("AOCI") (loss), net of tax, for the nine months ended September 30, 2024:</w:t>
      </w:r>
    </w:p>
    <w:tbl>
      <w:tblPr>
        <w:tblLayout w:type="fixed"/>
        <w:tblInd w:w="0" w:type="dxa"/>
        <w:tblCellMar>
          <w:top w:w="0" w:type="dxa"/>
          <w:left w:w="0" w:type="dxa"/>
          <w:bottom w:w="0" w:type="dxa"/>
          <w:right w:w="0" w:type="dxa"/>
        </w:tblCellMar>
      </w:tblPr>
      <w:tr>
        <w:trPr>
          <w:trHeight w:val="182"/>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280"/>
              <w:spacing w:after="0" w:line="182" w:lineRule="exact"/>
              <w:rPr>
                <w:sz w:val="20"/>
                <w:szCs w:val="20"/>
                <w:color w:val="auto"/>
              </w:rPr>
            </w:pPr>
            <w:r>
              <w:rPr>
                <w:rFonts w:ascii="Times New Roman" w:cs="Times New Roman" w:eastAsia="Times New Roman" w:hAnsi="Times New Roman"/>
                <w:sz w:val="18"/>
                <w:szCs w:val="18"/>
                <w:color w:val="auto"/>
                <w:w w:val="99"/>
              </w:rPr>
              <w:t>Change in equity</w:t>
            </w:r>
          </w:p>
        </w:tc>
        <w:tc>
          <w:tcPr>
            <w:tcW w:w="2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Defined benefit pension and</w:t>
            </w:r>
          </w:p>
        </w:tc>
        <w:tc>
          <w:tcPr>
            <w:tcW w:w="160" w:type="dxa"/>
            <w:vAlign w:val="bottom"/>
          </w:tcPr>
          <w:p>
            <w:pPr>
              <w:spacing w:after="0"/>
              <w:rPr>
                <w:sz w:val="15"/>
                <w:szCs w:val="15"/>
                <w:color w:val="auto"/>
              </w:rPr>
            </w:pPr>
          </w:p>
        </w:tc>
        <w:tc>
          <w:tcPr>
            <w:tcW w:w="116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color w:val="auto"/>
                <w:w w:val="99"/>
              </w:rPr>
              <w:t>Foreign</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8"/>
              </w:rPr>
              <w:t>affiliate investment</w:t>
            </w:r>
          </w:p>
        </w:tc>
        <w:tc>
          <w:tcPr>
            <w:tcW w:w="22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8"/>
              </w:rPr>
              <w:t>currency</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AOCI</w:t>
            </w:r>
          </w:p>
        </w:tc>
        <w:tc>
          <w:tcPr>
            <w:tcW w:w="120" w:type="dxa"/>
            <w:vAlign w:val="bottom"/>
          </w:tcPr>
          <w:p>
            <w:pPr>
              <w:spacing w:after="0"/>
              <w:rPr>
                <w:sz w:val="21"/>
                <w:szCs w:val="21"/>
                <w:color w:val="auto"/>
              </w:rPr>
            </w:pPr>
          </w:p>
        </w:tc>
        <w:tc>
          <w:tcPr>
            <w:tcW w:w="2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other postretirement plans</w:t>
            </w:r>
          </w:p>
        </w:tc>
        <w:tc>
          <w:tcPr>
            <w:tcW w:w="16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translation</w:t>
            </w: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155"/>
        </w:trPr>
        <w:tc>
          <w:tcPr>
            <w:tcW w:w="326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Amounts reclassified out from</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6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55"/>
        </w:trPr>
        <w:tc>
          <w:tcPr>
            <w:tcW w:w="326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8"/>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reclassifications out from accumulated other comprehensive loss is presented in the following table: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17"/>
                <w:szCs w:val="17"/>
                <w:color w:val="auto"/>
              </w:rPr>
            </w:pPr>
          </w:p>
        </w:tc>
        <w:tc>
          <w:tcPr>
            <w:tcW w:w="20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Nine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Detail of components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Location on Statement of Income</w:t>
            </w: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on derivatives: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0" w:type="dxa"/>
            <w:vAlign w:val="bottom"/>
          </w:tcPr>
          <w:p>
            <w:pPr>
              <w:spacing w:after="0"/>
              <w:rPr>
                <w:sz w:val="1"/>
                <w:szCs w:val="1"/>
                <w:color w:val="auto"/>
              </w:rPr>
            </w:pPr>
          </w:p>
        </w:tc>
      </w:tr>
      <w:tr>
        <w:trPr>
          <w:trHeight w:val="229"/>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treasury locks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0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Amortization of defined benefit</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pension and other postretirement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Actuarial gains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tcBorders>
              <w:bottom w:val="single" w:sz="8" w:color="CCEEFF"/>
            </w:tcBorders>
          </w:tcPr>
          <w:p>
            <w:pPr>
              <w:spacing w:after="0"/>
              <w:rPr>
                <w:sz w:val="19"/>
                <w:szCs w:val="19"/>
                <w:color w:val="auto"/>
              </w:rPr>
            </w:pPr>
          </w:p>
        </w:tc>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23"/>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reclassifications for the period,</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3"/>
                <w:szCs w:val="13"/>
                <w:color w:val="auto"/>
              </w:rPr>
            </w:pPr>
          </w:p>
        </w:tc>
        <w:tc>
          <w:tcPr>
            <w:tcW w:w="4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3"/>
                <w:szCs w:val="13"/>
                <w:color w:val="auto"/>
              </w:rPr>
            </w:pPr>
          </w:p>
        </w:tc>
        <w:tc>
          <w:tcPr>
            <w:tcW w:w="9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3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component is included in the computation of net periodic benefit cost.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shareholders’ equity for the nine months ended September 30, 2025:</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00" w:type="dxa"/>
            <w:vAlign w:val="bottom"/>
          </w:tcPr>
          <w:p>
            <w:pPr>
              <w:spacing w:after="0"/>
              <w:rPr>
                <w:sz w:val="17"/>
                <w:szCs w:val="17"/>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Common</w:t>
            </w: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Common</w:t>
            </w:r>
          </w:p>
        </w:tc>
        <w:tc>
          <w:tcPr>
            <w:tcW w:w="14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Capital in</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Number of</w:t>
            </w: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auto"/>
                <w:w w:val="99"/>
              </w:rPr>
              <w:t>Treasury</w:t>
            </w: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auto"/>
              </w:rPr>
              <w:t>Retained</w:t>
            </w:r>
          </w:p>
        </w:tc>
        <w:tc>
          <w:tcPr>
            <w:tcW w:w="15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auto"/>
              </w:rPr>
              <w:t>Accumulated other</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86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7"/>
                <w:szCs w:val="17"/>
                <w:color w:val="auto"/>
              </w:rPr>
              <w:t>Shares</w:t>
            </w:r>
          </w:p>
        </w:tc>
        <w:tc>
          <w:tcPr>
            <w:tcW w:w="840" w:type="dxa"/>
            <w:vAlign w:val="bottom"/>
            <w:gridSpan w:val="3"/>
            <w:vMerge w:val="continue"/>
          </w:tcPr>
          <w:p>
            <w:pPr>
              <w:spacing w:after="0"/>
              <w:rPr>
                <w:sz w:val="14"/>
                <w:szCs w:val="14"/>
                <w:color w:val="auto"/>
              </w:rPr>
            </w:pPr>
          </w:p>
        </w:tc>
        <w:tc>
          <w:tcPr>
            <w:tcW w:w="1100" w:type="dxa"/>
            <w:vAlign w:val="bottom"/>
            <w:gridSpan w:val="3"/>
          </w:tcPr>
          <w:p>
            <w:pPr>
              <w:jc w:val="center"/>
              <w:ind w:right="80"/>
              <w:spacing w:after="0" w:line="171" w:lineRule="exact"/>
              <w:rPr>
                <w:sz w:val="20"/>
                <w:szCs w:val="20"/>
                <w:color w:val="auto"/>
              </w:rPr>
            </w:pPr>
            <w:r>
              <w:rPr>
                <w:rFonts w:ascii="Times New Roman" w:cs="Times New Roman" w:eastAsia="Times New Roman" w:hAnsi="Times New Roman"/>
                <w:sz w:val="17"/>
                <w:szCs w:val="17"/>
                <w:color w:val="auto"/>
              </w:rPr>
              <w:t>Excess of Par</w:t>
            </w:r>
          </w:p>
        </w:tc>
        <w:tc>
          <w:tcPr>
            <w:tcW w:w="96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7"/>
                <w:szCs w:val="17"/>
                <w:color w:val="auto"/>
                <w:w w:val="99"/>
              </w:rPr>
              <w:t>Treasury</w:t>
            </w:r>
          </w:p>
        </w:tc>
        <w:tc>
          <w:tcPr>
            <w:tcW w:w="90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28"/>
        </w:trPr>
        <w:tc>
          <w:tcPr>
            <w:tcW w:w="3300" w:type="dxa"/>
            <w:vAlign w:val="bottom"/>
            <w:vMerge w:val="continue"/>
          </w:tcPr>
          <w:p>
            <w:pPr>
              <w:spacing w:after="0"/>
              <w:rPr>
                <w:sz w:val="19"/>
                <w:szCs w:val="19"/>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Issued</w:t>
            </w:r>
          </w:p>
        </w:tc>
        <w:tc>
          <w:tcPr>
            <w:tcW w:w="140" w:type="dxa"/>
            <w:vAlign w:val="bottom"/>
          </w:tcPr>
          <w:p>
            <w:pPr>
              <w:spacing w:after="0"/>
              <w:rPr>
                <w:sz w:val="19"/>
                <w:szCs w:val="19"/>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Stock</w:t>
            </w:r>
          </w:p>
        </w:tc>
        <w:tc>
          <w:tcPr>
            <w:tcW w:w="14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3"/>
              </w:rPr>
              <w:t>Value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6"/>
              </w:rPr>
              <w:t>Shares</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Stock</w:t>
            </w:r>
          </w:p>
        </w:tc>
        <w:tc>
          <w:tcPr>
            <w:tcW w:w="100" w:type="dxa"/>
            <w:vAlign w:val="bottom"/>
          </w:tcPr>
          <w:p>
            <w:pPr>
              <w:spacing w:after="0"/>
              <w:rPr>
                <w:sz w:val="19"/>
                <w:szCs w:val="19"/>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earnings</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comprehensive loss</w:t>
            </w: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(1,057.1)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3,956.6</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2,682.3</w:t>
            </w:r>
          </w:p>
        </w:tc>
        <w:tc>
          <w:tcPr>
            <w:tcW w:w="0" w:type="dxa"/>
            <w:vAlign w:val="bottom"/>
          </w:tcPr>
          <w:p>
            <w:pPr>
              <w:spacing w:after="0"/>
              <w:rPr>
                <w:sz w:val="1"/>
                <w:szCs w:val="1"/>
                <w:color w:val="auto"/>
              </w:rPr>
            </w:pPr>
          </w:p>
        </w:tc>
      </w:tr>
      <w:tr>
        <w:trPr>
          <w:trHeight w:val="226"/>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0" w:type="dxa"/>
            <w:vAlign w:val="bottom"/>
          </w:tcPr>
          <w:p>
            <w:pPr>
              <w:spacing w:after="0"/>
              <w:rPr>
                <w:sz w:val="1"/>
                <w:szCs w:val="1"/>
                <w:color w:val="auto"/>
              </w:rPr>
            </w:pPr>
          </w:p>
        </w:tc>
      </w:tr>
      <w:tr>
        <w:trPr>
          <w:trHeight w:val="23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167"/>
        </w:trPr>
        <w:tc>
          <w:tcPr>
            <w:tcW w:w="33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Shares purchased under share repurchase</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(133.5)</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program</w:t>
            </w: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declared ($0.21 per share)</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26"/>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0" w:type="dxa"/>
            <w:vAlign w:val="bottom"/>
          </w:tcPr>
          <w:p>
            <w:pPr>
              <w:spacing w:after="0"/>
              <w:rPr>
                <w:sz w:val="1"/>
                <w:szCs w:val="1"/>
                <w:color w:val="auto"/>
              </w:rPr>
            </w:pPr>
          </w:p>
        </w:tc>
      </w:tr>
      <w:tr>
        <w:trPr>
          <w:trHeight w:val="252"/>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March 31,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(1,163.2)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2,683.1</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300" w:type="dxa"/>
            <w:vAlign w:val="bottom"/>
            <w:tcBorders>
              <w:top w:val="single" w:sz="8" w:color="CCEEFF"/>
            </w:tcBorders>
            <w:vMerge w:val="continue"/>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131.8</w:t>
            </w:r>
          </w:p>
        </w:tc>
        <w:tc>
          <w:tcPr>
            <w:tcW w:w="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131.8</w:t>
            </w:r>
          </w:p>
        </w:tc>
        <w:tc>
          <w:tcPr>
            <w:tcW w:w="0" w:type="dxa"/>
            <w:vAlign w:val="bottom"/>
          </w:tcPr>
          <w:p>
            <w:pPr>
              <w:spacing w:after="0"/>
              <w:rPr>
                <w:sz w:val="1"/>
                <w:szCs w:val="1"/>
                <w:color w:val="auto"/>
              </w:rPr>
            </w:pPr>
          </w:p>
        </w:tc>
      </w:tr>
      <w:tr>
        <w:trPr>
          <w:trHeight w:val="23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167"/>
        </w:trPr>
        <w:tc>
          <w:tcPr>
            <w:tcW w:w="33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Shares purchased under share repurchase</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program</w:t>
            </w: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declared ($0.21 per share)</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26"/>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0" w:type="dxa"/>
            <w:vAlign w:val="bottom"/>
          </w:tcPr>
          <w:p>
            <w:pPr>
              <w:spacing w:after="0"/>
              <w:rPr>
                <w:sz w:val="1"/>
                <w:szCs w:val="1"/>
                <w:color w:val="auto"/>
              </w:rPr>
            </w:pPr>
          </w:p>
        </w:tc>
      </w:tr>
      <w:tr>
        <w:trPr>
          <w:trHeight w:val="252"/>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June 30,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(1,140.2)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2,929.1</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300" w:type="dxa"/>
            <w:vAlign w:val="bottom"/>
            <w:tcBorders>
              <w:top w:val="single" w:sz="8" w:color="CCEEFF"/>
            </w:tcBorders>
            <w:vMerge w:val="continue"/>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0" w:type="dxa"/>
            <w:vAlign w:val="bottom"/>
          </w:tcPr>
          <w:p>
            <w:pPr>
              <w:spacing w:after="0"/>
              <w:rPr>
                <w:sz w:val="1"/>
                <w:szCs w:val="1"/>
                <w:color w:val="auto"/>
              </w:rPr>
            </w:pPr>
          </w:p>
        </w:tc>
      </w:tr>
      <w:tr>
        <w:trPr>
          <w:trHeight w:val="23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26"/>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Dividends declared ($0.22 per share)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3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September 30, 2025</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(1,127.4)</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4,262.4</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3,051.5</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shareholders’ equity for the nine months ended September 30, 2024:</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spacing w:after="0"/>
              <w:rPr>
                <w:sz w:val="17"/>
                <w:szCs w:val="17"/>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Common</w:t>
            </w: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Common</w:t>
            </w:r>
          </w:p>
        </w:tc>
        <w:tc>
          <w:tcPr>
            <w:tcW w:w="14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Capital in</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Number of</w:t>
            </w:r>
          </w:p>
        </w:tc>
        <w:tc>
          <w:tcPr>
            <w:tcW w:w="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w w:val="99"/>
              </w:rPr>
              <w:t>Treasury</w:t>
            </w: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auto"/>
              </w:rPr>
              <w:t>Retained</w:t>
            </w:r>
          </w:p>
        </w:tc>
        <w:tc>
          <w:tcPr>
            <w:tcW w:w="15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auto"/>
              </w:rPr>
              <w:t>Accumulated other</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86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7"/>
                <w:szCs w:val="17"/>
                <w:color w:val="auto"/>
              </w:rPr>
              <w:t>Shares</w:t>
            </w:r>
          </w:p>
        </w:tc>
        <w:tc>
          <w:tcPr>
            <w:tcW w:w="840" w:type="dxa"/>
            <w:vAlign w:val="bottom"/>
            <w:gridSpan w:val="3"/>
            <w:vMerge w:val="continue"/>
          </w:tcPr>
          <w:p>
            <w:pPr>
              <w:spacing w:after="0"/>
              <w:rPr>
                <w:sz w:val="14"/>
                <w:szCs w:val="14"/>
                <w:color w:val="auto"/>
              </w:rPr>
            </w:pPr>
          </w:p>
        </w:tc>
        <w:tc>
          <w:tcPr>
            <w:tcW w:w="1100" w:type="dxa"/>
            <w:vAlign w:val="bottom"/>
            <w:gridSpan w:val="3"/>
          </w:tcPr>
          <w:p>
            <w:pPr>
              <w:jc w:val="center"/>
              <w:ind w:right="60"/>
              <w:spacing w:after="0" w:line="171" w:lineRule="exact"/>
              <w:rPr>
                <w:sz w:val="20"/>
                <w:szCs w:val="20"/>
                <w:color w:val="auto"/>
              </w:rPr>
            </w:pPr>
            <w:r>
              <w:rPr>
                <w:rFonts w:ascii="Times New Roman" w:cs="Times New Roman" w:eastAsia="Times New Roman" w:hAnsi="Times New Roman"/>
                <w:sz w:val="17"/>
                <w:szCs w:val="17"/>
                <w:color w:val="auto"/>
                <w:w w:val="99"/>
              </w:rPr>
              <w:t>Excess of Par</w:t>
            </w:r>
          </w:p>
        </w:tc>
        <w:tc>
          <w:tcPr>
            <w:tcW w:w="96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7"/>
                <w:szCs w:val="17"/>
                <w:color w:val="auto"/>
                <w:w w:val="99"/>
              </w:rPr>
              <w:t>Treasury</w:t>
            </w:r>
          </w:p>
        </w:tc>
        <w:tc>
          <w:tcPr>
            <w:tcW w:w="860" w:type="dxa"/>
            <w:vAlign w:val="bottom"/>
            <w:gridSpan w:val="3"/>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195"/>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28"/>
        </w:trPr>
        <w:tc>
          <w:tcPr>
            <w:tcW w:w="3280" w:type="dxa"/>
            <w:vAlign w:val="bottom"/>
            <w:vMerge w:val="continue"/>
          </w:tcPr>
          <w:p>
            <w:pPr>
              <w:spacing w:after="0"/>
              <w:rPr>
                <w:sz w:val="19"/>
                <w:szCs w:val="19"/>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Issued</w:t>
            </w:r>
          </w:p>
        </w:tc>
        <w:tc>
          <w:tcPr>
            <w:tcW w:w="140" w:type="dxa"/>
            <w:vAlign w:val="bottom"/>
          </w:tcPr>
          <w:p>
            <w:pPr>
              <w:spacing w:after="0"/>
              <w:rPr>
                <w:sz w:val="19"/>
                <w:szCs w:val="19"/>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Stock</w:t>
            </w:r>
          </w:p>
        </w:tc>
        <w:tc>
          <w:tcPr>
            <w:tcW w:w="140" w:type="dxa"/>
            <w:vAlign w:val="bottom"/>
          </w:tcPr>
          <w:p>
            <w:pPr>
              <w:spacing w:after="0"/>
              <w:rPr>
                <w:sz w:val="19"/>
                <w:szCs w:val="19"/>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8"/>
              </w:rPr>
              <w:t>Value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6"/>
              </w:rPr>
              <w:t>Shares</w:t>
            </w:r>
          </w:p>
        </w:tc>
        <w:tc>
          <w:tcPr>
            <w:tcW w:w="120" w:type="dxa"/>
            <w:vAlign w:val="bottom"/>
          </w:tcPr>
          <w:p>
            <w:pPr>
              <w:spacing w:after="0"/>
              <w:rPr>
                <w:sz w:val="19"/>
                <w:szCs w:val="19"/>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7"/>
              </w:rPr>
              <w:t>Stock</w:t>
            </w:r>
          </w:p>
        </w:tc>
        <w:tc>
          <w:tcPr>
            <w:tcW w:w="100" w:type="dxa"/>
            <w:vAlign w:val="bottom"/>
          </w:tcPr>
          <w:p>
            <w:pPr>
              <w:spacing w:after="0"/>
              <w:rPr>
                <w:sz w:val="19"/>
                <w:szCs w:val="19"/>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earnings</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comprehensive loss</w:t>
            </w: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(637.6)</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3,523.4</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2,881.0</w:t>
            </w:r>
          </w:p>
        </w:tc>
        <w:tc>
          <w:tcPr>
            <w:tcW w:w="0" w:type="dxa"/>
            <w:vAlign w:val="bottom"/>
          </w:tcPr>
          <w:p>
            <w:pPr>
              <w:spacing w:after="0"/>
              <w:rPr>
                <w:sz w:val="1"/>
                <w:szCs w:val="1"/>
                <w:color w:val="auto"/>
              </w:rPr>
            </w:pPr>
          </w:p>
        </w:tc>
      </w:tr>
      <w:tr>
        <w:trPr>
          <w:trHeight w:val="226"/>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167"/>
        </w:trPr>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Shares purchased under share repurchase</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(267.0)</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program</w:t>
            </w: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declared ($0.20 per share)</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26"/>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0" w:type="dxa"/>
            <w:vAlign w:val="bottom"/>
          </w:tcPr>
          <w:p>
            <w:pPr>
              <w:spacing w:after="0"/>
              <w:rPr>
                <w:sz w:val="1"/>
                <w:szCs w:val="1"/>
                <w:color w:val="auto"/>
              </w:rPr>
            </w:pPr>
          </w:p>
        </w:tc>
      </w:tr>
      <w:tr>
        <w:trPr>
          <w:trHeight w:val="252"/>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March 31,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2,680.6</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280" w:type="dxa"/>
            <w:vAlign w:val="bottom"/>
            <w:tcBorders>
              <w:top w:val="single" w:sz="8" w:color="CCEEFF"/>
            </w:tcBorders>
            <w:vMerge w:val="continue"/>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167"/>
        </w:trPr>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Shares purchased under share repurchase</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(187.1)</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program</w:t>
            </w: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declared ($0.20 per share)</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26"/>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0" w:type="dxa"/>
            <w:vAlign w:val="bottom"/>
          </w:tcPr>
          <w:p>
            <w:pPr>
              <w:spacing w:after="0"/>
              <w:rPr>
                <w:sz w:val="1"/>
                <w:szCs w:val="1"/>
                <w:color w:val="auto"/>
              </w:rPr>
            </w:pPr>
          </w:p>
        </w:tc>
      </w:tr>
      <w:tr>
        <w:trPr>
          <w:trHeight w:val="252"/>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June 30,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280" w:type="dxa"/>
            <w:vAlign w:val="bottom"/>
            <w:tcBorders>
              <w:top w:val="single" w:sz="8" w:color="CCEEFF"/>
            </w:tcBorders>
            <w:vMerge w:val="continue"/>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167"/>
        </w:trPr>
        <w:tc>
          <w:tcPr>
            <w:tcW w:w="32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Shares purchased under share repurchase</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program</w:t>
            </w: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0" w:type="dxa"/>
            <w:vAlign w:val="bottom"/>
          </w:tcPr>
          <w:p>
            <w:pPr>
              <w:spacing w:after="0"/>
              <w:rPr>
                <w:sz w:val="1"/>
                <w:szCs w:val="1"/>
                <w:color w:val="auto"/>
              </w:rPr>
            </w:pPr>
          </w:p>
        </w:tc>
      </w:tr>
      <w:tr>
        <w:trPr>
          <w:trHeight w:val="227"/>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September 30,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(1,010.6)</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3,856.9</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2,752.1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West Pharmaceutical Services, Inc. 2016 Omnibus Incentive Compensation Plan (the “2016 Plan”) provides for the granting of stock options, stock appreciation rights ("SARs"), restricted stock awards and performance awards to employees and non-employee directors. A committee of the Board of Directors determines the terms and conditions of awards to be granted. Vesting requirements vary by award. In March 2025, the Board of Directors approved, and our stockholders subsequently approved in May 2025, an amendment to the 2016 Plan ("the Amended and Restated 2016 Plan"), which, among other things, added 2.0 million shares of common stock to the maximum number of shares of common stock as to which awards may be granted. Following the approval of the Amended and Restated 2016 Plan, all stock options or SARs that are not forfeited or cancelled will reduce the number of shares available for issuance under the Amended and Restated 2016 Plan by one share for each share subject to the award. Awards issued following the amendment that are payable in common stock (other than stock options or SARs) will reduce the total number of shares available for grant under the Amended and Restated 2016 Plan by an amount equal to 2.0 times the number of shares subject to the award. The reduction was previously equal to 2.5 times the number of shares subject to the award under the 2016 Plan. At September 30, 2025, there were approximately 3.0 million shares remaining in the Amended and Restated 2016 Plan for future grants.</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granted 77,029 stock options at a weighted average exercise price of $218.98 per share based on the grant-date fair value of our stock to employees under the 2016 Plan. The weighted average grant date fair value of options granted was $93.40 per share as determined by the Black-Scholes option valuation model using the following weighted average assumptions: a risk-free interest rate of 4.3%; expected life of 6.5 years based on prior experience; stock volatility of 36.2% based on historical data; and a dividend yield of 0.4%. Stock option expense is recognized over the vesting period, net of forfeitures.</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granted 59,106 stock-settled performance share unit (“PSU”) awards at a weighted average grant-date fair value of $215.98 per share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granted 62,127 stock-settled restricted share unit (“RSU”) awards at a weighted average grant-date fair value of $219.90 per share to eligible employees. These awards are earned over a specified performance period. The fair value of stock-settled RSU awards is based on the market price of our stock at the grant date and is recognized as expense over the vesting period, net of forfeitures.</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$8.4 million and $17.1 million for the three and nine months ended September 30, 2025, respectively. For the three and nine months ended September 30, 2024, stock-based compensation expense was $5.1 million and $14.4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Other Expense (Income)</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2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consists of:</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50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7"/>
                <w:szCs w:val="17"/>
                <w:color w:val="auto"/>
              </w:rPr>
            </w:pPr>
          </w:p>
        </w:tc>
        <w:tc>
          <w:tcPr>
            <w:tcW w:w="2880" w:type="dxa"/>
            <w:vAlign w:val="bottom"/>
            <w:gridSpan w:val="4"/>
          </w:tcPr>
          <w:p>
            <w:pPr>
              <w:jc w:val="right"/>
              <w:ind w:right="79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4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transaction losses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Related Charges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January 2025, the Company approved a restructuring plan to adjust our operating cost base to better respond to the macroeconomic factors influencing our business. These changes are expected to be implemented over a period of approximately twenty-four to thirty-six months from the date of approval. The plan is expected to require restructuring and related charges of approximately $30 million to $32 million, with annualized savings in the range of $35 million to $40 million. The following table presents activity related to our restructuring obligations related to our 2025 restructuring plan:</w:t>
      </w: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color w:val="auto"/>
                <w:w w:val="99"/>
              </w:rPr>
              <w:t>Severance</w:t>
            </w:r>
          </w:p>
        </w:tc>
        <w:tc>
          <w:tcPr>
            <w:tcW w:w="200" w:type="dxa"/>
            <w:vAlign w:val="bottom"/>
          </w:tcPr>
          <w:p>
            <w:pPr>
              <w:spacing w:after="0"/>
              <w:rPr>
                <w:sz w:val="16"/>
                <w:szCs w:val="16"/>
                <w:color w:val="auto"/>
              </w:rPr>
            </w:pPr>
          </w:p>
        </w:tc>
        <w:tc>
          <w:tcPr>
            <w:tcW w:w="146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color w:val="auto"/>
              </w:rPr>
              <w:t>Asset-related</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2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and benefits</w:t>
            </w:r>
          </w:p>
        </w:tc>
        <w:tc>
          <w:tcPr>
            <w:tcW w:w="200" w:type="dxa"/>
            <w:vAlign w:val="bottom"/>
          </w:tcPr>
          <w:p>
            <w:pPr>
              <w:spacing w:after="0"/>
              <w:rPr>
                <w:sz w:val="21"/>
                <w:szCs w:val="21"/>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charges</w:t>
            </w:r>
          </w:p>
        </w:tc>
        <w:tc>
          <w:tcPr>
            <w:tcW w:w="340" w:type="dxa"/>
            <w:vAlign w:val="bottom"/>
          </w:tcPr>
          <w:p>
            <w:pPr>
              <w:spacing w:after="0"/>
              <w:rPr>
                <w:sz w:val="21"/>
                <w:szCs w:val="21"/>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(Credits)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asset write downs</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2025</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119" w:lineRule="exact"/>
        <w:rPr>
          <w:sz w:val="20"/>
          <w:szCs w:val="20"/>
          <w:color w:val="auto"/>
        </w:rPr>
      </w:pPr>
    </w:p>
    <w:p>
      <w:pPr>
        <w:ind w:right="980"/>
        <w:spacing w:after="0" w:line="284" w:lineRule="auto"/>
        <w:rPr>
          <w:sz w:val="20"/>
          <w:szCs w:val="20"/>
          <w:color w:val="auto"/>
        </w:rPr>
      </w:pPr>
      <w:r>
        <w:rPr>
          <w:rFonts w:ascii="Times New Roman" w:cs="Times New Roman" w:eastAsia="Times New Roman" w:hAnsi="Times New Roman"/>
          <w:sz w:val="18"/>
          <w:szCs w:val="18"/>
          <w:color w:val="auto"/>
        </w:rPr>
        <w:t xml:space="preserve">Contingent consideration represents changes in the fair value of the SmartDose® contingent consideration. Please refer to Note 10, </w:t>
      </w:r>
      <w:r>
        <w:rPr>
          <w:rFonts w:ascii="Times New Roman" w:cs="Times New Roman" w:eastAsia="Times New Roman" w:hAnsi="Times New Roman"/>
          <w:sz w:val="18"/>
          <w:szCs w:val="18"/>
          <w:i w:val="1"/>
          <w:iCs w:val="1"/>
          <w:u w:val="single" w:color="auto"/>
          <w:color w:val="0000FF"/>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Measurements</w:t>
      </w:r>
      <w:r>
        <w:rPr>
          <w:rFonts w:ascii="Times New Roman" w:cs="Times New Roman" w:eastAsia="Times New Roman" w:hAnsi="Times New Roman"/>
          <w:sz w:val="18"/>
          <w:szCs w:val="18"/>
          <w:color w:val="000000"/>
        </w:rPr>
        <w:t>, for additional details.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tax provision for interim periods is determined using the estimated annual effective consolidated tax rate, based on the current estimate of full-year earnings before taxes, adjusted for the impact of discrete quarterly items.</w:t>
      </w:r>
    </w:p>
    <w:p>
      <w:pPr>
        <w:spacing w:after="0" w:line="5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provision for income taxes was $34.0 million and $32.4 million for the three months ended September 30, 2025 and 2024, respectively, and the effective tax rate was 19.8% and 19.7%, respectively.</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provision for income taxes was $88.3 million and $70.7 million for the nine months ended September 30, 2025 and 2024, respectively, and the effective tax rate was 20.1% and 16.8%, respectively. The increase in the effective tax rate is primarily due to a decrease in the tax benefit related to stock-based compensation in the nine months ended September 30, 2025 as compared to the same period in 2024.</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continues to address the change in tax laws enacted pursuant to the Organization for Economic Cooperation and Development (OECD)’s 15% global minimum tax initiative (Pillar 2). The 2025 forecasted impact of Pillar 2 is not expected to be material to the Company.</w:t>
      </w:r>
    </w:p>
    <w:p>
      <w:pPr>
        <w:spacing w:after="0" w:line="5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in the U.S. The legislation has multiple effective dates, with certain provisions effective in 2025 and others implemented through 2027. The impact to the Company’s income tax expense and effective tax rate for the three and nine months ended September 30, 2025 associated with this legislation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12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From time to time, we are involved in various proceedings, lawsuits, disputes and claims arising in the ordinary course of the Company’s business, whether that be matters involving commercial operations, product liability, intellectual property or employment actions, including class action lawsuits. We accrue for loss contingencies when it is probable that a liability has been incurred and the amount of the loss can be reasonably estimated based on circumstances and assumptions existing at the time. Unless otherwise disclosed below, while the outcome of such claims cannot be predicted with certainty, we believe their ultimate resolution is not expected to have a material adverse effect on our business, financial condition, results of operations or liquidity. However, if an unfavorable ruling were to occur in any specific case, a material impact on the results of operations could be possible for that period.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11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On May 5, 2025, New England Teamsters Pension Fund filed a class action against us and certain of our current and former officers in the United States District Court for the Eastern District of Pennsylvania, purportedly on behalf of a class of the Company’s investors who purchased or otherwise acquired the Company’s common stock between February 16, 2023 and February 12, 2025. On July 23, 2025, the court appointed lead plaintiffs in the action. On October 15, 2025, the lead plaintiffs filed an amended complaint. The complaint alleges violations of Sections 10(b), 20(a) and 20A of the Securities Exchange Act of 1934 and Rule 10b-5 promulgated thereunder in connection with 1) various public statements made by the Company and certain current and former officers regarding its business, operations and prospects and 2) certain current and former officers' transactions in the Company's stock. The action seeks unspecified damages, costs and expenses, including attorneys’ fees. The defendants intend to vigorously defend against such allegations. Given the nature of the case, including that the proceedings are in their early stages, the Company is unable to predict the ultimate outcome of the case or estimate the range of potential loss, if any.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to commitments and contingencies since December 31,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121"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Our business operations are organized into two reportable segments, Proprietary Products and Contract-Manufactured Products. Our Proprietary Products reportable segment offers proprietary packaging, containment solutions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Chief Operating Decision Maker ("CODM") is the Chief Executive Officer. The CODM evaluates the performance of our segments based upon, among other things, segment net sales and segment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 The segment operating profit metric is what the CODM uses in evaluating our results of operations and the financial measure that provides a valuable insight into our overall performance and financial position. The CODM considers budget-to-actual variances and variances against prior years within segment operating profit when making decisions about allocating resources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presents information about our reportable segments, reconciled to consolidated totals: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50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7"/>
                <w:szCs w:val="17"/>
                <w:color w:val="auto"/>
              </w:rPr>
            </w:pPr>
          </w:p>
        </w:tc>
        <w:tc>
          <w:tcPr>
            <w:tcW w:w="2880" w:type="dxa"/>
            <w:vAlign w:val="bottom"/>
            <w:gridSpan w:val="4"/>
          </w:tcPr>
          <w:p>
            <w:pPr>
              <w:jc w:val="right"/>
              <w:ind w:right="79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4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Proprietary Products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1,830.3</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1,720.6</w:t>
            </w: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804.6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2,144.4</w:t>
            </w:r>
          </w:p>
        </w:tc>
      </w:tr>
      <w:tr>
        <w:trPr>
          <w:trHeight w:val="21"/>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summarized financial information for our two reportable segments and corporate and unallocated: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Pr>
          <w:p>
            <w:pPr>
              <w:spacing w:after="0"/>
              <w:rPr>
                <w:sz w:val="21"/>
                <w:szCs w:val="21"/>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1"/>
                <w:szCs w:val="21"/>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r>
      <w:tr>
        <w:trPr>
          <w:trHeight w:val="203"/>
        </w:trPr>
        <w:tc>
          <w:tcPr>
            <w:tcW w:w="20" w:type="dxa"/>
            <w:vAlign w:val="bottom"/>
          </w:tcPr>
          <w:p>
            <w:pPr>
              <w:spacing w:after="0"/>
              <w:rPr>
                <w:sz w:val="17"/>
                <w:szCs w:val="17"/>
                <w:color w:val="auto"/>
              </w:rPr>
            </w:pPr>
          </w:p>
        </w:tc>
        <w:tc>
          <w:tcPr>
            <w:tcW w:w="80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7"/>
                <w:szCs w:val="17"/>
                <w:color w:val="auto"/>
              </w:rPr>
            </w:pPr>
          </w:p>
        </w:tc>
        <w:tc>
          <w:tcPr>
            <w:tcW w:w="1380" w:type="dxa"/>
            <w:vAlign w:val="bottom"/>
          </w:tcPr>
          <w:p>
            <w:pPr>
              <w:jc w:val="right"/>
              <w:ind w:right="510"/>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510"/>
              <w:spacing w:after="0" w:line="202" w:lineRule="exact"/>
              <w:rPr>
                <w:sz w:val="20"/>
                <w:szCs w:val="20"/>
                <w:color w:val="auto"/>
              </w:rPr>
            </w:pPr>
            <w:r>
              <w:rPr>
                <w:rFonts w:ascii="Times New Roman" w:cs="Times New Roman" w:eastAsia="Times New Roman" w:hAnsi="Times New Roman"/>
                <w:sz w:val="18"/>
                <w:szCs w:val="18"/>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7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Products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2,621.1</w:t>
            </w:r>
          </w:p>
        </w:tc>
      </w:tr>
      <w:tr>
        <w:trPr>
          <w:trHeight w:val="230"/>
        </w:trPr>
        <w:tc>
          <w:tcPr>
            <w:tcW w:w="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Unallocated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r>
      <w:tr>
        <w:trPr>
          <w:trHeight w:val="223"/>
        </w:trPr>
        <w:tc>
          <w:tcPr>
            <w:tcW w:w="20" w:type="dxa"/>
            <w:vAlign w:val="bottom"/>
          </w:tcPr>
          <w:p>
            <w:pPr>
              <w:spacing w:after="0"/>
              <w:rPr>
                <w:sz w:val="19"/>
                <w:szCs w:val="19"/>
                <w:color w:val="auto"/>
              </w:rPr>
            </w:pP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consolidated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4,105.8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3,643.4</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60" w:firstLine="8"/>
        <w:spacing w:after="0" w:line="28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unallocated assets primarily include investments in affiliated companies, cash and cash equivalents, property, plant and equipment used in our corporate operations and deferred income taxes.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7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8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20" w:type="dxa"/>
            <w:vAlign w:val="bottom"/>
          </w:tcPr>
          <w:p>
            <w:pPr>
              <w:spacing w:after="0"/>
              <w:rPr>
                <w:sz w:val="20"/>
                <w:szCs w:val="20"/>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September 30,</w:t>
            </w:r>
          </w:p>
        </w:tc>
        <w:tc>
          <w:tcPr>
            <w:tcW w:w="10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8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Products</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30"/>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consolidated</w:t>
            </w: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7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September 30,</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September 30,</w:t>
            </w:r>
          </w:p>
        </w:tc>
        <w:tc>
          <w:tcPr>
            <w:tcW w:w="1020" w:type="dxa"/>
            <w:vAlign w:val="bottom"/>
            <w:tcBorders>
              <w:bottom w:val="single" w:sz="8" w:color="auto"/>
            </w:tcBorders>
          </w:tcPr>
          <w:p>
            <w:pPr>
              <w:spacing w:after="0"/>
              <w:rPr>
                <w:sz w:val="21"/>
                <w:szCs w:val="21"/>
                <w:color w:val="auto"/>
              </w:rPr>
            </w:pPr>
          </w:p>
        </w:tc>
      </w:tr>
      <w:tr>
        <w:trPr>
          <w:trHeight w:val="183"/>
        </w:trPr>
        <w:tc>
          <w:tcPr>
            <w:tcW w:w="20" w:type="dxa"/>
            <w:vAlign w:val="bottom"/>
          </w:tcPr>
          <w:p>
            <w:pPr>
              <w:spacing w:after="0"/>
              <w:rPr>
                <w:sz w:val="15"/>
                <w:szCs w:val="15"/>
                <w:color w:val="auto"/>
              </w:rPr>
            </w:pPr>
          </w:p>
        </w:tc>
        <w:tc>
          <w:tcPr>
            <w:tcW w:w="468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Capital Expenditures</w:t>
            </w:r>
          </w:p>
        </w:tc>
        <w:tc>
          <w:tcPr>
            <w:tcW w:w="10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Products</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r>
      <w:tr>
        <w:trPr>
          <w:trHeight w:val="229"/>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consolidated</w:t>
            </w: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w:t>
            </w: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summarized financial information for our segments: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11"/>
          </w:tcPr>
          <w:p>
            <w:pPr>
              <w:ind w:left="260"/>
              <w:spacing w:after="0"/>
              <w:rPr>
                <w:sz w:val="20"/>
                <w:szCs w:val="20"/>
                <w:color w:val="auto"/>
              </w:rPr>
            </w:pPr>
            <w:r>
              <w:rPr>
                <w:rFonts w:ascii="Times New Roman" w:cs="Times New Roman" w:eastAsia="Times New Roman" w:hAnsi="Times New Roman"/>
                <w:sz w:val="16"/>
                <w:szCs w:val="16"/>
                <w:color w:val="auto"/>
              </w:rPr>
              <w:t>Three months ended September 30, 2025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7"/>
          </w:tcPr>
          <w:p>
            <w:pPr>
              <w:jc w:val="right"/>
              <w:ind w:right="299"/>
              <w:spacing w:after="0"/>
              <w:rPr>
                <w:sz w:val="20"/>
                <w:szCs w:val="20"/>
                <w:color w:val="auto"/>
              </w:rPr>
            </w:pPr>
            <w:r>
              <w:rPr>
                <w:rFonts w:ascii="Times New Roman" w:cs="Times New Roman" w:eastAsia="Times New Roman" w:hAnsi="Times New Roman"/>
                <w:sz w:val="16"/>
                <w:szCs w:val="16"/>
                <w:color w:val="auto"/>
              </w:rPr>
              <w:t>Three months ended September 30, 2024</w:t>
            </w:r>
          </w:p>
        </w:tc>
        <w:tc>
          <w:tcPr>
            <w:tcW w:w="0" w:type="dxa"/>
            <w:vAlign w:val="bottom"/>
          </w:tcPr>
          <w:p>
            <w:pPr>
              <w:spacing w:after="0"/>
              <w:rPr>
                <w:sz w:val="1"/>
                <w:szCs w:val="1"/>
                <w:color w:val="auto"/>
              </w:rPr>
            </w:pPr>
          </w:p>
        </w:tc>
      </w:tr>
      <w:tr>
        <w:trPr>
          <w:trHeight w:val="158"/>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rPr>
              <w:t>Proprietary</w:t>
            </w:r>
          </w:p>
        </w:tc>
        <w:tc>
          <w:tcPr>
            <w:tcW w:w="120" w:type="dxa"/>
            <w:vAlign w:val="bottom"/>
          </w:tcPr>
          <w:p>
            <w:pPr>
              <w:spacing w:after="0"/>
              <w:rPr>
                <w:sz w:val="13"/>
                <w:szCs w:val="13"/>
                <w:color w:val="auto"/>
              </w:rPr>
            </w:pPr>
          </w:p>
        </w:tc>
        <w:tc>
          <w:tcPr>
            <w:tcW w:w="1220" w:type="dxa"/>
            <w:vAlign w:val="bottom"/>
            <w:gridSpan w:val="4"/>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w w:val="99"/>
              </w:rPr>
              <w:t>Contract-</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rPr>
              <w:t>Proprietary</w:t>
            </w:r>
          </w:p>
        </w:tc>
        <w:tc>
          <w:tcPr>
            <w:tcW w:w="14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Contract-</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 in millions)</w:t>
            </w:r>
          </w:p>
        </w:tc>
        <w:tc>
          <w:tcPr>
            <w:tcW w:w="12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Manufactured</w:t>
            </w:r>
          </w:p>
        </w:tc>
        <w:tc>
          <w:tcPr>
            <w:tcW w:w="180" w:type="dxa"/>
            <w:vAlign w:val="bottom"/>
          </w:tcPr>
          <w:p>
            <w:pPr>
              <w:spacing w:after="0"/>
              <w:rPr>
                <w:sz w:val="14"/>
                <w:szCs w:val="14"/>
                <w:color w:val="auto"/>
              </w:rPr>
            </w:pPr>
          </w:p>
        </w:tc>
        <w:tc>
          <w:tcPr>
            <w:tcW w:w="7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Manufactured</w:t>
            </w:r>
          </w:p>
        </w:tc>
        <w:tc>
          <w:tcPr>
            <w:tcW w:w="200" w:type="dxa"/>
            <w:vAlign w:val="bottom"/>
          </w:tcPr>
          <w:p>
            <w:pPr>
              <w:spacing w:after="0"/>
              <w:rPr>
                <w:sz w:val="14"/>
                <w:szCs w:val="14"/>
                <w:color w:val="auto"/>
              </w:rPr>
            </w:pPr>
          </w:p>
        </w:tc>
        <w:tc>
          <w:tcPr>
            <w:tcW w:w="7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4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rPr>
              <w:t>Products</w:t>
            </w:r>
          </w:p>
        </w:tc>
        <w:tc>
          <w:tcPr>
            <w:tcW w:w="120" w:type="dxa"/>
            <w:vAlign w:val="bottom"/>
          </w:tcPr>
          <w:p>
            <w:pPr>
              <w:spacing w:after="0"/>
              <w:rPr>
                <w:sz w:val="18"/>
                <w:szCs w:val="18"/>
                <w:color w:val="auto"/>
              </w:rPr>
            </w:pPr>
          </w:p>
        </w:tc>
        <w:tc>
          <w:tcPr>
            <w:tcW w:w="122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color w:val="auto"/>
                <w:w w:val="99"/>
              </w:rPr>
              <w:t>Products</w:t>
            </w: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Products</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Products</w:t>
            </w: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647.5</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746.9</w:t>
            </w:r>
          </w:p>
        </w:tc>
        <w:tc>
          <w:tcPr>
            <w:tcW w:w="0" w:type="dxa"/>
            <w:vAlign w:val="bottom"/>
          </w:tcPr>
          <w:p>
            <w:pPr>
              <w:spacing w:after="0"/>
              <w:rPr>
                <w:sz w:val="1"/>
                <w:szCs w:val="1"/>
                <w:color w:val="auto"/>
              </w:rPr>
            </w:pPr>
          </w:p>
        </w:tc>
      </w:tr>
      <w:tr>
        <w:trPr>
          <w:trHeight w:val="21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and services sold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Other segment expense (income)</w:t>
            </w:r>
            <w:r>
              <w:rPr>
                <w:rFonts w:ascii="Times New Roman" w:cs="Times New Roman" w:eastAsia="Times New Roman" w:hAnsi="Times New Roman"/>
                <w:sz w:val="21"/>
                <w:szCs w:val="21"/>
                <w:color w:val="auto"/>
                <w:vertAlign w:val="superscript"/>
              </w:rPr>
              <w:t>(4)</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Segment operating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profit or loss: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Corporate general costs</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3"/>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Unallocated items: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Restructuring and related charges</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gridSpan w:val="2"/>
          </w:tcPr>
          <w:p>
            <w:pPr>
              <w:ind w:left="360"/>
              <w:spacing w:after="0" w:line="216" w:lineRule="exact"/>
              <w:rPr>
                <w:sz w:val="20"/>
                <w:szCs w:val="20"/>
                <w:color w:val="auto"/>
              </w:rPr>
            </w:pPr>
            <w:r>
              <w:rPr>
                <w:rFonts w:ascii="Times New Roman" w:cs="Times New Roman" w:eastAsia="Times New Roman" w:hAnsi="Times New Roman"/>
                <w:sz w:val="16"/>
                <w:szCs w:val="16"/>
                <w:color w:val="auto"/>
              </w:rPr>
              <w:t>Amortization of acquisition-related intangible assets</w:t>
            </w:r>
            <w:r>
              <w:rPr>
                <w:rFonts w:ascii="Times New Roman" w:cs="Times New Roman" w:eastAsia="Times New Roman" w:hAnsi="Times New Roman"/>
                <w:sz w:val="21"/>
                <w:szCs w:val="21"/>
                <w:color w:val="auto"/>
                <w:vertAlign w:val="superscript"/>
              </w:rPr>
              <w:t>(3)</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0"/>
        </w:trPr>
        <w:tc>
          <w:tcPr>
            <w:tcW w:w="4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consolidated operating profit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0" w:type="dxa"/>
            <w:vAlign w:val="bottom"/>
          </w:tcPr>
          <w:p>
            <w:pPr>
              <w:spacing w:after="0"/>
              <w:rPr>
                <w:sz w:val="1"/>
                <w:szCs w:val="1"/>
                <w:color w:val="auto"/>
              </w:rPr>
            </w:pPr>
          </w:p>
        </w:tc>
      </w:tr>
      <w:tr>
        <w:trPr>
          <w:trHeight w:val="162"/>
        </w:trPr>
        <w:tc>
          <w:tcPr>
            <w:tcW w:w="434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Interest (income) expense and other nonoperating expense</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(income), net</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3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Income before income taxes and equity in net income of affiliated</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companies</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1"/>
          </w:tcPr>
          <w:p>
            <w:pPr>
              <w:ind w:left="260"/>
              <w:spacing w:after="0"/>
              <w:rPr>
                <w:sz w:val="20"/>
                <w:szCs w:val="20"/>
                <w:color w:val="auto"/>
              </w:rPr>
            </w:pPr>
            <w:r>
              <w:rPr>
                <w:rFonts w:ascii="Times New Roman" w:cs="Times New Roman" w:eastAsia="Times New Roman" w:hAnsi="Times New Roman"/>
                <w:sz w:val="16"/>
                <w:szCs w:val="16"/>
                <w:color w:val="auto"/>
              </w:rPr>
              <w:t>Nine Months Ended September 30, 2025</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jc w:val="right"/>
              <w:ind w:right="319"/>
              <w:spacing w:after="0"/>
              <w:rPr>
                <w:sz w:val="20"/>
                <w:szCs w:val="20"/>
                <w:color w:val="auto"/>
              </w:rPr>
            </w:pPr>
            <w:r>
              <w:rPr>
                <w:rFonts w:ascii="Times New Roman" w:cs="Times New Roman" w:eastAsia="Times New Roman" w:hAnsi="Times New Roman"/>
                <w:sz w:val="16"/>
                <w:szCs w:val="16"/>
                <w:color w:val="auto"/>
              </w:rPr>
              <w:t>Nine months ended September 30, 2024</w:t>
            </w:r>
          </w:p>
        </w:tc>
        <w:tc>
          <w:tcPr>
            <w:tcW w:w="0" w:type="dxa"/>
            <w:vAlign w:val="bottom"/>
          </w:tcPr>
          <w:p>
            <w:pPr>
              <w:spacing w:after="0"/>
              <w:rPr>
                <w:sz w:val="1"/>
                <w:szCs w:val="1"/>
                <w:color w:val="auto"/>
              </w:rPr>
            </w:pPr>
          </w:p>
        </w:tc>
      </w:tr>
      <w:tr>
        <w:trPr>
          <w:trHeight w:val="158"/>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w w:val="99"/>
              </w:rPr>
              <w:t>Proprietary</w:t>
            </w:r>
          </w:p>
        </w:tc>
        <w:tc>
          <w:tcPr>
            <w:tcW w:w="120" w:type="dxa"/>
            <w:vAlign w:val="bottom"/>
          </w:tcPr>
          <w:p>
            <w:pPr>
              <w:spacing w:after="0"/>
              <w:rPr>
                <w:sz w:val="13"/>
                <w:szCs w:val="13"/>
                <w:color w:val="auto"/>
              </w:rPr>
            </w:pPr>
          </w:p>
        </w:tc>
        <w:tc>
          <w:tcPr>
            <w:tcW w:w="1220" w:type="dxa"/>
            <w:vAlign w:val="bottom"/>
            <w:gridSpan w:val="4"/>
          </w:tcPr>
          <w:p>
            <w:pPr>
              <w:jc w:val="center"/>
              <w:ind w:right="240"/>
              <w:spacing w:after="0" w:line="158" w:lineRule="exact"/>
              <w:rPr>
                <w:sz w:val="20"/>
                <w:szCs w:val="20"/>
                <w:color w:val="auto"/>
              </w:rPr>
            </w:pPr>
            <w:r>
              <w:rPr>
                <w:rFonts w:ascii="Times New Roman" w:cs="Times New Roman" w:eastAsia="Times New Roman" w:hAnsi="Times New Roman"/>
                <w:sz w:val="16"/>
                <w:szCs w:val="16"/>
                <w:color w:val="auto"/>
              </w:rPr>
              <w:t>Contract-</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rPr>
              <w:t>Proprietary</w:t>
            </w:r>
          </w:p>
        </w:tc>
        <w:tc>
          <w:tcPr>
            <w:tcW w:w="14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color w:val="auto"/>
              </w:rPr>
              <w:t>Contract-</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 in millions)</w:t>
            </w:r>
          </w:p>
        </w:tc>
        <w:tc>
          <w:tcPr>
            <w:tcW w:w="12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Manufactured</w:t>
            </w:r>
          </w:p>
        </w:tc>
        <w:tc>
          <w:tcPr>
            <w:tcW w:w="180" w:type="dxa"/>
            <w:vAlign w:val="bottom"/>
          </w:tcPr>
          <w:p>
            <w:pPr>
              <w:spacing w:after="0"/>
              <w:rPr>
                <w:sz w:val="14"/>
                <w:szCs w:val="14"/>
                <w:color w:val="auto"/>
              </w:rPr>
            </w:pPr>
          </w:p>
        </w:tc>
        <w:tc>
          <w:tcPr>
            <w:tcW w:w="7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Manufactured</w:t>
            </w:r>
          </w:p>
        </w:tc>
        <w:tc>
          <w:tcPr>
            <w:tcW w:w="200" w:type="dxa"/>
            <w:vAlign w:val="bottom"/>
          </w:tcPr>
          <w:p>
            <w:pPr>
              <w:spacing w:after="0"/>
              <w:rPr>
                <w:sz w:val="14"/>
                <w:szCs w:val="14"/>
                <w:color w:val="auto"/>
              </w:rPr>
            </w:pPr>
          </w:p>
        </w:tc>
        <w:tc>
          <w:tcPr>
            <w:tcW w:w="7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4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color w:val="auto"/>
                <w:w w:val="99"/>
              </w:rPr>
              <w:t>Products</w:t>
            </w:r>
          </w:p>
        </w:tc>
        <w:tc>
          <w:tcPr>
            <w:tcW w:w="120" w:type="dxa"/>
            <w:vAlign w:val="bottom"/>
          </w:tcPr>
          <w:p>
            <w:pPr>
              <w:spacing w:after="0"/>
              <w:rPr>
                <w:sz w:val="18"/>
                <w:szCs w:val="18"/>
                <w:color w:val="auto"/>
              </w:rPr>
            </w:pPr>
          </w:p>
        </w:tc>
        <w:tc>
          <w:tcPr>
            <w:tcW w:w="12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rPr>
              <w:t>Products</w:t>
            </w: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Products</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Products</w:t>
            </w: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2,144.4</w:t>
            </w:r>
          </w:p>
        </w:tc>
        <w:tc>
          <w:tcPr>
            <w:tcW w:w="0" w:type="dxa"/>
            <w:vAlign w:val="bottom"/>
          </w:tcPr>
          <w:p>
            <w:pPr>
              <w:spacing w:after="0"/>
              <w:rPr>
                <w:sz w:val="1"/>
                <w:szCs w:val="1"/>
                <w:color w:val="auto"/>
              </w:rPr>
            </w:pPr>
          </w:p>
        </w:tc>
      </w:tr>
      <w:tr>
        <w:trPr>
          <w:trHeight w:val="21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and services sold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Other segment expense (income)</w:t>
            </w:r>
            <w:r>
              <w:rPr>
                <w:rFonts w:ascii="Times New Roman" w:cs="Times New Roman" w:eastAsia="Times New Roman" w:hAnsi="Times New Roman"/>
                <w:sz w:val="21"/>
                <w:szCs w:val="21"/>
                <w:color w:val="auto"/>
                <w:vertAlign w:val="superscript"/>
              </w:rPr>
              <w:t>(4)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Segment operating profit</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521.1</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415.5</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471.6</w:t>
            </w: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profit or loss: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Corporate general costs</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213"/>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Unallocated items: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Restructuring and related charges</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gridSpan w:val="2"/>
          </w:tcPr>
          <w:p>
            <w:pPr>
              <w:ind w:left="360"/>
              <w:spacing w:after="0" w:line="216" w:lineRule="exact"/>
              <w:rPr>
                <w:sz w:val="20"/>
                <w:szCs w:val="20"/>
                <w:color w:val="auto"/>
              </w:rPr>
            </w:pPr>
            <w:r>
              <w:rPr>
                <w:rFonts w:ascii="Times New Roman" w:cs="Times New Roman" w:eastAsia="Times New Roman" w:hAnsi="Times New Roman"/>
                <w:sz w:val="16"/>
                <w:szCs w:val="16"/>
                <w:color w:val="auto"/>
              </w:rPr>
              <w:t>Amortization of acquisition-related intangible assets</w:t>
            </w:r>
            <w:r>
              <w:rPr>
                <w:rFonts w:ascii="Times New Roman" w:cs="Times New Roman" w:eastAsia="Times New Roman" w:hAnsi="Times New Roman"/>
                <w:sz w:val="21"/>
                <w:szCs w:val="21"/>
                <w:color w:val="auto"/>
                <w:vertAlign w:val="superscript"/>
              </w:rPr>
              <w:t>(3)</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0"/>
        </w:trPr>
        <w:tc>
          <w:tcPr>
            <w:tcW w:w="4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consolidated operating profit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0" w:type="dxa"/>
            <w:vAlign w:val="bottom"/>
          </w:tcPr>
          <w:p>
            <w:pPr>
              <w:spacing w:after="0"/>
              <w:rPr>
                <w:sz w:val="1"/>
                <w:szCs w:val="1"/>
                <w:color w:val="auto"/>
              </w:rPr>
            </w:pPr>
          </w:p>
        </w:tc>
      </w:tr>
      <w:tr>
        <w:trPr>
          <w:trHeight w:val="162"/>
        </w:trPr>
        <w:tc>
          <w:tcPr>
            <w:tcW w:w="434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Interest (income) expense and other nonoperating expense</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(income), net</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3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Income before income taxes and equity in net income of affiliated</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companies</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40" w:firstLine="8"/>
        <w:spacing w:after="0" w:line="28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general costs includes executive and director compensation, certain pension and other retirement benefit costs, and other corporate facilities and administrative expenses not allocated to the segments.</w:t>
      </w:r>
    </w:p>
    <w:p>
      <w:pPr>
        <w:spacing w:after="0" w:line="53" w:lineRule="exact"/>
        <w:rPr>
          <w:rFonts w:ascii="Times New Roman" w:cs="Times New Roman" w:eastAsia="Times New Roman" w:hAnsi="Times New Roman"/>
          <w:sz w:val="18"/>
          <w:szCs w:val="18"/>
          <w:color w:val="auto"/>
        </w:rPr>
      </w:pPr>
    </w:p>
    <w:p>
      <w:pPr>
        <w:ind w:firstLine="8"/>
        <w:spacing w:after="0" w:line="254"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 xml:space="preserve">During the three and nine months ended </w:t>
      </w:r>
      <w:r>
        <w:rPr>
          <w:rFonts w:ascii="Times New Roman" w:cs="Times New Roman" w:eastAsia="Times New Roman" w:hAnsi="Times New Roman"/>
          <w:sz w:val="18"/>
          <w:szCs w:val="18"/>
          <w:color w:val="000000"/>
        </w:rPr>
        <w:t>September 30, 2025, the Company recorded charges of $2.5 million and $21.9 million, respectively, related to</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restructuring programs. The Company recorded $0.9 million and $17.5 million in the </w:t>
      </w:r>
      <w:r>
        <w:rPr>
          <w:rFonts w:ascii="Times New Roman" w:cs="Times New Roman" w:eastAsia="Times New Roman" w:hAnsi="Times New Roman"/>
          <w:sz w:val="18"/>
          <w:szCs w:val="18"/>
          <w:color w:val="252525"/>
        </w:rPr>
        <w:t>three and nine months ended</w:t>
      </w:r>
      <w:r>
        <w:rPr>
          <w:rFonts w:ascii="Times New Roman" w:cs="Times New Roman" w:eastAsia="Times New Roman" w:hAnsi="Times New Roman"/>
          <w:sz w:val="18"/>
          <w:szCs w:val="18"/>
          <w:color w:val="000000"/>
        </w:rPr>
        <w:t xml:space="preserve"> September 30, 2025, respectively, of these charges within other expense (income), related to severance and acceleration of depreciation and lease costs in connection with the Company's 2025 restructuring plan. The remaining $1.6 million and $4.4 million, respectively, of expense, recorded within selling, general and administrative expenses, relates to our plan to optimize the legal structure of the Company and its subsidiaries. Restructuring and other charges were a net benefit of $0.9 million for the </w:t>
      </w:r>
      <w:r>
        <w:rPr>
          <w:rFonts w:ascii="Times New Roman" w:cs="Times New Roman" w:eastAsia="Times New Roman" w:hAnsi="Times New Roman"/>
          <w:sz w:val="18"/>
          <w:szCs w:val="18"/>
          <w:color w:val="252525"/>
        </w:rPr>
        <w:t>three and nine months ended</w:t>
      </w:r>
      <w:r>
        <w:rPr>
          <w:rFonts w:ascii="Times New Roman" w:cs="Times New Roman" w:eastAsia="Times New Roman" w:hAnsi="Times New Roman"/>
          <w:sz w:val="18"/>
          <w:szCs w:val="18"/>
          <w:color w:val="000000"/>
        </w:rPr>
        <w:t xml:space="preserve"> September 30, 2024. The net benefit represented the impact of two items, the first of which is a $2.5 million benefit recorded within other expense (income) related to revised severance estimates in connection with the Company's 2022 restructuring plan. This benefit was partially offset by $1.6 million of expense recorded within selling, general and administrative expenses, related to our plan to optimize the legal structure of the Company and its subsidiaries. Please refer to Note 14, </w:t>
      </w:r>
      <w:r>
        <w:rPr>
          <w:rFonts w:ascii="Times New Roman" w:cs="Times New Roman" w:eastAsia="Times New Roman" w:hAnsi="Times New Roman"/>
          <w:sz w:val="18"/>
          <w:szCs w:val="18"/>
          <w:i w:val="1"/>
          <w:iCs w:val="1"/>
          <w:u w:val="single" w:color="auto"/>
          <w:color w:val="0000FF"/>
        </w:rPr>
        <w:t>Other Expense (Income)</w:t>
      </w:r>
      <w:r>
        <w:rPr>
          <w:rFonts w:ascii="Times New Roman" w:cs="Times New Roman" w:eastAsia="Times New Roman" w:hAnsi="Times New Roman"/>
          <w:sz w:val="18"/>
          <w:szCs w:val="18"/>
          <w:color w:val="000000"/>
        </w:rPr>
        <w:t>, for further discussion of this item.</w:t>
      </w:r>
    </w:p>
    <w:p>
      <w:pPr>
        <w:spacing w:after="0" w:line="80" w:lineRule="exact"/>
        <w:rPr>
          <w:rFonts w:ascii="Times New Roman" w:cs="Times New Roman" w:eastAsia="Times New Roman" w:hAnsi="Times New Roman"/>
          <w:sz w:val="18"/>
          <w:szCs w:val="18"/>
          <w:color w:val="auto"/>
        </w:rPr>
      </w:pPr>
    </w:p>
    <w:p>
      <w:pPr>
        <w:ind w:right="200" w:firstLine="8"/>
        <w:spacing w:after="0" w:line="28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nine months ended September 30, 2025 and 2024, we recorded $0.0 million and $0.2 million, and $0.2 million and $0.6 million, respectively, of amortization expense within operating profit associated with an intangible asset acquired during the second quarter of 2020.</w:t>
      </w:r>
    </w:p>
    <w:p>
      <w:pPr>
        <w:spacing w:after="0" w:line="53"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 (income) primarily includes foreign exchange transaction gains and losses, adjustments to contingent consideration and asset impairments attributable to the segments during the three and nine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160"/>
        <w:spacing w:after="0" w:line="37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spacing w:after="0" w:line="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discussion is intended to further the reader’s understanding of the consolidated financial condition and results of operations of our Company. It should be read in conjunction with our condensed consolidated financial statements and accompanying notes elsewhere in this Quarterly Report on Form 10-Q (“Form 10-Q”) as well as Management’s Discussion and Analysis of Financial Condition and Results of Operations and the consolidated financial statements and accompanying notes included in our 2024 Annual Report. Our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our 2024 Annual Report and in Part II, Item 1A of this Form 10-Q.</w:t>
      </w:r>
    </w:p>
    <w:p>
      <w:pPr>
        <w:spacing w:after="0" w:line="8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Throughout this section, references to “Notes” refer to the notes to our condensed consolidated financial statements (unaudited) in Part I, Item 1 of this Form 10-Q, unless otherwise indicated.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GAAP Financial Measures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specifically-identified income or expense items. The re-measured results excluding effects from currency translation, the impact from acquisitions and/or divestitures, and excluding the effects of unallocated items are not in conformity with U.S.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a leading global manufacturer in the design and production of technologically advanced, high-quality, integrated containment and delivery systems for injectable drugs and healthcare products. Our products include a variety of primary proprietary packaging, containment solutions, reconstitution and transfer systems, and drug delivery systems, as well as contract manufacturing, analytical lab services and integrated solutions. Our customers include leading biologic, generic, pharmaceutical, diagnostic, and medical device companies around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8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business operations are organized into two global segments, Proprietary Products and Contract-Manufactured Products. Our Proprietary Products reportable segment offers proprietary packaging, containment solutions and drug delivery systems,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collaborations to share technologies and market products with affiliates in Japan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Factors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recent months, the U.S. government has imposed additional tariffs and trade restrictions on certain goods produced outside of the United States. In response to these actions, certain jurisdictions in which we operate have imposed or are considering imposing tariffs and restrictions on certain goods produced in the United States. We continue to monitor this dynamic situation to assess the impact of these tariffs on our business and actions we can take to minimize their impact. Based on the information available at this time, we do not believe the impact will be material to our 2025 results.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operations based in Israel that conduct research and development activities and manufacture certain components for our devices. Our Israel-based facilities continue to substantially operate as they had prior to the conflict in Israel and surrounding area. We continue to monitor the impact of the conflict in Israel and surrounding areas on our operations and those of our suppliers, the possible expansion of such conflict and potential geopolitical consequences, if any, on our business and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Performance Summary</w:t>
      </w:r>
    </w:p>
    <w:p>
      <w:pPr>
        <w:spacing w:after="0" w:line="121"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8"/>
          <w:szCs w:val="18"/>
          <w:color w:val="252525"/>
        </w:rPr>
        <w:t xml:space="preserve">The following tables present a reconciliation from U.S. GAAP to non-U.S. GAAP financial measures for the three and nine months ended </w:t>
      </w:r>
      <w:r>
        <w:rPr>
          <w:rFonts w:ascii="Times New Roman" w:cs="Times New Roman" w:eastAsia="Times New Roman" w:hAnsi="Times New Roman"/>
          <w:sz w:val="18"/>
          <w:szCs w:val="18"/>
          <w:color w:val="000000"/>
        </w:rPr>
        <w:t>September 30,</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2025: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per share data)</w:t>
            </w: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0"/>
                <w:szCs w:val="20"/>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Diluted EPS</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2025 U.S. 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charges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acquisition-related intangible assets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78"/>
        </w:trPr>
        <w:tc>
          <w:tcPr>
            <w:tcW w:w="470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Three months ended September 30, 2025 adjusted amounts</w:t>
            </w:r>
          </w:p>
        </w:tc>
        <w:tc>
          <w:tcPr>
            <w:tcW w:w="1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GAAP)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per share data)</w:t>
            </w:r>
          </w:p>
        </w:tc>
        <w:tc>
          <w:tcPr>
            <w:tcW w:w="14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profit</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4"/>
                <w:szCs w:val="24"/>
                <w:color w:val="auto"/>
              </w:rPr>
            </w:pP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Diluted EPS</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2025 U.S. 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charges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acquisition-related intangible assets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55"/>
        </w:trPr>
        <w:tc>
          <w:tcPr>
            <w:tcW w:w="47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Nine months ended September 30, 2025 adjusted amounts (non-</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vMerge w:val="restart"/>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52525"/>
        </w:rPr>
        <w:t>three and nine months ended</w:t>
      </w:r>
      <w:r>
        <w:rPr>
          <w:rFonts w:ascii="Times New Roman" w:cs="Times New Roman" w:eastAsia="Times New Roman" w:hAnsi="Times New Roman"/>
          <w:sz w:val="18"/>
          <w:szCs w:val="18"/>
          <w:color w:val="auto"/>
        </w:rPr>
        <w:t xml:space="preserve"> September 30, 2025, we recorded a tax benefit of $1.0 million and $3.9 million respectively, associated with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8"/>
          <w:szCs w:val="18"/>
          <w:color w:val="252525"/>
        </w:rPr>
        <w:t xml:space="preserve">The following tables present a reconciliation from U.S. GAAP to non-U.S. GAAP financial measures for the three and nine months ended </w:t>
      </w:r>
      <w:r>
        <w:rPr>
          <w:rFonts w:ascii="Times New Roman" w:cs="Times New Roman" w:eastAsia="Times New Roman" w:hAnsi="Times New Roman"/>
          <w:sz w:val="18"/>
          <w:szCs w:val="18"/>
          <w:color w:val="000000"/>
        </w:rPr>
        <w:t>September 30,</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per share data)</w:t>
            </w: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0"/>
                <w:szCs w:val="20"/>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0"/>
                <w:szCs w:val="20"/>
                <w:color w:val="auto"/>
              </w:rPr>
            </w:pP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 EPS</w:t>
            </w:r>
          </w:p>
        </w:tc>
      </w:tr>
      <w:tr>
        <w:trPr>
          <w:trHeight w:val="250"/>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2024 U.S. 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5"/>
              </w:rPr>
              <w:t>1.85</w:t>
            </w: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
        </w:trPr>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charges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(0.01)</w:t>
            </w:r>
          </w:p>
        </w:tc>
      </w:tr>
      <w:tr>
        <w:trPr>
          <w:trHeight w:val="257"/>
        </w:trPr>
        <w:tc>
          <w:tcPr>
            <w:tcW w:w="4700" w:type="dxa"/>
            <w:vAlign w:val="bottom"/>
            <w:tcBorders>
              <w:bottom w:val="single" w:sz="8" w:color="CCEEFF"/>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Amortization of acquisition-related intangible assets </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5"/>
              </w:rPr>
              <w:t>0.01</w:t>
            </w:r>
          </w:p>
        </w:tc>
      </w:tr>
      <w:tr>
        <w:trPr>
          <w:trHeight w:val="178"/>
        </w:trPr>
        <w:tc>
          <w:tcPr>
            <w:tcW w:w="47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Three months ended September 30, 2024 adjusted amounts</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5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GAAP)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5"/>
              </w:rPr>
              <w:t>1.85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per share data)</w:t>
            </w:r>
          </w:p>
        </w:tc>
        <w:tc>
          <w:tcPr>
            <w:tcW w:w="14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4"/>
                <w:szCs w:val="24"/>
                <w:color w:val="auto"/>
              </w:rPr>
            </w:pP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 EPS</w:t>
            </w:r>
          </w:p>
        </w:tc>
      </w:tr>
      <w:tr>
        <w:trPr>
          <w:trHeight w:val="250"/>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2024 U.S. 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0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5"/>
              </w:rPr>
              <w:t>4.91</w:t>
            </w: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
        </w:trPr>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charges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(0.01)</w:t>
            </w:r>
          </w:p>
        </w:tc>
      </w:tr>
      <w:tr>
        <w:trPr>
          <w:trHeight w:val="257"/>
        </w:trPr>
        <w:tc>
          <w:tcPr>
            <w:tcW w:w="4700" w:type="dxa"/>
            <w:vAlign w:val="bottom"/>
            <w:tcBorders>
              <w:bottom w:val="single" w:sz="8" w:color="CCEEFF"/>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Amortization of acquisition-related intangible assets </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5"/>
              </w:rPr>
              <w:t>0.03</w:t>
            </w:r>
          </w:p>
        </w:tc>
      </w:tr>
      <w:tr>
        <w:trPr>
          <w:trHeight w:val="178"/>
        </w:trPr>
        <w:tc>
          <w:tcPr>
            <w:tcW w:w="47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Nine months ended September 30, 2024 adjusted amounts (non-</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5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5"/>
              </w:rPr>
              <w:t>4.93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52525"/>
        </w:rPr>
        <w:t>three and nine months ended</w:t>
      </w:r>
      <w:r>
        <w:rPr>
          <w:rFonts w:ascii="Times New Roman" w:cs="Times New Roman" w:eastAsia="Times New Roman" w:hAnsi="Times New Roman"/>
          <w:sz w:val="18"/>
          <w:szCs w:val="18"/>
          <w:color w:val="auto"/>
        </w:rPr>
        <w:t xml:space="preserve"> September 30, 2024, we recorded a tax benefit of $2.7 million and $19.3 million, respectively, associated with stock-based compensation.</w:t>
      </w:r>
    </w:p>
    <w:p>
      <w:pPr>
        <w:spacing w:after="0" w:line="54" w:lineRule="exact"/>
        <w:rPr>
          <w:sz w:val="20"/>
          <w:szCs w:val="20"/>
          <w:color w:val="auto"/>
        </w:rPr>
      </w:pPr>
    </w:p>
    <w:p>
      <w:pPr>
        <w:ind w:left="660" w:right="460" w:hanging="328"/>
        <w:spacing w:after="0" w:line="276" w:lineRule="auto"/>
        <w:tabs>
          <w:tab w:leader="none" w:pos="654" w:val="left"/>
        </w:tabs>
        <w:numPr>
          <w:ilvl w:val="0"/>
          <w:numId w:val="9"/>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 xml:space="preserve">During the three and nine months ended </w:t>
      </w:r>
      <w:r>
        <w:rPr>
          <w:rFonts w:ascii="Times New Roman" w:cs="Times New Roman" w:eastAsia="Times New Roman" w:hAnsi="Times New Roman"/>
          <w:sz w:val="17"/>
          <w:szCs w:val="17"/>
          <w:color w:val="000000"/>
        </w:rPr>
        <w:t>September 30, 2025, the Company recorded charges of $2.5 million and $21.9 million, respectively,</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 xml:space="preserve">related to restructuring programs. </w:t>
      </w:r>
      <w:r>
        <w:rPr>
          <w:rFonts w:ascii="Times New Roman" w:cs="Times New Roman" w:eastAsia="Times New Roman" w:hAnsi="Times New Roman"/>
          <w:sz w:val="17"/>
          <w:szCs w:val="17"/>
          <w:color w:val="252525"/>
        </w:rPr>
        <w:t>During the three and nine months ended</w:t>
      </w:r>
      <w:r>
        <w:rPr>
          <w:rFonts w:ascii="Times New Roman" w:cs="Times New Roman" w:eastAsia="Times New Roman" w:hAnsi="Times New Roman"/>
          <w:sz w:val="17"/>
          <w:szCs w:val="17"/>
          <w:color w:val="000000"/>
        </w:rPr>
        <w:t xml:space="preserve"> September 30, 2025, the Company recorded $0.9 million and</w:t>
      </w:r>
    </w:p>
    <w:p>
      <w:pPr>
        <w:ind w:left="660" w:right="120"/>
        <w:spacing w:after="0" w:line="269" w:lineRule="auto"/>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auto"/>
        </w:rPr>
        <w:t xml:space="preserve">$17.5 million, respectively, of the charges within other expense (income), related to severance and acceleration of depreciation and lease costs in connection with the Company's 2025 restructuring plan. The Company recorded the remaining $1.6 million and $4.4 million, respectively, within selling, general and administrative expenses, related to our plan to optimize the legal structure of the Company and its subsidiaries. Restructuring and other charges were a net benefit of $0.9 million for the </w:t>
      </w:r>
      <w:r>
        <w:rPr>
          <w:rFonts w:ascii="Times New Roman" w:cs="Times New Roman" w:eastAsia="Times New Roman" w:hAnsi="Times New Roman"/>
          <w:sz w:val="17"/>
          <w:szCs w:val="17"/>
          <w:color w:val="252525"/>
        </w:rPr>
        <w:t>three and nine months ended</w:t>
      </w:r>
      <w:r>
        <w:rPr>
          <w:rFonts w:ascii="Times New Roman" w:cs="Times New Roman" w:eastAsia="Times New Roman" w:hAnsi="Times New Roman"/>
          <w:sz w:val="17"/>
          <w:szCs w:val="17"/>
          <w:color w:val="auto"/>
        </w:rPr>
        <w:t xml:space="preserve"> September 30, 2024. The net benefit represented the impact of two items, the first of which is a $2.5 million benefit recorded within other expense (income) related to revised severance estimates in connection with the Company's 2022 restructuring plan. This benefit was partially offset by $1.6 million of expense recorded within selling, general and administrative expenses, related to our plan to optimize the legal structure of the Company and its subsidiaries.</w:t>
      </w:r>
    </w:p>
    <w:p>
      <w:pPr>
        <w:spacing w:after="0" w:line="67" w:lineRule="exact"/>
        <w:rPr>
          <w:rFonts w:ascii="Times New Roman" w:cs="Times New Roman" w:eastAsia="Times New Roman" w:hAnsi="Times New Roman"/>
          <w:sz w:val="17"/>
          <w:szCs w:val="17"/>
          <w:color w:val="252525"/>
        </w:rPr>
      </w:pPr>
    </w:p>
    <w:p>
      <w:pPr>
        <w:ind w:left="660" w:right="40" w:hanging="328"/>
        <w:spacing w:after="0" w:line="255"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 xml:space="preserve">During the </w:t>
      </w:r>
      <w:r>
        <w:rPr>
          <w:rFonts w:ascii="Times New Roman" w:cs="Times New Roman" w:eastAsia="Times New Roman" w:hAnsi="Times New Roman"/>
          <w:sz w:val="18"/>
          <w:szCs w:val="18"/>
          <w:color w:val="000000"/>
        </w:rPr>
        <w:t>nine months ended September 30, 2025</w:t>
      </w:r>
      <w:r>
        <w:rPr>
          <w:rFonts w:ascii="Times New Roman" w:cs="Times New Roman" w:eastAsia="Times New Roman" w:hAnsi="Times New Roman"/>
          <w:sz w:val="18"/>
          <w:szCs w:val="18"/>
          <w:color w:val="252525"/>
        </w:rPr>
        <w:t xml:space="preserve">, the Company recorded </w:t>
      </w:r>
      <w:r>
        <w:rPr>
          <w:rFonts w:ascii="Times New Roman" w:cs="Times New Roman" w:eastAsia="Times New Roman" w:hAnsi="Times New Roman"/>
          <w:sz w:val="18"/>
          <w:szCs w:val="18"/>
          <w:color w:val="000000"/>
        </w:rPr>
        <w:t>$0.2 million</w:t>
      </w:r>
      <w:r>
        <w:rPr>
          <w:rFonts w:ascii="Times New Roman" w:cs="Times New Roman" w:eastAsia="Times New Roman" w:hAnsi="Times New Roman"/>
          <w:sz w:val="18"/>
          <w:szCs w:val="18"/>
          <w:color w:val="252525"/>
        </w:rPr>
        <w:t xml:space="preserve"> of amortization expense within operating profit associated with an intangible asset acquired during </w:t>
      </w:r>
      <w:r>
        <w:rPr>
          <w:rFonts w:ascii="Times New Roman" w:cs="Times New Roman" w:eastAsia="Times New Roman" w:hAnsi="Times New Roman"/>
          <w:sz w:val="18"/>
          <w:szCs w:val="18"/>
          <w:color w:val="000000"/>
        </w:rPr>
        <w:t>the second quarter of 2020. During the</w:t>
      </w:r>
      <w:r>
        <w:rPr>
          <w:rFonts w:ascii="Times New Roman" w:cs="Times New Roman" w:eastAsia="Times New Roman" w:hAnsi="Times New Roman"/>
          <w:sz w:val="18"/>
          <w:szCs w:val="18"/>
          <w:color w:val="252525"/>
        </w:rPr>
        <w:t xml:space="preserve"> three and nine months ended </w:t>
      </w:r>
      <w:r>
        <w:rPr>
          <w:rFonts w:ascii="Times New Roman" w:cs="Times New Roman" w:eastAsia="Times New Roman" w:hAnsi="Times New Roman"/>
          <w:sz w:val="18"/>
          <w:szCs w:val="18"/>
          <w:color w:val="000000"/>
        </w:rPr>
        <w:t>September 30, 2025, the Company</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recorded $0.4 million and $1.3 million, respectively, of amortization expense in association with an acquisition of increased ownership interest in Daikyo. During the </w:t>
      </w:r>
      <w:r>
        <w:rPr>
          <w:rFonts w:ascii="Times New Roman" w:cs="Times New Roman" w:eastAsia="Times New Roman" w:hAnsi="Times New Roman"/>
          <w:sz w:val="18"/>
          <w:szCs w:val="18"/>
          <w:color w:val="252525"/>
        </w:rPr>
        <w:t>three and nine months ended</w:t>
      </w:r>
      <w:r>
        <w:rPr>
          <w:rFonts w:ascii="Times New Roman" w:cs="Times New Roman" w:eastAsia="Times New Roman" w:hAnsi="Times New Roman"/>
          <w:sz w:val="18"/>
          <w:szCs w:val="18"/>
          <w:color w:val="000000"/>
        </w:rPr>
        <w:t xml:space="preserve"> September 30, 2024, </w:t>
      </w:r>
      <w:r>
        <w:rPr>
          <w:rFonts w:ascii="Times New Roman" w:cs="Times New Roman" w:eastAsia="Times New Roman" w:hAnsi="Times New Roman"/>
          <w:sz w:val="18"/>
          <w:szCs w:val="18"/>
          <w:color w:val="252525"/>
        </w:rPr>
        <w:t>the Company recorded</w:t>
      </w:r>
      <w:r>
        <w:rPr>
          <w:rFonts w:ascii="Times New Roman" w:cs="Times New Roman" w:eastAsia="Times New Roman" w:hAnsi="Times New Roman"/>
          <w:sz w:val="18"/>
          <w:szCs w:val="18"/>
          <w:color w:val="000000"/>
        </w:rPr>
        <w:t xml:space="preserve"> $0.2 million and $0.6 million, respectively, </w:t>
      </w:r>
      <w:r>
        <w:rPr>
          <w:rFonts w:ascii="Times New Roman" w:cs="Times New Roman" w:eastAsia="Times New Roman" w:hAnsi="Times New Roman"/>
          <w:sz w:val="18"/>
          <w:szCs w:val="18"/>
          <w:color w:val="252525"/>
        </w:rPr>
        <w:t>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52525"/>
        </w:rPr>
        <w:t xml:space="preserve">amortization expense within operating profit associated with an intangible asset acquired during </w:t>
      </w:r>
      <w:r>
        <w:rPr>
          <w:rFonts w:ascii="Times New Roman" w:cs="Times New Roman" w:eastAsia="Times New Roman" w:hAnsi="Times New Roman"/>
          <w:sz w:val="18"/>
          <w:szCs w:val="18"/>
          <w:color w:val="000000"/>
        </w:rPr>
        <w:t>the second quarter of 2020. During the</w:t>
      </w:r>
      <w:r>
        <w:rPr>
          <w:rFonts w:ascii="Times New Roman" w:cs="Times New Roman" w:eastAsia="Times New Roman" w:hAnsi="Times New Roman"/>
          <w:sz w:val="18"/>
          <w:szCs w:val="18"/>
          <w:color w:val="252525"/>
        </w:rPr>
        <w:t xml:space="preserve"> three and nine months ended </w:t>
      </w:r>
      <w:r>
        <w:rPr>
          <w:rFonts w:ascii="Times New Roman" w:cs="Times New Roman" w:eastAsia="Times New Roman" w:hAnsi="Times New Roman"/>
          <w:sz w:val="18"/>
          <w:szCs w:val="18"/>
          <w:color w:val="000000"/>
        </w:rPr>
        <w:t>September 30, 2024, the Company recorded $0.6 million and $1.6 million, respectively, of amortization expense</w:t>
      </w:r>
      <w:r>
        <w:rPr>
          <w:rFonts w:ascii="Times New Roman" w:cs="Times New Roman" w:eastAsia="Times New Roman" w:hAnsi="Times New Roman"/>
          <w:sz w:val="18"/>
          <w:szCs w:val="18"/>
          <w:color w:val="252525"/>
        </w:rPr>
        <w:t xml:space="preserve"> in association with an acquisition of increased ownership interest in Daikyo.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Percentages in the following tables and throughout the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section may reflect rounding adjustments.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sales, consolidated and by reportable segment, for the three months ended September 30, 2025 and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Three Months Ended</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3"/>
        </w:trPr>
        <w:tc>
          <w:tcPr>
            <w:tcW w:w="4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color w:val="auto"/>
              </w:rPr>
              <w:t>September 30,</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6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40" w:type="dxa"/>
            <w:vAlign w:val="bottom"/>
          </w:tcPr>
          <w:p>
            <w:pPr>
              <w:spacing w:after="0"/>
              <w:rPr>
                <w:sz w:val="19"/>
                <w:szCs w:val="19"/>
                <w:color w:val="auto"/>
              </w:rPr>
            </w:pPr>
          </w:p>
        </w:tc>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As-Reported</w:t>
            </w:r>
          </w:p>
        </w:tc>
        <w:tc>
          <w:tcPr>
            <w:tcW w:w="16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Organic</w:t>
            </w: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804.6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Consolidated net sales increased by $57.7 million, or 7.7%, for the three months ended September 30, 2025, as compared to the same period in 2024, including a favorable foreign currency translation impact of $20.1 million. Excluding foreign currency translation effects, consolidated net sales for the three months ended September 30, 2025 increased by $37.6 million, or 5.0%, as compared to the same period in 2024.</w:t>
      </w:r>
    </w:p>
    <w:p>
      <w:pPr>
        <w:spacing w:after="0" w:line="6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net sales increased by $46.1 million, or 7.7%, for the three months ended September 30, 2025, as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same period in 2024, including a favorable foreign currency translation impact of $15.7 million. Excluding foreign currency translation effects, net sales for the three months ended September 30, 2025 increased by $30.4 million, or 5.1%, as compared to the same period in 2024, due primarily to an increase in sales of Westar®, Envision® and NovaBrand products. These increases were partially offset by a decline in sales of self-injection device platforms and approximately $19 million in customer incentives received in connection with volumes achieved during the three months ended September 30, 2024 that were not repeated in the same period in 2025.</w:t>
      </w:r>
    </w:p>
    <w:p>
      <w:pPr>
        <w:spacing w:after="0" w:line="7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net sales increased by $11.6 million, or 8.0%,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2025, as compared to the same period in 2024, including a favorable foreign currency translation impact of $4.4 million. Excluding foreign currency translation effects, net sales for the three months ended September 30, 2025 increased by $7.2 million, or 4.9%, as compared to the same period in 2024, due primarily to an increase in sales of self-injection devices for obesity and diabetes, partially offset by a decrease in sales of healthcare diagnostic devices.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sales, consolidated and by reportable segment, for the nine months ended September 30, 2025 and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Nine Months Ended</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3"/>
        </w:trPr>
        <w:tc>
          <w:tcPr>
            <w:tcW w:w="45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4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4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As-Reported</w:t>
            </w:r>
          </w:p>
        </w:tc>
        <w:tc>
          <w:tcPr>
            <w:tcW w:w="16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Organic</w:t>
            </w:r>
          </w:p>
        </w:tc>
      </w:tr>
      <w:tr>
        <w:trPr>
          <w:trHeight w:val="223"/>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1,830.3</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0"/>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Consolidated net sales increased by $124.7 million, or 5.8%, for the nine months ended September 30, 2025, as compared to the same period in 2024, including a favorable foreign currency translation impact of $24.9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Excluding foreign currency translation effects, consolidated net sales for the nine months ended September 30, 2025 increased by $99.8 million, or 4.7%, as compared to the same period in 2024.</w:t>
      </w:r>
    </w:p>
    <w:p>
      <w:pPr>
        <w:spacing w:after="0" w:line="5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net sales increased by $109.7 million, or 6.4%, for the nine months ended September 30, 2025, as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same period in 2024, including a favorable foreign currency translation impact of $18.8 million. Excluding foreign currency translation effects, net sales for the nine months ended September 30, 2025 increased by $90.9 million, or 5.3%, as compared to the same period in 2024, due primarily to an increase in sales of Westar®, NovaBrand and Envision® products. These increases were partially offset by a decline in sales of FluroTec® products and approximately $22 million in customer incentives received in connection with volumes achieved during the nine months ended September 30, 2024 that were not repeated in the same period in 2025.</w:t>
      </w:r>
    </w:p>
    <w:p>
      <w:pPr>
        <w:spacing w:after="0" w:line="7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net sales increased by $15.0 million, or 3.5%,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2025, as compared to the same period in 2024, including a favorable foreign currency translation impact of $6.1 million. Excluding foreign currency translation effects, net sales for the nine months ended September 30, 2025 increased by $8.9 million, or 2.1%, as compared to the same period in 2024, due primarily to an increase in sales of self-injection devices for obesity and diabetes, partially offset by a decrease in sales of healthcare diagnostic devices.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4"/>
        </w:trPr>
        <w:tc>
          <w:tcPr>
            <w:tcW w:w="8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presents gross profit and related gross profit margins, consolidated and by reportable segment:</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3"/>
        </w:trPr>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gridSpan w:val="5"/>
          </w:tcPr>
          <w:p>
            <w:pPr>
              <w:ind w:left="54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500" w:type="dxa"/>
            <w:vAlign w:val="bottom"/>
          </w:tcPr>
          <w:p>
            <w:pPr>
              <w:spacing w:after="0"/>
              <w:rPr>
                <w:sz w:val="17"/>
                <w:szCs w:val="17"/>
                <w:color w:val="auto"/>
              </w:rPr>
            </w:pPr>
          </w:p>
        </w:tc>
        <w:tc>
          <w:tcPr>
            <w:tcW w:w="2860" w:type="dxa"/>
            <w:vAlign w:val="bottom"/>
            <w:gridSpan w:val="4"/>
          </w:tcPr>
          <w:p>
            <w:pPr>
              <w:jc w:val="right"/>
              <w:ind w:right="87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4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80" w:type="dxa"/>
            <w:vAlign w:val="bottom"/>
            <w:tcBorders>
              <w:bottom w:val="single" w:sz="8" w:color="auto"/>
            </w:tcBorders>
          </w:tcPr>
          <w:p>
            <w:pPr>
              <w:spacing w:after="0"/>
              <w:rPr>
                <w:sz w:val="20"/>
                <w:szCs w:val="20"/>
                <w:color w:val="auto"/>
              </w:rPr>
            </w:pPr>
          </w:p>
        </w:tc>
      </w:tr>
      <w:tr>
        <w:trPr>
          <w:trHeight w:val="229"/>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722.5</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649.8</w:t>
            </w:r>
          </w:p>
        </w:tc>
      </w:tr>
      <w:tr>
        <w:trPr>
          <w:trHeight w:val="230"/>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 margin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37.8 %</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75.1</w:t>
            </w:r>
          </w:p>
        </w:tc>
      </w:tr>
      <w:tr>
        <w:trPr>
          <w:trHeight w:val="230"/>
        </w:trPr>
        <w:tc>
          <w:tcPr>
            <w:tcW w:w="4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 margin</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17.7 %</w:t>
            </w: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gross profit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800.1</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724.9</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4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Consolidated gross profit margin</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36.6 %</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35.4 %</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35.3 %</w:t>
            </w: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33.8 %</w:t>
            </w:r>
          </w:p>
        </w:tc>
      </w:tr>
      <w:tr>
        <w:trPr>
          <w:trHeight w:val="20"/>
        </w:trPr>
        <w:tc>
          <w:tcPr>
            <w:tcW w:w="4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Consolidated gross profit increased by $29.6 million, or 11.2%, for the three months ended September 30, 2025, as compared to the same period in 2024, including a favorable foreign currency translation impact of $8.6 million for the three months ended September 30, 2025, as compared to the same period in 2024. Consolidated gross profit margin increased by 1.2 margin points for the three months ended September 30, 2025, as compared to the same period in 2024.</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Consolidated gross profit increased by $75.2 million, or 10.4%, for the nine months ended September 30, 2025, as compared to the same period in 2024, including a favorable foreign currency translation impact of $11.8 million for the nine months ended September 30, 2025, as compared to the same period in 2024. Consolidated gross profit margin increased by 1.5 margin points for the nine months ended September 30, 2025, as compared to the same period in 2024.</w:t>
      </w:r>
    </w:p>
    <w:p>
      <w:pPr>
        <w:spacing w:after="0" w:line="68"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gross profit increased by $28.3 million, or 12.0%, for the three months ended September 30, 2025,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2024, including a favorable foreign currency translation impact of $7.8 million. Proprietary Products gross profit margin increased by 1.6 margin points for the three months ended September 30, 2025, as compared to the same periods in 2024, due primarily to higher plant absorption from increased customer demand and sales price increases. These increases were partially offset by approximately $19 million in customer incentives received in connection with volumes achieved during the three months ended September 30, 2024 that were not repeated in the same period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Proprietary Products gross profit increased by $72.7 million, or 11.2%, for the nine months ended September 30, 2025, as compared to the same period in 2024, including a favorable foreign currency translation impact of $10.7 million. Proprietary Products gross profit margin increased by 1.7 margin points for the nine months ended September 30, 2025, as compared to the same periods in 2024, due primarily to higher plant absorption from increased customer demand and sales price increases. These increases were partially offset by approximately $22 million in customer incentives received in connection with volumes achieved during the nine months ended September 30, 2024 that were not repeated in the same period in 2025.</w:t>
      </w:r>
    </w:p>
    <w:p>
      <w:pPr>
        <w:spacing w:after="0" w:line="7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gross profit increased by $1.3 million, or 4.5%,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2025, as compared to the same period in 2024, including a favorable foreign currency translation impact of $0.8 million. Contract-Manufactured Products gross profit margin decreased by 0.6 margin points for the three months ended September 30, 2025, as compared to the same period in 2024, due primarily to increased production costs, partially offset by sales price increases.</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Contract-Manufactured Products gross profit increased by $2.5 million, or 3.3%, for the nine months ended September 30, 2025, as compared to the same period in 2024, including a favorable foreign currency translation impact of $1.1 million. Contract-Manufactured Products gross profit margin remained flat in the nine months ended September 30, 2025, as compared to the same period in 2024.</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(“R&amp;D”) Costs</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2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consolidated R&amp;D costs:</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4700" w:type="dxa"/>
            <w:vAlign w:val="bottom"/>
          </w:tcPr>
          <w:p>
            <w:pPr>
              <w:spacing w:after="0"/>
              <w:rPr>
                <w:sz w:val="17"/>
                <w:szCs w:val="17"/>
                <w:color w:val="auto"/>
              </w:rPr>
            </w:pPr>
          </w:p>
        </w:tc>
        <w:tc>
          <w:tcPr>
            <w:tcW w:w="2720" w:type="dxa"/>
            <w:vAlign w:val="bottom"/>
            <w:gridSpan w:val="4"/>
          </w:tcPr>
          <w:p>
            <w:pPr>
              <w:jc w:val="center"/>
              <w:ind w:left="430"/>
              <w:spacing w:after="0" w:line="202"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80" w:type="dxa"/>
            <w:vAlign w:val="bottom"/>
            <w:gridSpan w:val="4"/>
          </w:tcPr>
          <w:p>
            <w:pPr>
              <w:jc w:val="center"/>
              <w:ind w:right="25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47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September 30,</w:t>
            </w:r>
          </w:p>
        </w:tc>
        <w:tc>
          <w:tcPr>
            <w:tcW w:w="1020" w:type="dxa"/>
            <w:vAlign w:val="bottom"/>
            <w:tcBorders>
              <w:bottom w:val="single" w:sz="8" w:color="auto"/>
            </w:tcBorders>
          </w:tcPr>
          <w:p>
            <w:pPr>
              <w:spacing w:after="0"/>
              <w:rPr>
                <w:sz w:val="20"/>
                <w:szCs w:val="20"/>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R&amp;D costs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720"/>
        <w:spacing w:after="0" w:line="266" w:lineRule="auto"/>
        <w:rPr>
          <w:sz w:val="20"/>
          <w:szCs w:val="20"/>
          <w:color w:val="auto"/>
        </w:rPr>
      </w:pPr>
      <w:r>
        <w:rPr>
          <w:rFonts w:ascii="Times New Roman" w:cs="Times New Roman" w:eastAsia="Times New Roman" w:hAnsi="Times New Roman"/>
          <w:sz w:val="18"/>
          <w:szCs w:val="18"/>
          <w:color w:val="auto"/>
        </w:rPr>
        <w:t>Consolidated R&amp;D costs increased by $1.6 million, or 10.3%, and $1.9 million, or 3.8% for the three and nine months ended September 30, 2025, respectively, as compared to the same period in 2024. Efforts remain focused on the continued investment in elastomeric packaging components, formulation development, drug containment systems, self-injection systems and drug administration consumable.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R&amp;D costs incurred in the three and nine months ended September 30, 2025 and 2024 related to Proprietary Products.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Costs</w:t>
            </w: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4"/>
        </w:trPr>
        <w:tc>
          <w:tcPr>
            <w:tcW w:w="9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presents SG&amp;A costs, consolidated and by reportable segment and corporate and unallocated items:</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3"/>
        </w:trPr>
        <w:tc>
          <w:tcPr>
            <w:tcW w:w="4420" w:type="dxa"/>
            <w:vAlign w:val="bottom"/>
          </w:tcPr>
          <w:p>
            <w:pPr>
              <w:spacing w:after="0"/>
              <w:rPr>
                <w:sz w:val="17"/>
                <w:szCs w:val="17"/>
                <w:color w:val="auto"/>
              </w:rPr>
            </w:pPr>
          </w:p>
        </w:tc>
        <w:tc>
          <w:tcPr>
            <w:tcW w:w="2780" w:type="dxa"/>
            <w:vAlign w:val="bottom"/>
            <w:gridSpan w:val="4"/>
          </w:tcPr>
          <w:p>
            <w:pPr>
              <w:jc w:val="right"/>
              <w:ind w:right="25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gridSpan w:val="4"/>
          </w:tcPr>
          <w:p>
            <w:pPr>
              <w:jc w:val="right"/>
              <w:ind w:right="87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6"/>
        </w:trPr>
        <w:tc>
          <w:tcPr>
            <w:tcW w:w="44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September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80" w:type="dxa"/>
            <w:vAlign w:val="bottom"/>
            <w:tcBorders>
              <w:bottom w:val="single" w:sz="8" w:color="auto"/>
            </w:tcBorders>
          </w:tcPr>
          <w:p>
            <w:pPr>
              <w:spacing w:after="0"/>
              <w:rPr>
                <w:sz w:val="20"/>
                <w:szCs w:val="20"/>
                <w:color w:val="auto"/>
              </w:rPr>
            </w:pPr>
          </w:p>
        </w:tc>
      </w:tr>
      <w:tr>
        <w:trPr>
          <w:trHeight w:val="23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173.4</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0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60.7</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SG&amp;A costs</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102.7</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286.6</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253.2</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4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SG&amp;A as a % of net sales</w:t>
            </w:r>
          </w:p>
        </w:tc>
        <w:tc>
          <w:tcPr>
            <w:tcW w:w="10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Consolidated SG&amp;A costs increased by $19.2 million, or 23.0%, for the three months ended September 30, 2025, as compared to the same period in 2024, including an unfavorable foreign currency translation impact of $1.2 million, due primarily to higher annual incentive compensation, increased salary and wages and increased expense related to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Consolidated SG&amp;A costs increased by $33.4 million, or 13.2%, for the nine months ended September 30, 2025, as compared to the same period in 2024, including an unfavorable foreign currency translation impact of $1.3 million, due primarily to higher annual incentive compensation and increased salary and wages, partially offset by decreased costs related to professional services.</w:t>
      </w:r>
    </w:p>
    <w:p>
      <w:pPr>
        <w:spacing w:after="0" w:line="6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SG&amp;A costs increased by $9.0 million, or 15.9%, for the three months ended September 30, 2025,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2024, including an unfavorable foreign currency translation impact of $1.1 million. Proprietary Products SG&amp;A costs increased due primarily to higher annual incentive compensation and increased salary and wages, partially offset by decreased costs related to professional services.</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Proprietary Products SG&amp;A costs increased by $14.0 million, or 8.1%, for the nine months ended September 30, 2025, as compared to the same period in 2024, including an unfavorable foreign currency translation impact of $1.1 million. Proprietary Products SG&amp;A costs increased due primarily to higher annual incentive compensation and increased salary and wages, partially offset by decreased costs related to professional services.</w:t>
      </w:r>
    </w:p>
    <w:p>
      <w:pPr>
        <w:spacing w:after="0" w:line="6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SG&amp;A costs increased by $0.8 million, or 11.9%,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2025, as compared to the same period in 2024, including an unfavorable foreign currency translation impact of $0.1 million, due primarily to higher annual incentive compensation and increased salary and wages.</w:t>
      </w:r>
    </w:p>
    <w:p>
      <w:pPr>
        <w:spacing w:after="0" w:line="6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Contract-Manufactured Products SG&amp;A costs increased by $3.0 million, or 15.7%, for the nine months ended September 30, 2025, as compared to the same period in 2024, including an unfavorable foreign currency translation impact of $0.2 million, due primarily to increased salary and wages and higher annual incentive compensation.</w:t>
      </w:r>
    </w:p>
    <w:p>
      <w:pPr>
        <w:spacing w:after="0" w:line="6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Corporate and unallocated items - </w:t>
      </w:r>
      <w:r>
        <w:rPr>
          <w:rFonts w:ascii="Times New Roman" w:cs="Times New Roman" w:eastAsia="Times New Roman" w:hAnsi="Times New Roman"/>
          <w:sz w:val="18"/>
          <w:szCs w:val="18"/>
          <w:color w:val="auto"/>
        </w:rPr>
        <w:t>Corporate SG&amp;A costs increased by $9.4 million, or 46.5%, for the three months ended September 30, 2025,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2024, due primarily to an increase in expense related to stock-based compensation, higher annual incentive compensation and increased salary and wages.</w:t>
      </w:r>
    </w:p>
    <w:p>
      <w:pPr>
        <w:spacing w:after="0" w:line="6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Corporate SG&amp;A costs increased by $16.4 million, or 27.0%, for the nine months ended September 30, 2025, as compared to the same period in 2024, due primarily to expenses in connection with a plan to optimize the legal structure of the Company and its subsidiaries, higher annual incentive compensation, increased expense related to stock-based compensation and increased costs related to professional services.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and expense items, consolidated and by reportable segment, corporate and unallocated items: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274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Nine Months Ended</w:t>
            </w:r>
          </w:p>
        </w:tc>
        <w:tc>
          <w:tcPr>
            <w:tcW w:w="500" w:type="dxa"/>
            <w:vAlign w:val="bottom"/>
          </w:tcPr>
          <w:p>
            <w:pPr>
              <w:spacing w:after="0"/>
              <w:rPr>
                <w:sz w:val="18"/>
                <w:szCs w:val="18"/>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(Income)</w:t>
            </w:r>
          </w:p>
        </w:tc>
        <w:tc>
          <w:tcPr>
            <w:tcW w:w="10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500" w:type="dxa"/>
            <w:vAlign w:val="bottom"/>
            <w:tcBorders>
              <w:bottom w:val="single" w:sz="8" w:color="auto"/>
            </w:tcBorders>
          </w:tcPr>
          <w:p>
            <w:pPr>
              <w:spacing w:after="0"/>
              <w:rPr>
                <w:sz w:val="21"/>
                <w:szCs w:val="21"/>
                <w:color w:val="auto"/>
              </w:rPr>
            </w:pPr>
          </w:p>
        </w:tc>
      </w:tr>
      <w:tr>
        <w:trPr>
          <w:trHeight w:val="22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Borders>
              <w:bottom w:val="single" w:sz="8" w:color="auto"/>
            </w:tcBorders>
          </w:tcPr>
          <w:p>
            <w:pPr>
              <w:spacing w:after="0"/>
              <w:rPr>
                <w:sz w:val="19"/>
                <w:szCs w:val="19"/>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5.4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other expense (income)</w:t>
            </w: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Other expense and income items consist of restructuring and related charges, foreign exchange transaction gains and losses, contingent consideration, asset impairments and miscellaneous income and charges.</w:t>
      </w:r>
    </w:p>
    <w:p>
      <w:pPr>
        <w:spacing w:after="0" w:line="54"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Consolidated other expense (income) changed by $2.5 million for the three months ended September 30, 2025, as compared to the same period in 2024, and changed by $21.9 million for the nine months ended September 30, 2025, as compared to the same period in 2024, due to the factors described below.</w:t>
      </w:r>
    </w:p>
    <w:p>
      <w:pPr>
        <w:spacing w:after="0" w:line="2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other expense (income) changed by $0.7 million for the three months ended September 30, 2025,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2024, due primarily to increased contingent consideration expense being recorded in the three months ended September 30, 2025, as compared to the same period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Proprietary Products other expense (income) changed by $4.8 million for the nine months ended September 30, 2025, as compared to the same period in 2024, due primarily to increased contingent consideration expense being recorded in the nine months ended September 30, 2025, as compared to the same period in 2024.</w:t>
      </w:r>
    </w:p>
    <w:p>
      <w:pPr>
        <w:spacing w:after="0" w:line="6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other expense (income) remained flat in the three months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as compared to the same period in 2024.</w:t>
      </w:r>
    </w:p>
    <w:p>
      <w:pPr>
        <w:spacing w:after="0" w:line="5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Contract-Manufactured Products other expense (income) changed by $2.0 million for the nine months ended September 30, 2025, as compared to the same period in 2024, due primarily to increased foreign exchange losses in the nine months ended September 30, 2025, as compared to the same period in 2024.</w:t>
      </w:r>
    </w:p>
    <w:p>
      <w:pPr>
        <w:spacing w:after="0" w:line="5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Corporate and unallocated items - </w:t>
      </w:r>
      <w:r>
        <w:rPr>
          <w:rFonts w:ascii="Times New Roman" w:cs="Times New Roman" w:eastAsia="Times New Roman" w:hAnsi="Times New Roman"/>
          <w:sz w:val="18"/>
          <w:szCs w:val="18"/>
          <w:color w:val="auto"/>
        </w:rPr>
        <w:t>Corporate and unallocated items changed by $1.8 million for the three months ended September 30, 2025,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2024, due primarily to the Company recording expense of $0.9 million to related to restructuring and other charges during the three months ended September 30, 2025, as compared to a net benefit of $2.5 million during the same period in 2024.</w:t>
      </w:r>
    </w:p>
    <w:p>
      <w:pPr>
        <w:spacing w:after="0" w:line="6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Corporate and unallocated items changed by $15.1 million for the nine months ended September 30, 2025, as compared to the same period in 2024, due primarily to the Company recording expense of $17.5 million related to restructuring and other charges in the nine months ended September 30, 2025, as compared to a net benefit of $2.5 million during the same period in 2024.</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presents adjusted operating profit, consolidated and by reportable segment, corporate and unallocated items:</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gridSpan w:val="5"/>
          </w:tcPr>
          <w:p>
            <w:pPr>
              <w:ind w:left="54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Pr>
          <w:p>
            <w:pPr>
              <w:spacing w:after="0"/>
              <w:rPr>
                <w:sz w:val="17"/>
                <w:szCs w:val="17"/>
                <w:color w:val="auto"/>
              </w:rPr>
            </w:pPr>
          </w:p>
        </w:tc>
        <w:tc>
          <w:tcPr>
            <w:tcW w:w="2980" w:type="dxa"/>
            <w:vAlign w:val="bottom"/>
            <w:gridSpan w:val="4"/>
          </w:tcPr>
          <w:p>
            <w:pPr>
              <w:jc w:val="right"/>
              <w:ind w:right="87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467.5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415.5</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operating profit</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428.3</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410.3</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operating profit margin</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2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consolidated operating profit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450.4</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410.0</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consolidated operating profit margin</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21.1 %</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19.8 %</w:t>
            </w: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Consolidated operating profit increased by $6.3 million, or 3.9%, for the three months ended September 30, 2025, as compared to the same period in 2024, including a favorable foreign currency translation impact of $7.3 million for the three months ended September 30, 2025, as compared to the same period in 2024.</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Consolidated operating profit increased by $18.0 million, or 4.4%, for the nine months ended September 30, 2025, as compared to the same period in 2024, including a favorable foreign currency translation impact of $10.5 million for the nine months ended September 30, 2025, as compared to the same period in 2024.</w:t>
      </w:r>
    </w:p>
    <w:p>
      <w:pPr>
        <w:spacing w:after="0" w:line="64"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operating profit increased by $17.0 million, or 10.7%, for the three months ended September 30, 2025,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2024, including a favorable foreign currency translation impact of $6.6 million, due to the factors described above, most notably higher plant absorption from increased customer demand and sales price increases.</w:t>
      </w:r>
    </w:p>
    <w:p>
      <w:pPr>
        <w:spacing w:after="0" w:line="6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Proprietary Products operating profit increased by $52.0 million, or 12.5%, for the nine months ended September 30, 2025, as compared to the same period in 2024, including a favorable foreign currency translation impact of $9.6 million, due to the factors described above, most notably higher plant absorption from increased customer demand and sales price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operating profit increased by $0.5 million, or 2.3%,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2025, as compared to the same period in 2024, including a favorable foreign currency translation impact of $0.7 million, due to the factors described above.</w:t>
      </w:r>
    </w:p>
    <w:p>
      <w:pPr>
        <w:spacing w:after="0" w:line="6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Contract-Manufactured Products operating profit decreased by $2.5 million, or 4.5%, for the nine months ended September 30, 2025, as compared to the same period in 2024, including a favorable foreign currency translation impact of $0.9 million, due to the factors described above, most notably increased salary and wages.</w:t>
      </w:r>
    </w:p>
    <w:p>
      <w:pPr>
        <w:spacing w:after="0" w:line="64"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Corporate and unallocated - </w:t>
      </w:r>
      <w:r>
        <w:rPr>
          <w:rFonts w:ascii="Times New Roman" w:cs="Times New Roman" w:eastAsia="Times New Roman" w:hAnsi="Times New Roman"/>
          <w:sz w:val="18"/>
          <w:szCs w:val="18"/>
          <w:color w:val="auto"/>
        </w:rPr>
        <w:t>Excluding the unallocated items, Corporate costs increased by $8.0 million, or 41.2%,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2025, as compared to the same period in 2024, due to the factors described above, most notably the increase in expense related to stock-based compensation.</w:t>
      </w:r>
    </w:p>
    <w:p>
      <w:pPr>
        <w:spacing w:after="0" w:line="6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Excluding the unallocated items, Corporate costs increased by $9.1 million, or 14.8%, for the nine months ended September 30, 2025, as compared to the same period in 2024, due to the factors described above, most notably the higher annual incentive compensation.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unallocated items, please refer to the Financial Performance Summary section above for details.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 and Interest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interest expense, net, by significant component: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272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47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740" w:type="dxa"/>
            <w:vAlign w:val="bottom"/>
            <w:tcBorders>
              <w:bottom w:val="single" w:sz="8" w:color="CCEEFF"/>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expense, net, decreased by $0.5 million, for the three months ended September 30, 2025, as compared to the same period in 2024, due primarily to a decline in interest rates in 2025, as compared to the same periods in 2024. Interest expense, net, decreased by $3.1 million, for the nine months ended September 30, 2025, as compared to the same period in 2024, due primarily to an increase in capitalized interest.</w:t>
      </w:r>
    </w:p>
    <w:p>
      <w:pPr>
        <w:spacing w:after="0" w:line="6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Interest income increased by $0.1 million for the three months ended September 30, 2025, as compared to the same period in 2024. Interest income decreased by $2.4 million for the nine months ended September 30, 2025, as compared to the same period in 2024, due primarily to a decline in interest rates in 2025, as compared to the same periods in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Nonoperating Expense (Income)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Other nonoperating expense (income) was $0.2 million and $0.7 million for the three months ended September 30, 2025 and 2024, respectively, and $0.6 million and $0.7 million for the nine months ended September 30, 2025 and 2024,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provision for income taxes was $34.0 million and $32.4 million for the three months ended September 30, 2025 and 2024, respectively, and the effective tax rate was 19.8% and 19.7%, respectively.</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provision for income taxes was $88.3 million and $70.7 million for the nine months ended September 30, 2025 and 2024, respectively, and the effective tax rate was 20.1% and 16.8%, respectively. The increase in the effective tax rate is due primarily to a decrease in the tax benefit related to stock-based compensation in the nine months ended September 30, 2025 as compared to the same period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 Net Income of Affiliated Companies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Equity in net income of affiliated companies was $2.1 million and $3.9 million for the three months ended September 30, 2025 and 2024, respectively. Equity in net income of affiliated companies decreased by $1.8 million for the three months ended September 30, 2025, as compared to the same period in 2024, due primarily to less favorable operating results at Daikyo and the Mexico affiliates.</w:t>
      </w:r>
    </w:p>
    <w:p>
      <w:pPr>
        <w:spacing w:after="0" w:line="6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Equity in net income of affiliated companies was $10.5 million and $12.7 million for the nine months ended September 30, 2025 and 2024, respectively. Equity in net income of affiliated companies decreased by $2.2 million for the nine months ended September 30, 2025, as compared to the same period in 2024, due primarily to less favorable operating results at Daikyo, partially offset by more favorable operating results at the Mexico affiliates.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24"/>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2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cash flow data for the nine months ended September 30:</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463.3</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(273.9)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(553.7)</w:t>
            </w:r>
          </w:p>
        </w:tc>
      </w:tr>
    </w:tbl>
    <w:p>
      <w:pPr>
        <w:spacing w:after="0" w:line="180"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 </w:t>
      </w:r>
      <w:r>
        <w:rPr>
          <w:rFonts w:ascii="Times New Roman" w:cs="Times New Roman" w:eastAsia="Times New Roman" w:hAnsi="Times New Roman"/>
          <w:sz w:val="18"/>
          <w:szCs w:val="18"/>
          <w:color w:val="auto"/>
        </w:rPr>
        <w:t>Net cash provided by operating activities increased by $40.4 million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2025, as compared to the same period in 2024, due primarily to favorable working capital management.</w:t>
      </w:r>
    </w:p>
    <w:p>
      <w:pPr>
        <w:spacing w:after="0" w:line="4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Used in Investing Activities – </w:t>
      </w:r>
      <w:r>
        <w:rPr>
          <w:rFonts w:ascii="Times New Roman" w:cs="Times New Roman" w:eastAsia="Times New Roman" w:hAnsi="Times New Roman"/>
          <w:sz w:val="18"/>
          <w:szCs w:val="18"/>
          <w:color w:val="auto"/>
        </w:rPr>
        <w:t>Net cash used in investing activities decreased by $64.1 million for the nine months ended September 30,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compared to the same period in 2024, due primarily to a decrease in capital expenditures.</w:t>
      </w:r>
    </w:p>
    <w:p>
      <w:pPr>
        <w:spacing w:after="0" w:line="4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Used in Financing Activities – </w:t>
      </w:r>
      <w:r>
        <w:rPr>
          <w:rFonts w:ascii="Times New Roman" w:cs="Times New Roman" w:eastAsia="Times New Roman" w:hAnsi="Times New Roman"/>
          <w:sz w:val="18"/>
          <w:szCs w:val="18"/>
          <w:color w:val="auto"/>
        </w:rPr>
        <w:t>Net cash used in financing activities decreased by $380.3 million for the nine months ended September 30,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compared to the same period in 2024, due primarily to a decrease in purchases under our share repurchase programs.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2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selected liquidity and capital measures: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8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7"/>
                <w:szCs w:val="17"/>
                <w:color w:val="auto"/>
              </w:rPr>
            </w:pPr>
          </w:p>
        </w:tc>
        <w:tc>
          <w:tcPr>
            <w:tcW w:w="1380" w:type="dxa"/>
            <w:vAlign w:val="bottom"/>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2,682.3</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987.7</w:t>
            </w:r>
          </w:p>
        </w:tc>
      </w:tr>
    </w:tbl>
    <w:p>
      <w:pPr>
        <w:spacing w:after="0" w:line="1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all instruments that have maturities of ninety days or less when purchased. Working capital is defined as current assets less current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Cash and cash equivalents – </w:t>
      </w:r>
      <w:r>
        <w:rPr>
          <w:rFonts w:ascii="Times New Roman" w:cs="Times New Roman" w:eastAsia="Times New Roman" w:hAnsi="Times New Roman"/>
          <w:sz w:val="18"/>
          <w:szCs w:val="18"/>
          <w:color w:val="auto"/>
        </w:rPr>
        <w:t>Our cash and cash equivalents balance at September 30, 2025 consisted of cash held in depository accounts with banks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around the world and cash invested in high-quality, short-term investments. The cash and cash equivalents balance at September 30, 2025 included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$96.6 million of cash held by subsidiaries within the U.S., and $531.9 million of cash held by subsidiaries outside of the U.S. During the nine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2025, we purchased 552,593 shares of our common stock under the share repurchase program at a cost of $134.0 million, 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price of $242.55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Working capital – </w:t>
      </w:r>
      <w:r>
        <w:rPr>
          <w:rFonts w:ascii="Times New Roman" w:cs="Times New Roman" w:eastAsia="Times New Roman" w:hAnsi="Times New Roman"/>
          <w:sz w:val="18"/>
          <w:szCs w:val="18"/>
          <w:color w:val="auto"/>
        </w:rPr>
        <w:t>Working capital at September 30, 2025 increased by $200.2 million, or 20.3%, as compared to December 31, 2024, which includes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favorable foreign currency translation impact of $48.8 million. Excluding the impact of currency exchange rates, cash and cash equivalents, total current liabilities, accounts receivable and inventories increased by $118.8 million, $53.9 million, $43.4 million and $36.4 million, respectively.</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increase in cash and cash equivalents was due to cash from operations, partially offset by share repurchases and capital expenditures during the nine months ended September 30, 2025. The increase in total current liabilities was driven by increases in our annual incentives and short-term hedge liabilities. The increase in accounts receivable was due to increased net sales leading up to the September 30, 2025 balance sheet date as compared to the December 31, 2024 balance sheet date. The increase in inventories was to ensure we have sufficient inventory on hand to support the needs of our customers.</w:t>
      </w:r>
    </w:p>
    <w:p>
      <w:pPr>
        <w:spacing w:after="0" w:line="71"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Debt and credit facilities – </w:t>
      </w:r>
      <w:r>
        <w:rPr>
          <w:rFonts w:ascii="Times New Roman" w:cs="Times New Roman" w:eastAsia="Times New Roman" w:hAnsi="Times New Roman"/>
          <w:sz w:val="18"/>
          <w:szCs w:val="18"/>
          <w:color w:val="auto"/>
        </w:rPr>
        <w:t>The total debt balance of $202.7 million at September 30, 2025 increased $0.1 million from the total debt balance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2024.</w:t>
      </w:r>
    </w:p>
    <w:p>
      <w:pPr>
        <w:spacing w:after="0" w:line="51"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Our sources of liquidity include our multi-currency revolving credit facility. At September 30, 2025, we had no outstanding borrowings under the multi-currency revolving credit facility. At September 30, 2025, the borrowing capacity available under the multi-currency revolving credit facility, including outstanding letters of credit of $2.3 million, was $497.7 million. We do not expect any significant limitations on our ability to access this source of funds.</w:t>
      </w:r>
    </w:p>
    <w:p>
      <w:pPr>
        <w:spacing w:after="0" w:line="5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Pursuant to the financial covenants in our debt agreements, we are required to maintain established interest coverage ratios and not to exceed established leverage ratios. In addition, the agreements contain other customary covenants, none of which we consider restrictive to our operations. At September 30, 2025, we were in compliance with all of our debt covenants.</w:t>
      </w:r>
    </w:p>
    <w:p>
      <w:pPr>
        <w:spacing w:after="0" w:line="6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generated from operations, together with availability under our multi-currency revolving credit facility, will be adequate to address our foreseeable liquidity needs based on our current expectations of our business operations, capital expenditures and scheduled payments of debt obligations.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summary of future material cash payments resulting from commitments and contractual obligations was provided in our 2024 Annual Report. During the three months ended September 30, 2025, there were no material changes outside of the ordinary course of business to our commitments and contractual obligations.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September 30, 2025, we had no off-balance sheet financing arrangements other than unconditional purchase obligations incurred in the ordinary course of business and outstanding letters of credit related to various insurance programs, as noted in our 2024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to the Critical Accounting Policies and Estimates disclosed in Part II, Item 7 of our 2024 Annual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information on new accounting standards see Note 2, </w:t>
      </w:r>
      <w:r>
        <w:rPr>
          <w:rFonts w:ascii="Times New Roman" w:cs="Times New Roman" w:eastAsia="Times New Roman" w:hAnsi="Times New Roman"/>
          <w:sz w:val="18"/>
          <w:szCs w:val="18"/>
          <w:i w:val="1"/>
          <w:iCs w:val="1"/>
          <w:u w:val="single" w:color="auto"/>
          <w:color w:val="0000FF"/>
        </w:rPr>
        <w:t>New Accounting Standards</w:t>
      </w:r>
      <w:r>
        <w:rPr>
          <w:rFonts w:ascii="Times New Roman" w:cs="Times New Roman" w:eastAsia="Times New Roman" w:hAnsi="Times New Roman"/>
          <w:sz w:val="18"/>
          <w:szCs w:val="18"/>
          <w:color w:val="auto"/>
        </w:rPr>
        <w:t>, within Item 1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disclosure and analysis in this Form 10-Q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provide our current expectations or forecasts of future events. They do not relate strictly to historical or current facts. We have attempted, wherever possible, to identify forward-looking statements by using words such as “plan,” “expect,” “believe,” “intend,” “will,” “estimate,” “continue” and other words of similar meaning in conjunction with, among other things, discussions of future operations and financial performance, as well as our strategy for growth, product development, market position and expenditures. All statements that address operating performance or events or developments that we expect or anticipate will occur in the future - including statements relating to sales and earnings per share growth, cash flows or uses, and statements expressing views about future operating results - are forward-looking statements.</w:t>
      </w:r>
    </w:p>
    <w:p>
      <w:pPr>
        <w:spacing w:after="0" w:line="8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of future events. The forward-looking statements are, and will be, based on management’s then-current views and assumptions regarding future events and operating performance, and speak only as of their dates. Investors should realize that, if underlying assumptions prove inaccurate or unknown risks or uncertainties materialize, actual results could vary materially from our expectations and projections. Investors are therefore cautioned not to place undue reliance on any forward-looking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some important factors that could cause our actual results to differ from our expectations in any forward-looking statements:</w:t>
      </w:r>
    </w:p>
    <w:p>
      <w:pPr>
        <w:spacing w:after="0" w:line="117"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demand and our ability to meet that demand;</w:t>
      </w:r>
    </w:p>
    <w:p>
      <w:pPr>
        <w:spacing w:after="0" w:line="117"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providers in our businesses, including customers’ in-house operations, and from lower-cost producers in emerging markets, which can impact unit volume, price and profitability;</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changing inventory requirements and manufacturing plans that alter existing orders or ordering patterns for the products we supply to them;</w:t>
      </w:r>
    </w:p>
    <w:p>
      <w:pPr>
        <w:spacing w:after="0" w:line="53"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weaknesses in our supply chain, including from reasons beyond our control such as extreme weather, longer-term climate changes, natural disasters, pandemic, war, accidental damage, or unauthorized access to our or our customers’ information and systems, which could cause delivery delays or restrict the availability of raw materials, key purchased components and finished products;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regulatory approval and commercial success of customer products that incorporate our products and systems;</w:t>
      </w:r>
    </w:p>
    <w:p>
      <w:pPr>
        <w:spacing w:after="0" w:line="117"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customers agree to incorporate our products and delivery systems with their new and existing drug products, the ultimate timing and successful commercialization of those products and systems, which involves substantial evaluations of the functional, operational, clinical and economic viability of our products, and the rate, timing and success of regulatory approval for the drug products that incorporate our components and systems;</w:t>
      </w:r>
    </w:p>
    <w:p>
      <w:pPr>
        <w:spacing w:after="0" w:line="71"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and adequate availability of filling capacity, which is essential to conducting definitive stability trials and the timing of first commercialization of customers’ products in Crystal Zenith prefilled syringes;</w:t>
      </w:r>
    </w:p>
    <w:p>
      <w:pPr>
        <w:spacing w:after="0" w:line="53"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 or mix, of the products sold in any reporting period, including lower-than-expected sales growth of our high-value proprietary product offerings;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or improving production efficiencies and overhead absorption;</w:t>
      </w:r>
    </w:p>
    <w:p>
      <w:pPr>
        <w:spacing w:after="0" w:line="117"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suppliers and partners, some of which are single-source suppliers of critical materials and products, including our Japanese partner and affiliate, Daikyo;</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or highly-skilled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80" w:right="72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skilled employees required to meet increased production, managerial, research and other needs, including professional employees and persons employed under collective bargaining agreements;</w:t>
      </w:r>
    </w:p>
    <w:p>
      <w:pPr>
        <w:spacing w:after="0" w:line="53"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and timely implementation of price increases necessary to offset rising production costs, including raw material prices, particularly petroleum-based raw materials;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progress of development, regulatory approval and marketing of new products;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licenses in any jurisdiction in which we do business;</w:t>
      </w:r>
    </w:p>
    <w:p>
      <w:pPr>
        <w:spacing w:after="0" w:line="117"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strength of USD in relation to other currencies, particularly the Euro, SGD, the Danish Krone, Yen, Colombian Peso, Brazilian Real, and the South Korean Won;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effects of global healthcare legislation on customer demand, product pricing and profitability.</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list sets forth many, but not all, of the factors that could affect our ability to achieve results described in any forward-looking statements. Investors should understand that it is not possible to predict or identify all of the factors and should not consider this list to be a complete statement of all potential risks and uncertainties. For further discussion of these and other factors, see the risk factors disclosed in Part I, Item 1A of our 2024 Annual Report as well as Part II, section 1A of this quarterly report.</w:t>
      </w:r>
    </w:p>
    <w:p>
      <w:pPr>
        <w:spacing w:after="0" w:line="7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Except as required by law or regulation, we undertake no obligation to publicly update any forward-looking statements, whether as a result of new information, future events or otherwise.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our exposure to market risk or the information provided in Part II, Item 7A of our 2024 Annual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CONTROLS AND PROCEDURES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Disclosure controls are controls and procedures designed to reasonably ensure that information required to be disclosed in our reports filed under the Exchange Act, such as this quarterly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Chief Executive Officer (“CEO”) and Chief Financial Officer (“CFO”), or persons performing similar functions, as appropriate, to allow timely decisions regarding required disclosure.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quarterly report on Form 10-Q. Based on this evaluation, our CEO and CFO have concluded that, as of September 30, 2025, our disclosure controls and procedures are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2025, there have been no changes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From time to time, we are involved in various proceedings, lawsuits, disputes and claims arising in the ordinary course of the Company’s business, whether that be matters involving commercial operations, product liability, intellectual property or employment actions, including class action lawsuits. We accrue for loss contingencies when it is probable that a liability has been incurred and the amount of the loss can be reasonably estimated based on circumstances and assumptions existing at the time. Unless otherwise disclosed below, while the outcome of such claims cannot be predicted with certainty, we believe their ultimate resolution is not expected to have a material adverse effect on our business, financial condition, results of operations or liquidity. However, if an unfavorable ruling were to occur in any specific case, a material impact on the results of operations could be possible for that period.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11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May 5, 2025, New England Teamsters Pension Fund filed a class action against us and certain of our current and former officers in the United States District Court for the Eastern District of Pennsylvania, purportedly on behalf of a class of the Company’s investors who purchased or otherwise acquired the Company’s common stock between February 16, 2023 and February 12, 2025. On July 23, 2025, the court appointed lead plaintiffs in the action. On October 15, 2025, the lead plaintiffs filed an amended complaint. The complaint alleges violations of Sections 10(b), 20(a) and 20A of the Securities Exchange Act of 1934 and Rule 10b-5 promulgated thereunder in connection with 1) various public statements made by the Company and certain current and former officers regarding its business, operations and prospects and 2) certain current and former officers' transactions in the Company's stock. The action seeks unspecified damages, costs and expenses, including attorneys’ fees. The defendants intend to vigorously defend against such allegations. Given the nature of the case, including that the proceedings are in their early stages, the Company is unable to predict the ultimate outcome of the case or estimate the range of potential loss, if any.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changes to the risk factors disclosed in Part I, Item 1A of our 2024 Annual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there were no purchases of our common stock made by us or any of our “affiliated purchasers” as defined in Rule 10b-18(a)(3) under the Exchange Act.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no director or officer (as defined in Rule 16a-1(f) promulgated under the Exchange Act) of the Company adopted or terminated any Rule 10b5-1 trading arrangement or any non-Rule 10b5-1 trading arrangement (as such terms are defined in Item 408 of Regulation S-K) during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55"/>
        </w:trPr>
        <w:tc>
          <w:tcPr>
            <w:tcW w:w="5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6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120" w:type="dxa"/>
            <w:vAlign w:val="bottom"/>
            <w:gridSpan w:val="1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120" w:type="dxa"/>
            <w:vAlign w:val="bottom"/>
            <w:gridSpan w:val="16"/>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Our Amended and Restated Articles of Incorporation, effective May 6, 2025 (incorporated by reference to Exhibit 5.7 to the Company's</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Form 8-K, filed May 8, 2025).</w:t>
              </w:r>
            </w:hyperlink>
          </w:p>
        </w:tc>
        <w:tc>
          <w:tcPr>
            <w:tcW w:w="7580" w:type="dxa"/>
            <w:vAlign w:val="bottom"/>
            <w:tcBorders>
              <w:top w:val="single" w:sz="8" w:color="0000FF"/>
            </w:tcBorders>
            <w:gridSpan w:val="9"/>
          </w:tcPr>
          <w:p>
            <w:pPr>
              <w:spacing w:after="0"/>
              <w:rPr>
                <w:sz w:val="17"/>
                <w:szCs w:val="17"/>
                <w:color w:val="auto"/>
              </w:rPr>
            </w:pPr>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120" w:type="dxa"/>
            <w:vAlign w:val="bottom"/>
            <w:gridSpan w:val="16"/>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Our Amended and Restated Bylaws, effective October 23, 2023 (incorporated by reference to Exhibit 3.2 to the Company's Form 10-Q</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30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report for the quarter ended September 30, 2023, filed October 26, 2023).</w:t>
              </w:r>
            </w:hyperlink>
          </w:p>
        </w:tc>
        <w:tc>
          <w:tcPr>
            <w:tcW w:w="4420" w:type="dxa"/>
            <w:vAlign w:val="bottom"/>
            <w:tcBorders>
              <w:top w:val="single" w:sz="8" w:color="0000FF"/>
            </w:tcBorders>
            <w:gridSpan w:val="5"/>
          </w:tcPr>
          <w:p>
            <w:pPr>
              <w:spacing w:after="0"/>
              <w:rPr>
                <w:sz w:val="17"/>
                <w:szCs w:val="17"/>
                <w:color w:val="auto"/>
              </w:rPr>
            </w:pPr>
          </w:p>
        </w:tc>
        <w:tc>
          <w:tcPr>
            <w:tcW w:w="4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120" w:type="dxa"/>
            <w:vAlign w:val="bottom"/>
            <w:gridSpan w:val="16"/>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Form of stock certificate for common stock (incorporated by reference to Exhibit 4 to the Company's Form 10-K for the year ended</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0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December 31, 1998, filed May 6, 1999).</w:t>
              </w:r>
            </w:hyperlink>
          </w:p>
        </w:tc>
        <w:tc>
          <w:tcPr>
            <w:tcW w:w="6560" w:type="dxa"/>
            <w:vAlign w:val="bottom"/>
            <w:tcBorders>
              <w:top w:val="single" w:sz="8" w:color="0000FF"/>
            </w:tcBorders>
            <w:gridSpan w:val="6"/>
          </w:tcPr>
          <w:p>
            <w:pPr>
              <w:spacing w:after="0"/>
              <w:rPr>
                <w:sz w:val="17"/>
                <w:szCs w:val="17"/>
                <w:color w:val="auto"/>
              </w:rPr>
            </w:pPr>
          </w:p>
        </w:tc>
        <w:tc>
          <w:tcPr>
            <w:tcW w:w="6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9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Articles 5, 8(c) and 9 of our Amended and Restated Articles of Incorporation, effective May 6, 2025 (incorporated by reference to Exhibit</w:t>
              </w:r>
            </w:hyperlink>
          </w:p>
        </w:tc>
        <w:tc>
          <w:tcPr>
            <w:tcW w:w="1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0000FF"/>
                </w:rPr>
                <w:t xml:space="preserve"> to the Company's Form 8-K, filed May 8, 2025).</w:t>
              </w:r>
            </w:hyperlink>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1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Articles I and IV of our Bylaws, as amended through October 23, 2023 (incorporated by reference to Exhibit 3.2 to the Company's Form 10-</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20" w:type="dxa"/>
            <w:vAlign w:val="bottom"/>
            <w:gridSpan w:val="16"/>
          </w:tcPr>
          <w:p>
            <w:pPr>
              <w:spacing w:after="0" w:line="19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Q report for the quarter ended September 30, 2023, filed October 26, 2023).</w:t>
              </w:r>
            </w:hyperlink>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23"/>
                <w:szCs w:val="23"/>
                <w:color w:val="auto"/>
                <w:vertAlign w:val="superscript"/>
              </w:rPr>
              <w:t>(1)</w:t>
            </w: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560" w:type="dxa"/>
            <w:vAlign w:val="bottom"/>
            <w:gridSpan w:val="5"/>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8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1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Instruments defining the rights of holders of long-term debt securities of West and its subsidiaries have been omitted.</w:t>
            </w:r>
          </w:p>
        </w:tc>
        <w:tc>
          <w:tcPr>
            <w:tcW w:w="0" w:type="dxa"/>
            <w:vAlign w:val="bottom"/>
          </w:tcPr>
          <w:p>
            <w:pPr>
              <w:spacing w:after="0"/>
              <w:rPr>
                <w:sz w:val="1"/>
                <w:szCs w:val="1"/>
                <w:color w:val="auto"/>
              </w:rPr>
            </w:pPr>
          </w:p>
        </w:tc>
      </w:t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5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by the Chief Executive Officer Pursuant to Section 302 of the Sarbanes-Oxley Act of 2002.</w:t>
            </w:r>
          </w:p>
        </w:tc>
        <w:tc>
          <w:tcPr>
            <w:tcW w:w="258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1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by the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580" w:type="dxa"/>
            <w:vAlign w:val="bottom"/>
            <w:gridSpan w:val="6"/>
            <w:shd w:val="clear" w:color="auto" w:fill="0000FF"/>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1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140" w:type="dxa"/>
            <w:vAlign w:val="bottom"/>
            <w:gridSpan w:val="1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by the Chief Financial Officer Pursuant to 18 U.S.C. Section 1350, as Adopted Pursuant to Section 906 of the Sarbanes-Oxley</w:t>
            </w:r>
          </w:p>
        </w:tc>
        <w:tc>
          <w:tcPr>
            <w:tcW w:w="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60" w:type="dxa"/>
            <w:vAlign w:val="bottom"/>
            <w:gridSpan w:val="3"/>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2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30"/>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1080" w:hanging="1054"/>
        <w:spacing w:after="0"/>
        <w:tabs>
          <w:tab w:leader="none" w:pos="10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 Document Set.</w:t>
      </w:r>
    </w:p>
    <w:p>
      <w:pPr>
        <w:spacing w:after="0" w:line="355" w:lineRule="exact"/>
        <w:rPr>
          <w:rFonts w:ascii="Times New Roman" w:cs="Times New Roman" w:eastAsia="Times New Roman" w:hAnsi="Times New Roman"/>
          <w:sz w:val="18"/>
          <w:szCs w:val="18"/>
          <w:color w:val="auto"/>
        </w:rPr>
      </w:pPr>
    </w:p>
    <w:p>
      <w:pPr>
        <w:ind w:right="20" w:firstLine="8"/>
        <w:spacing w:after="0" w:line="540" w:lineRule="auto"/>
        <w:tabs>
          <w:tab w:leader="none" w:pos="181"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agree to furnish to the SEC, upon request, a copy of each instrument with respect to issuances of long-term debt of the Company and its subsidiaries. *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-851535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West Pharmaceutical Services, Inc.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PHARMACEUTICAL SERVICES,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/s/ Robert W. McMahon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 McMahon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880"/>
          </w:cols>
          <w:pgMar w:left="320" w:top="124" w:right="6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M. Green, certify that:</w:t>
      </w:r>
    </w:p>
    <w:p>
      <w:pPr>
        <w:spacing w:after="0" w:line="17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 Pharmaceutical Services,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Eric M. Green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M.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 Chair of the Board of Directors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2025</w:t>
      </w:r>
    </w:p>
    <w:p>
      <w:pPr>
        <w:sectPr>
          <w:pgSz w:w="11900" w:h="16838" w:orient="portrait"/>
          <w:cols w:equalWidth="0" w:num="1">
            <w:col w:w="11240"/>
          </w:cols>
          <w:pgMar w:left="320" w:top="141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McMahon, certify that:</w:t>
      </w:r>
    </w:p>
    <w:p>
      <w:pPr>
        <w:spacing w:after="0" w:line="17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 Pharmaceutical Services,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Robert W. McMahon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 McMahon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2025</w:t>
      </w:r>
    </w:p>
    <w:p>
      <w:pPr>
        <w:sectPr>
          <w:pgSz w:w="11900" w:h="16838" w:orient="portrait"/>
          <w:cols w:equalWidth="0" w:num="1">
            <w:col w:w="11240"/>
          </w:cols>
          <w:pgMar w:left="320" w:top="141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West Pharmaceutical Services, Inc. (the “Company”) for the period ended September 30, 2025, as filed with the Securities and Exchange Commission on the date hereof (the “Report”), I, Eric M. Green, President and Chief Executive Officer, Chair of the Board of Directors of the Company, certify, pursuant to 18 U.S.C. Section 1350, as adopted pursuant to Section 906 of the Sarbanes-Oxley Act of 2002, that:</w:t>
      </w:r>
    </w:p>
    <w:p>
      <w:pPr>
        <w:spacing w:after="0" w:line="72"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Eric M. Green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M.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 Chair of the Board of Directors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2025</w:t>
      </w:r>
    </w:p>
    <w:p>
      <w:pPr>
        <w:sectPr>
          <w:pgSz w:w="11900" w:h="16838" w:orient="portrait"/>
          <w:cols w:equalWidth="0" w:num="1">
            <w:col w:w="11240"/>
          </w:cols>
          <w:pgMar w:left="320" w:top="141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of West Pharmaceutical Services, Inc. (the “Company”) for the period ended September 30, 2025, as filed with the Securities and Exchange Commission on the date hereof (the “Report”), I, Robert W. McMahon, Senior Vice President, Chief Financial Officer of the Company, certify, pursuant to 18 U.S.C. Section 1350, as adopted pursuant to Section 906 of the Sarbanes-Oxley Act of 2002, that:</w:t>
      </w:r>
    </w:p>
    <w:p>
      <w:pPr>
        <w:spacing w:after="0" w:line="50" w:lineRule="exact"/>
        <w:rPr>
          <w:sz w:val="20"/>
          <w:szCs w:val="20"/>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Robert W. McMahon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 McMahon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2025</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lvl w:ilvl="1">
      <w:lvlJc w:val="left"/>
      <w:lvlText w:val="%2"/>
      <w:numFmt w:val="decimal"/>
      <w:start w:val="104"/>
    </w:lvl>
  </w:abstractNum>
  <w:abstractNum w:abstractNumId="12">
    <w:nsid w:val="1BEFD79F"/>
    <w:multiLevelType w:val="hybridMultilevel"/>
    <w:lvl w:ilvl="0">
      <w:lvlJc w:val="left"/>
      <w:lvlText w:val="(%1)"/>
      <w:numFmt w:val="decimal"/>
      <w:start w:val="1"/>
    </w:lvl>
    <w:lvl w:ilvl="1">
      <w:lvlJc w:val="left"/>
      <w:lvlText w:val="%2"/>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21" Type="http://schemas.openxmlformats.org/officeDocument/2006/relationships/hyperlink" Target="https://www.sec.gov/ix?doc=/Archives/edgar/data/0000105770/000010577025000013/wst-20241231.htm" TargetMode="External"/><Relationship Id="rId65" Type="http://schemas.openxmlformats.org/officeDocument/2006/relationships/hyperlink" Target="https://www.sec.gov/Archives/edgar/data/105770/000010577025000039/finalmay2025articlesofin.htm" TargetMode="External"/><Relationship Id="rId66" Type="http://schemas.openxmlformats.org/officeDocument/2006/relationships/hyperlink" Target="https://www.sec.gov/Archives/edgar/data/105770/000010577023000068/amendedrestatedbylawsoct20.htm" TargetMode="External"/><Relationship Id="rId67" Type="http://schemas.openxmlformats.org/officeDocument/2006/relationships/hyperlink" Target="https://www.sec.gov/Archives/edgar/data/105770/0000105770-99-000016-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2025-10-23T15:31:32Z</dcterms:created>
  <dcterms:modified xsi:type="dcterms:W3CDTF">2025-10-23T15:31:32Z</dcterms:modified>
</cp:coreProperties>
</file>