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37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10-Q</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480" w:hanging="33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w:t>
      </w:r>
    </w:p>
    <w:p>
      <w:pPr>
        <w:ind w:left="480" w:hanging="330"/>
        <w:spacing w:after="0" w:line="232" w:lineRule="auto"/>
        <w:tabs>
          <w:tab w:leader="none" w:pos="480" w:val="left"/>
        </w:tabs>
        <w:numPr>
          <w:ilvl w:val="0"/>
          <w:numId w:val="2"/>
        </w:numPr>
        <w:rPr>
          <w:rFonts w:ascii="MS PGothic" w:cs="MS PGothic" w:eastAsia="MS PGothic" w:hAnsi="MS PGothic"/>
          <w:sz w:val="4"/>
          <w:szCs w:val="4"/>
          <w:color w:val="auto"/>
        </w:rPr>
      </w:pPr>
      <w:r>
        <w:rPr>
          <w:rFonts w:ascii="Arial" w:cs="Arial" w:eastAsia="Arial" w:hAnsi="Arial"/>
          <w:sz w:val="4"/>
          <w:szCs w:val="4"/>
          <w:b w:val="1"/>
          <w:bCs w:val="1"/>
          <w:color w:val="auto"/>
        </w:rPr>
        <w:t>TRANSITION REPORT PURSUANT TO SECTION 13 OR 15(d) OF THE SECURITIES EXCHANGE ACT OF 1934</w:t>
      </w:r>
    </w:p>
    <w:p>
      <w:pPr>
        <w:spacing w:after="0" w:line="297" w:lineRule="exact"/>
        <w:rPr>
          <w:sz w:val="24"/>
          <w:szCs w:val="24"/>
          <w:color w:val="auto"/>
        </w:rPr>
      </w:pPr>
    </w:p>
    <w:p>
      <w:pPr>
        <w:ind w:left="412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1-8036</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WEST PHARMACEUTICAL SERVICES,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6" w:lineRule="exact"/>
        <w:rPr>
          <w:sz w:val="24"/>
          <w:szCs w:val="24"/>
          <w:color w:val="auto"/>
        </w:rPr>
      </w:pPr>
    </w:p>
    <w:tbl>
      <w:tblPr>
        <w:tblLayout w:type="fixed"/>
        <w:tblInd w:w="700" w:type="dxa"/>
        <w:tblCellMar>
          <w:top w:w="0" w:type="dxa"/>
          <w:left w:w="0" w:type="dxa"/>
          <w:bottom w:w="0" w:type="dxa"/>
          <w:right w:w="0" w:type="dxa"/>
        </w:tblCellMar>
      </w:tblPr>
      <w:tr>
        <w:trPr>
          <w:trHeight w:val="233"/>
        </w:trPr>
        <w:tc>
          <w:tcPr>
            <w:tcW w:w="532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Pennsylvania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23-1210010</w:t>
            </w:r>
          </w:p>
        </w:tc>
      </w:tr>
      <w:tr>
        <w:trPr>
          <w:trHeight w:val="230"/>
        </w:trPr>
        <w:tc>
          <w:tcPr>
            <w:tcW w:w="532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r>
        <w:trPr>
          <w:trHeight w:val="391"/>
        </w:trPr>
        <w:tc>
          <w:tcPr>
            <w:tcW w:w="5320" w:type="dxa"/>
            <w:vAlign w:val="bottom"/>
          </w:tcPr>
          <w:p>
            <w:pPr>
              <w:jc w:val="center"/>
              <w:ind w:right="890"/>
              <w:spacing w:after="0"/>
              <w:rPr>
                <w:sz w:val="20"/>
                <w:szCs w:val="20"/>
                <w:color w:val="auto"/>
              </w:rPr>
            </w:pPr>
            <w:r>
              <w:rPr>
                <w:rFonts w:ascii="Arial" w:cs="Arial" w:eastAsia="Arial" w:hAnsi="Arial"/>
                <w:sz w:val="18"/>
                <w:szCs w:val="18"/>
                <w:b w:val="1"/>
                <w:bCs w:val="1"/>
                <w:color w:val="auto"/>
                <w:w w:val="92"/>
              </w:rPr>
              <w:t>530 Herman O. West Drive, Exton, PA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19341-0645</w:t>
            </w:r>
          </w:p>
        </w:tc>
      </w:tr>
      <w:tr>
        <w:trPr>
          <w:trHeight w:val="230"/>
        </w:trPr>
        <w:tc>
          <w:tcPr>
            <w:tcW w:w="5320" w:type="dxa"/>
            <w:vAlign w:val="bottom"/>
          </w:tcPr>
          <w:p>
            <w:pPr>
              <w:jc w:val="center"/>
              <w:ind w:right="89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left="890"/>
              <w:spacing w:after="0"/>
              <w:rPr>
                <w:sz w:val="20"/>
                <w:szCs w:val="20"/>
                <w:color w:val="auto"/>
              </w:rPr>
            </w:pPr>
            <w:r>
              <w:rPr>
                <w:rFonts w:ascii="Arial" w:cs="Arial" w:eastAsia="Arial" w:hAnsi="Arial"/>
                <w:sz w:val="18"/>
                <w:szCs w:val="18"/>
                <w:color w:val="auto"/>
                <w:w w:val="94"/>
              </w:rPr>
              <w:t>(Zip Code)</w:t>
            </w:r>
          </w:p>
        </w:tc>
      </w:tr>
    </w:tbl>
    <w:p>
      <w:pPr>
        <w:spacing w:after="0" w:line="3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610-594-2900</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1287" w:right="459" w:bottom="1440" w:gutter="0" w:footer="0" w:header="0"/>
        </w:sectPr>
      </w:pPr>
    </w:p>
    <w:p>
      <w:pPr>
        <w:spacing w:after="0" w:line="46" w:lineRule="exact"/>
        <w:rPr>
          <w:sz w:val="24"/>
          <w:szCs w:val="24"/>
          <w:color w:val="auto"/>
        </w:rPr>
      </w:pPr>
    </w:p>
    <w:p>
      <w:pPr>
        <w:jc w:val="center"/>
        <w:ind w:left="38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80"/>
        <w:spacing w:after="0"/>
        <w:rPr>
          <w:sz w:val="20"/>
          <w:szCs w:val="20"/>
          <w:color w:val="auto"/>
        </w:rPr>
      </w:pPr>
      <w:r>
        <w:rPr>
          <w:rFonts w:ascii="Arial" w:cs="Arial" w:eastAsia="Arial" w:hAnsi="Arial"/>
          <w:sz w:val="16"/>
          <w:szCs w:val="16"/>
          <w:color w:val="auto"/>
        </w:rPr>
        <w:t>Common Stock, par value $0.25 per share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WST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5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New York Stock Exchange</w:t>
      </w:r>
    </w:p>
    <w:p>
      <w:pPr>
        <w:spacing w:after="0" w:line="197" w:lineRule="exact"/>
        <w:rPr>
          <w:sz w:val="24"/>
          <w:szCs w:val="24"/>
          <w:color w:val="auto"/>
        </w:rPr>
      </w:pPr>
    </w:p>
    <w:p>
      <w:pPr>
        <w:sectPr>
          <w:pgSz w:w="11900" w:h="16838" w:orient="portrait"/>
          <w:cols w:equalWidth="0" w:num="3">
            <w:col w:w="4260" w:space="720"/>
            <w:col w:w="1520" w:space="720"/>
            <w:col w:w="3900"/>
          </w:cols>
          <w:pgMar w:left="320" w:top="1287" w:right="459" w:bottom="1440" w:gutter="0" w:footer="0" w:header="0"/>
          <w:type w:val="continuous"/>
        </w:sectPr>
      </w:pPr>
    </w:p>
    <w:p>
      <w:pPr>
        <w:ind w:right="18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9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ind w:right="20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680" w:type="dxa"/>
        <w:tblCellMar>
          <w:top w:w="0" w:type="dxa"/>
          <w:left w:w="0" w:type="dxa"/>
          <w:bottom w:w="0" w:type="dxa"/>
          <w:right w:w="0" w:type="dxa"/>
        </w:tblCellMar>
      </w:tblPr>
      <w:tr>
        <w:trPr>
          <w:trHeight w:val="22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80" w:type="dxa"/>
            <w:vAlign w:val="bottom"/>
          </w:tcPr>
          <w:p>
            <w:pPr>
              <w:ind w:left="230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p>
      <w:pPr>
        <w:spacing w:after="0" w:line="207" w:lineRule="exact"/>
        <w:tabs>
          <w:tab w:leader="none" w:pos="9480" w:val="left"/>
        </w:tabs>
        <w:rPr>
          <w:sz w:val="20"/>
          <w:szCs w:val="20"/>
          <w:color w:val="auto"/>
        </w:rPr>
      </w:pPr>
      <w:r>
        <w:rPr>
          <w:rFonts w:ascii="Arial" w:cs="Arial" w:eastAsia="Arial" w:hAnsi="Arial"/>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77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As of July 18, 2022, there were 74,047,987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87" w:right="459" w:bottom="1440" w:gutter="0" w:footer="0" w:header="0"/>
          <w:type w:val="continuous"/>
        </w:sectPr>
      </w:pPr>
    </w:p>
    <w:bookmarkStart w:id="1" w:name="page2"/>
    <w:bookmarkEnd w:id="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60" w:type="dxa"/>
            <w:vAlign w:val="bottom"/>
            <w:gridSpan w:val="13"/>
          </w:tcPr>
          <w:p>
            <w:pPr>
              <w:ind w:left="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gridSpan w:val="5"/>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6940" w:type="dxa"/>
            <w:vAlign w:val="bottom"/>
            <w:gridSpan w:val="18"/>
            <w:vMerge w:val="restart"/>
          </w:tcPr>
          <w:p>
            <w:pPr>
              <w:spacing w:after="0"/>
              <w:rPr>
                <w:sz w:val="18"/>
                <w:szCs w:val="18"/>
                <w:color w:val="auto"/>
              </w:rPr>
            </w:pPr>
          </w:p>
        </w:tc>
        <w:tc>
          <w:tcPr>
            <w:tcW w:w="660" w:type="dxa"/>
            <w:vAlign w:val="bottom"/>
            <w:gridSpan w:val="5"/>
          </w:tcPr>
          <w:p>
            <w:pPr>
              <w:jc w:val="center"/>
              <w:ind w:left="19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4"/>
        </w:trPr>
        <w:tc>
          <w:tcPr>
            <w:tcW w:w="3080" w:type="dxa"/>
            <w:vAlign w:val="bottom"/>
            <w:tcBorders>
              <w:bottom w:val="single" w:sz="8" w:color="0000FF"/>
            </w:tcBorders>
            <w:gridSpan w:val="5"/>
            <w:vMerge w:val="continue"/>
          </w:tcPr>
          <w:p>
            <w:pPr>
              <w:spacing w:after="0"/>
              <w:rPr>
                <w:sz w:val="18"/>
                <w:szCs w:val="18"/>
                <w:color w:val="auto"/>
              </w:rPr>
            </w:pPr>
          </w:p>
        </w:tc>
        <w:tc>
          <w:tcPr>
            <w:tcW w:w="6940" w:type="dxa"/>
            <w:vAlign w:val="bottom"/>
            <w:gridSpan w:val="18"/>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3520" w:type="dxa"/>
            <w:vAlign w:val="bottom"/>
            <w:tcBorders>
              <w:bottom w:val="single" w:sz="8" w:color="0000FF"/>
            </w:tcBorders>
            <w:gridSpan w:val="11"/>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 (UNAUDITED)</w:t>
              </w:r>
            </w:hyperlink>
          </w:p>
        </w:tc>
        <w:tc>
          <w:tcPr>
            <w:tcW w:w="3920" w:type="dxa"/>
            <w:vAlign w:val="bottom"/>
            <w:gridSpan w:val="9"/>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40" w:type="dxa"/>
            <w:vAlign w:val="bottom"/>
            <w:gridSpan w:val="20"/>
          </w:tcPr>
          <w:p>
            <w:pPr>
              <w:spacing w:after="0"/>
              <w:rPr>
                <w:rFonts w:ascii="Arial" w:cs="Arial" w:eastAsia="Arial" w:hAnsi="Arial"/>
                <w:sz w:val="18"/>
                <w:szCs w:val="18"/>
                <w:b w:val="1"/>
                <w:bCs w:val="1"/>
                <w:color w:val="0000FF"/>
                <w:w w:val="93"/>
              </w:rPr>
            </w:pPr>
            <w:hyperlink w:anchor="page3">
              <w:r>
                <w:rPr>
                  <w:rFonts w:ascii="Arial" w:cs="Arial" w:eastAsia="Arial" w:hAnsi="Arial"/>
                  <w:sz w:val="18"/>
                  <w:szCs w:val="18"/>
                  <w:b w:val="1"/>
                  <w:bCs w:val="1"/>
                  <w:color w:val="0000FF"/>
                  <w:w w:val="93"/>
                </w:rPr>
                <w:t>Condensed Consolidated Statements of Income for the Three and Six Months ended June 30,</w:t>
              </w:r>
            </w:hyperlink>
          </w:p>
        </w:tc>
        <w:tc>
          <w:tcPr>
            <w:tcW w:w="42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rFonts w:ascii="Arial" w:cs="Arial" w:eastAsia="Arial" w:hAnsi="Arial"/>
                <w:sz w:val="18"/>
                <w:szCs w:val="18"/>
                <w:b w:val="1"/>
                <w:bCs w:val="1"/>
                <w:color w:val="0000FF"/>
                <w:w w:val="99"/>
              </w:rPr>
            </w:pPr>
            <w:hyperlink w:anchor="page3">
              <w:r>
                <w:rPr>
                  <w:rFonts w:ascii="Arial" w:cs="Arial" w:eastAsia="Arial" w:hAnsi="Arial"/>
                  <w:sz w:val="18"/>
                  <w:szCs w:val="18"/>
                  <w:b w:val="1"/>
                  <w:bCs w:val="1"/>
                  <w:color w:val="0000FF"/>
                  <w:w w:val="99"/>
                </w:rPr>
                <w:t>3</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b w:val="1"/>
                <w:bCs w:val="1"/>
                <w:color w:val="0000FF"/>
                <w:w w:val="88"/>
              </w:rPr>
            </w:pPr>
            <w:hyperlink w:anchor="page3">
              <w:r>
                <w:rPr>
                  <w:rFonts w:ascii="Arial" w:cs="Arial" w:eastAsia="Arial" w:hAnsi="Arial"/>
                  <w:sz w:val="18"/>
                  <w:szCs w:val="18"/>
                  <w:b w:val="1"/>
                  <w:bCs w:val="1"/>
                  <w:color w:val="0000FF"/>
                  <w:w w:val="88"/>
                </w:rPr>
                <w:t>2022 and 2021</w:t>
              </w:r>
            </w:hyperlink>
          </w:p>
        </w:tc>
        <w:tc>
          <w:tcPr>
            <w:tcW w:w="6000" w:type="dxa"/>
            <w:vAlign w:val="bottom"/>
            <w:tcBorders>
              <w:top w:val="single" w:sz="8" w:color="0000FF"/>
            </w:tcBorders>
            <w:gridSpan w:val="13"/>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40" w:type="dxa"/>
            <w:vAlign w:val="bottom"/>
            <w:gridSpan w:val="20"/>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Condensed Consolidated Statements of Comprehensive Income for the Three and Six Months</w:t>
              </w:r>
            </w:hyperlink>
          </w:p>
        </w:tc>
        <w:tc>
          <w:tcPr>
            <w:tcW w:w="520" w:type="dxa"/>
            <w:vAlign w:val="bottom"/>
            <w:gridSpan w:val="3"/>
            <w:vMerge w:val="restart"/>
          </w:tcPr>
          <w:p>
            <w:pPr>
              <w:jc w:val="center"/>
              <w:ind w:left="330"/>
              <w:spacing w:after="0"/>
              <w:rPr>
                <w:rFonts w:ascii="Arial" w:cs="Arial" w:eastAsia="Arial" w:hAnsi="Arial"/>
                <w:sz w:val="18"/>
                <w:szCs w:val="18"/>
                <w:b w:val="1"/>
                <w:bCs w:val="1"/>
                <w:color w:val="0000FF"/>
                <w:w w:val="99"/>
              </w:rPr>
            </w:pPr>
            <w:hyperlink w:anchor="page3">
              <w:r>
                <w:rPr>
                  <w:rFonts w:ascii="Arial" w:cs="Arial" w:eastAsia="Arial" w:hAnsi="Arial"/>
                  <w:sz w:val="18"/>
                  <w:szCs w:val="18"/>
                  <w:b w:val="1"/>
                  <w:bCs w:val="1"/>
                  <w:color w:val="0000FF"/>
                  <w:w w:val="99"/>
                </w:rPr>
                <w:t>4</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160" w:type="dxa"/>
            <w:vAlign w:val="bottom"/>
            <w:tcBorders>
              <w:top w:val="single" w:sz="8" w:color="0000FF"/>
            </w:tcBorders>
            <w:gridSpan w:val="19"/>
          </w:tcPr>
          <w:p>
            <w:pPr>
              <w:spacing w:after="0" w:line="15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ended June 30, 2022 and 2021</w:t>
              </w:r>
            </w:hyperlink>
          </w:p>
        </w:tc>
        <w:tc>
          <w:tcPr>
            <w:tcW w:w="28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40" w:type="dxa"/>
            <w:vAlign w:val="bottom"/>
            <w:gridSpan w:val="20"/>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Condensed Consolidated Balance Sheets at June 30, 2022 and December 31, 2021</w:t>
              </w:r>
            </w:hyperlink>
          </w:p>
        </w:tc>
        <w:tc>
          <w:tcPr>
            <w:tcW w:w="520" w:type="dxa"/>
            <w:vAlign w:val="bottom"/>
            <w:gridSpan w:val="3"/>
          </w:tcPr>
          <w:p>
            <w:pPr>
              <w:jc w:val="center"/>
              <w:ind w:left="330"/>
              <w:spacing w:after="0"/>
              <w:rPr>
                <w:rFonts w:ascii="Arial" w:cs="Arial" w:eastAsia="Arial" w:hAnsi="Arial"/>
                <w:sz w:val="18"/>
                <w:szCs w:val="18"/>
                <w:b w:val="1"/>
                <w:bCs w:val="1"/>
                <w:color w:val="0000FF"/>
                <w:w w:val="99"/>
              </w:rPr>
            </w:pPr>
            <w:hyperlink w:anchor="page4">
              <w:r>
                <w:rPr>
                  <w:rFonts w:ascii="Arial" w:cs="Arial" w:eastAsia="Arial" w:hAnsi="Arial"/>
                  <w:sz w:val="18"/>
                  <w:szCs w:val="18"/>
                  <w:b w:val="1"/>
                  <w:bCs w:val="1"/>
                  <w:color w:val="0000FF"/>
                  <w:w w:val="99"/>
                </w:rPr>
                <w:t>5</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40" w:type="dxa"/>
            <w:vAlign w:val="bottom"/>
            <w:gridSpan w:val="20"/>
          </w:tcPr>
          <w:p>
            <w:pPr>
              <w:spacing w:after="0"/>
              <w:rPr>
                <w:rFonts w:ascii="Arial" w:cs="Arial" w:eastAsia="Arial" w:hAnsi="Arial"/>
                <w:sz w:val="18"/>
                <w:szCs w:val="18"/>
                <w:b w:val="1"/>
                <w:bCs w:val="1"/>
                <w:color w:val="0000FF"/>
                <w:w w:val="94"/>
              </w:rPr>
            </w:pPr>
            <w:hyperlink w:anchor="page5">
              <w:r>
                <w:rPr>
                  <w:rFonts w:ascii="Arial" w:cs="Arial" w:eastAsia="Arial" w:hAnsi="Arial"/>
                  <w:sz w:val="18"/>
                  <w:szCs w:val="18"/>
                  <w:b w:val="1"/>
                  <w:bCs w:val="1"/>
                  <w:color w:val="0000FF"/>
                  <w:w w:val="94"/>
                </w:rPr>
                <w:t>Condensed Consolidated Statements of Cash Flows for the Six Months ended June 30, 2022</w:t>
              </w:r>
            </w:hyperlink>
          </w:p>
        </w:tc>
        <w:tc>
          <w:tcPr>
            <w:tcW w:w="520" w:type="dxa"/>
            <w:vAlign w:val="bottom"/>
            <w:gridSpan w:val="3"/>
            <w:vMerge w:val="restart"/>
          </w:tcPr>
          <w:p>
            <w:pPr>
              <w:jc w:val="center"/>
              <w:ind w:left="330"/>
              <w:spacing w:after="0"/>
              <w:rPr>
                <w:rFonts w:ascii="Arial" w:cs="Arial" w:eastAsia="Arial" w:hAnsi="Arial"/>
                <w:sz w:val="18"/>
                <w:szCs w:val="18"/>
                <w:b w:val="1"/>
                <w:bCs w:val="1"/>
                <w:color w:val="0000FF"/>
                <w:w w:val="99"/>
              </w:rPr>
            </w:pPr>
            <w:hyperlink w:anchor="page5">
              <w:r>
                <w:rPr>
                  <w:rFonts w:ascii="Arial" w:cs="Arial" w:eastAsia="Arial" w:hAnsi="Arial"/>
                  <w:sz w:val="18"/>
                  <w:szCs w:val="18"/>
                  <w:b w:val="1"/>
                  <w:bCs w:val="1"/>
                  <w:color w:val="0000FF"/>
                  <w:w w:val="99"/>
                </w:rPr>
                <w:t>6</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980" w:type="dxa"/>
            <w:vAlign w:val="bottom"/>
            <w:tcBorders>
              <w:top w:val="single" w:sz="8" w:color="0000FF"/>
            </w:tcBorders>
            <w:gridSpan w:val="17"/>
          </w:tcPr>
          <w:p>
            <w:pPr>
              <w:spacing w:after="0" w:line="156"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and 2021</w:t>
              </w:r>
            </w:hyperlink>
          </w:p>
        </w:tc>
        <w:tc>
          <w:tcPr>
            <w:tcW w:w="460" w:type="dxa"/>
            <w:vAlign w:val="bottom"/>
            <w:gridSpan w:val="3"/>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40" w:type="dxa"/>
            <w:vAlign w:val="bottom"/>
            <w:gridSpan w:val="20"/>
          </w:tcPr>
          <w:p>
            <w:pP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Notes to Condensed Consolidated Financial Statements</w:t>
              </w:r>
            </w:hyperlink>
          </w:p>
        </w:tc>
        <w:tc>
          <w:tcPr>
            <w:tcW w:w="520" w:type="dxa"/>
            <w:vAlign w:val="bottom"/>
            <w:gridSpan w:val="3"/>
          </w:tcPr>
          <w:p>
            <w:pPr>
              <w:jc w:val="center"/>
              <w:ind w:left="330"/>
              <w:spacing w:after="0"/>
              <w:rPr>
                <w:rFonts w:ascii="Arial" w:cs="Arial" w:eastAsia="Arial" w:hAnsi="Arial"/>
                <w:sz w:val="18"/>
                <w:szCs w:val="18"/>
                <w:b w:val="1"/>
                <w:bCs w:val="1"/>
                <w:color w:val="0000FF"/>
                <w:w w:val="99"/>
              </w:rPr>
            </w:pPr>
            <w:hyperlink w:anchor="page6">
              <w:r>
                <w:rPr>
                  <w:rFonts w:ascii="Arial" w:cs="Arial" w:eastAsia="Arial" w:hAnsi="Arial"/>
                  <w:sz w:val="18"/>
                  <w:szCs w:val="18"/>
                  <w:b w:val="1"/>
                  <w:bCs w:val="1"/>
                  <w:color w:val="0000FF"/>
                  <w:w w:val="99"/>
                </w:rPr>
                <w:t>7</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7440" w:type="dxa"/>
            <w:vAlign w:val="bottom"/>
            <w:gridSpan w:val="20"/>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MANAGEMENT’S DISCUSSION AND ANALYSIS OF FINANCIAL CONDITION AND</w:t>
              </w:r>
            </w:hyperlink>
          </w:p>
        </w:tc>
        <w:tc>
          <w:tcPr>
            <w:tcW w:w="42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rFonts w:ascii="Arial" w:cs="Arial" w:eastAsia="Arial" w:hAnsi="Arial"/>
                <w:sz w:val="17"/>
                <w:szCs w:val="17"/>
                <w:b w:val="1"/>
                <w:bCs w:val="1"/>
                <w:color w:val="0000FF"/>
                <w:w w:val="73"/>
              </w:rPr>
            </w:pPr>
            <w:hyperlink w:anchor="page26">
              <w:r>
                <w:rPr>
                  <w:rFonts w:ascii="Arial" w:cs="Arial" w:eastAsia="Arial" w:hAnsi="Arial"/>
                  <w:sz w:val="17"/>
                  <w:szCs w:val="17"/>
                  <w:b w:val="1"/>
                  <w:bCs w:val="1"/>
                  <w:color w:val="0000FF"/>
                  <w:w w:val="73"/>
                </w:rPr>
                <w:t>26</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b w:val="1"/>
                <w:bCs w:val="1"/>
                <w:color w:val="0000FF"/>
                <w:w w:val="96"/>
              </w:rPr>
            </w:pPr>
            <w:hyperlink w:anchor="page26">
              <w:r>
                <w:rPr>
                  <w:rFonts w:ascii="Arial" w:cs="Arial" w:eastAsia="Arial" w:hAnsi="Arial"/>
                  <w:sz w:val="18"/>
                  <w:szCs w:val="18"/>
                  <w:b w:val="1"/>
                  <w:bCs w:val="1"/>
                  <w:color w:val="0000FF"/>
                  <w:w w:val="96"/>
                </w:rPr>
                <w:t>RESULTS OF OPERATIONS</w:t>
              </w:r>
            </w:hyperlink>
          </w:p>
        </w:tc>
        <w:tc>
          <w:tcPr>
            <w:tcW w:w="4600" w:type="dxa"/>
            <w:vAlign w:val="bottom"/>
            <w:tcBorders>
              <w:top w:val="single" w:sz="8" w:color="0000FF"/>
            </w:tcBorders>
            <w:gridSpan w:val="7"/>
          </w:tcPr>
          <w:p>
            <w:pPr>
              <w:spacing w:after="0"/>
              <w:rPr>
                <w:sz w:val="13"/>
                <w:szCs w:val="13"/>
                <w:color w:val="auto"/>
              </w:rPr>
            </w:pPr>
          </w:p>
        </w:tc>
        <w:tc>
          <w:tcPr>
            <w:tcW w:w="520" w:type="dxa"/>
            <w:vAlign w:val="bottom"/>
            <w:gridSpan w:val="4"/>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7440" w:type="dxa"/>
            <w:vAlign w:val="bottom"/>
            <w:gridSpan w:val="20"/>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QUANTITATIVE AND QUALITATIVE DISCLOSURES ABOUT MARKET RISK</w:t>
              </w:r>
            </w:hyperlink>
          </w:p>
        </w:tc>
        <w:tc>
          <w:tcPr>
            <w:tcW w:w="520" w:type="dxa"/>
            <w:vAlign w:val="bottom"/>
            <w:gridSpan w:val="3"/>
          </w:tcPr>
          <w:p>
            <w:pPr>
              <w:jc w:val="center"/>
              <w:ind w:left="250"/>
              <w:spacing w:after="0"/>
              <w:rPr>
                <w:rFonts w:ascii="Arial" w:cs="Arial" w:eastAsia="Arial" w:hAnsi="Arial"/>
                <w:sz w:val="18"/>
                <w:szCs w:val="18"/>
                <w:b w:val="1"/>
                <w:bCs w:val="1"/>
                <w:color w:val="0000FF"/>
                <w:w w:val="89"/>
              </w:rPr>
            </w:pPr>
            <w:hyperlink w:anchor="page40">
              <w:r>
                <w:rPr>
                  <w:rFonts w:ascii="Arial" w:cs="Arial" w:eastAsia="Arial" w:hAnsi="Arial"/>
                  <w:sz w:val="18"/>
                  <w:szCs w:val="18"/>
                  <w:b w:val="1"/>
                  <w:bCs w:val="1"/>
                  <w:color w:val="0000FF"/>
                  <w:w w:val="89"/>
                </w:rPr>
                <w:t>41</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6440" w:type="dxa"/>
            <w:vAlign w:val="bottom"/>
            <w:tcBorders>
              <w:top w:val="single" w:sz="8" w:color="0000FF"/>
            </w:tcBorders>
            <w:gridSpan w:val="15"/>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CONTROLS AND PROCEDURES</w:t>
              </w:r>
            </w:hyperlink>
          </w:p>
        </w:tc>
        <w:tc>
          <w:tcPr>
            <w:tcW w:w="1000" w:type="dxa"/>
            <w:vAlign w:val="bottom"/>
            <w:gridSpan w:val="5"/>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7"/>
                <w:szCs w:val="17"/>
                <w:b w:val="1"/>
                <w:bCs w:val="1"/>
                <w:color w:val="0000FF"/>
                <w:w w:val="73"/>
              </w:rPr>
            </w:pPr>
            <w:hyperlink w:anchor="page41">
              <w:r>
                <w:rPr>
                  <w:rFonts w:ascii="Arial" w:cs="Arial" w:eastAsia="Arial" w:hAnsi="Arial"/>
                  <w:sz w:val="17"/>
                  <w:szCs w:val="17"/>
                  <w:b w:val="1"/>
                  <w:bCs w:val="1"/>
                  <w:color w:val="0000FF"/>
                  <w:w w:val="73"/>
                </w:rPr>
                <w:t>41</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tcBorders>
              <w:bottom w:val="single" w:sz="8" w:color="0000FF"/>
            </w:tcBorders>
            <w:gridSpan w:val="4"/>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PART II. OTHER INFORMATION</w:t>
              </w:r>
            </w:hyperlink>
          </w:p>
        </w:tc>
        <w:tc>
          <w:tcPr>
            <w:tcW w:w="7240" w:type="dxa"/>
            <w:vAlign w:val="bottom"/>
            <w:gridSpan w:val="19"/>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440" w:type="dxa"/>
            <w:vAlign w:val="bottom"/>
            <w:gridSpan w:val="20"/>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LEGAL PROCEEDINGS</w:t>
              </w:r>
            </w:hyperlink>
          </w:p>
        </w:tc>
        <w:tc>
          <w:tcPr>
            <w:tcW w:w="520" w:type="dxa"/>
            <w:vAlign w:val="bottom"/>
            <w:gridSpan w:val="3"/>
          </w:tcPr>
          <w:p>
            <w:pPr>
              <w:jc w:val="center"/>
              <w:ind w:left="250"/>
              <w:spacing w:after="0"/>
              <w:rPr>
                <w:rFonts w:ascii="Arial" w:cs="Arial" w:eastAsia="Arial" w:hAnsi="Arial"/>
                <w:sz w:val="18"/>
                <w:szCs w:val="18"/>
                <w:b w:val="1"/>
                <w:bCs w:val="1"/>
                <w:color w:val="0000FF"/>
                <w:w w:val="89"/>
              </w:rPr>
            </w:pPr>
            <w:hyperlink w:anchor="page41">
              <w:r>
                <w:rPr>
                  <w:rFonts w:ascii="Arial" w:cs="Arial" w:eastAsia="Arial" w:hAnsi="Arial"/>
                  <w:sz w:val="18"/>
                  <w:szCs w:val="18"/>
                  <w:b w:val="1"/>
                  <w:bCs w:val="1"/>
                  <w:color w:val="0000FF"/>
                  <w:w w:val="89"/>
                </w:rPr>
                <w:t>41</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1A.</w:t>
            </w:r>
          </w:p>
        </w:tc>
        <w:tc>
          <w:tcPr>
            <w:tcW w:w="1320" w:type="dxa"/>
            <w:vAlign w:val="bottom"/>
            <w:tcBorders>
              <w:top w:val="single" w:sz="8" w:color="0000FF"/>
              <w:bottom w:val="single" w:sz="8" w:color="0000FF"/>
            </w:tcBorders>
            <w:gridSpan w:val="6"/>
          </w:tcPr>
          <w:p>
            <w:pPr>
              <w:spacing w:after="0"/>
              <w:rPr>
                <w:rFonts w:ascii="Arial" w:cs="Arial" w:eastAsia="Arial" w:hAnsi="Arial"/>
                <w:sz w:val="18"/>
                <w:szCs w:val="18"/>
                <w:b w:val="1"/>
                <w:bCs w:val="1"/>
                <w:color w:val="0000FF"/>
                <w:w w:val="96"/>
              </w:rPr>
            </w:pPr>
            <w:hyperlink w:anchor="page41">
              <w:r>
                <w:rPr>
                  <w:rFonts w:ascii="Arial" w:cs="Arial" w:eastAsia="Arial" w:hAnsi="Arial"/>
                  <w:sz w:val="18"/>
                  <w:szCs w:val="18"/>
                  <w:b w:val="1"/>
                  <w:bCs w:val="1"/>
                  <w:color w:val="0000FF"/>
                  <w:w w:val="96"/>
                </w:rPr>
                <w:t>RISK FACTORS</w:t>
              </w:r>
            </w:hyperlink>
          </w:p>
        </w:tc>
        <w:tc>
          <w:tcPr>
            <w:tcW w:w="660" w:type="dxa"/>
            <w:vAlign w:val="bottom"/>
            <w:tcBorders>
              <w:top w:val="single" w:sz="8" w:color="0000FF"/>
            </w:tcBorders>
          </w:tcPr>
          <w:p>
            <w:pPr>
              <w:spacing w:after="0"/>
              <w:rPr>
                <w:sz w:val="18"/>
                <w:szCs w:val="18"/>
                <w:color w:val="auto"/>
              </w:rPr>
            </w:pPr>
          </w:p>
        </w:tc>
        <w:tc>
          <w:tcPr>
            <w:tcW w:w="5460" w:type="dxa"/>
            <w:vAlign w:val="bottom"/>
            <w:gridSpan w:val="13"/>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7"/>
                <w:szCs w:val="17"/>
                <w:b w:val="1"/>
                <w:bCs w:val="1"/>
                <w:color w:val="0000FF"/>
                <w:w w:val="73"/>
              </w:rPr>
            </w:pPr>
            <w:hyperlink w:anchor="page41">
              <w:r>
                <w:rPr>
                  <w:rFonts w:ascii="Arial" w:cs="Arial" w:eastAsia="Arial" w:hAnsi="Arial"/>
                  <w:sz w:val="17"/>
                  <w:szCs w:val="17"/>
                  <w:b w:val="1"/>
                  <w:bCs w:val="1"/>
                  <w:color w:val="0000FF"/>
                  <w:w w:val="73"/>
                </w:rPr>
                <w:t>41</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6380" w:type="dxa"/>
            <w:vAlign w:val="bottom"/>
            <w:tcBorders>
              <w:bottom w:val="single" w:sz="8" w:color="0000FF"/>
            </w:tcBorders>
            <w:gridSpan w:val="14"/>
          </w:tcPr>
          <w:p>
            <w:pPr>
              <w:spacing w:after="0"/>
              <w:rPr>
                <w:rFonts w:ascii="Arial" w:cs="Arial" w:eastAsia="Arial" w:hAnsi="Arial"/>
                <w:sz w:val="18"/>
                <w:szCs w:val="18"/>
                <w:b w:val="1"/>
                <w:bCs w:val="1"/>
                <w:color w:val="0000FF"/>
                <w:w w:val="98"/>
              </w:rPr>
            </w:pPr>
            <w:hyperlink w:anchor="page41">
              <w:r>
                <w:rPr>
                  <w:rFonts w:ascii="Arial" w:cs="Arial" w:eastAsia="Arial" w:hAnsi="Arial"/>
                  <w:sz w:val="18"/>
                  <w:szCs w:val="18"/>
                  <w:b w:val="1"/>
                  <w:bCs w:val="1"/>
                  <w:color w:val="0000FF"/>
                  <w:w w:val="98"/>
                </w:rPr>
                <w:t>UNREGISTERED SALES OF EQUITY SECURITIES AND USE OF PROCEEDS</w:t>
              </w:r>
            </w:hyperlink>
          </w:p>
        </w:tc>
        <w:tc>
          <w:tcPr>
            <w:tcW w:w="1060" w:type="dxa"/>
            <w:vAlign w:val="bottom"/>
            <w:gridSpan w:val="6"/>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7"/>
                <w:szCs w:val="17"/>
                <w:b w:val="1"/>
                <w:bCs w:val="1"/>
                <w:color w:val="0000FF"/>
                <w:w w:val="73"/>
              </w:rPr>
            </w:pPr>
            <w:hyperlink w:anchor="page41">
              <w:r>
                <w:rPr>
                  <w:rFonts w:ascii="Arial" w:cs="Arial" w:eastAsia="Arial" w:hAnsi="Arial"/>
                  <w:sz w:val="17"/>
                  <w:szCs w:val="17"/>
                  <w:b w:val="1"/>
                  <w:bCs w:val="1"/>
                  <w:color w:val="0000FF"/>
                  <w:w w:val="73"/>
                </w:rPr>
                <w:t>42</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7440" w:type="dxa"/>
            <w:vAlign w:val="bottom"/>
            <w:gridSpan w:val="20"/>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EXHIBITS</w:t>
              </w:r>
            </w:hyperlink>
          </w:p>
        </w:tc>
        <w:tc>
          <w:tcPr>
            <w:tcW w:w="520" w:type="dxa"/>
            <w:vAlign w:val="bottom"/>
            <w:gridSpan w:val="3"/>
          </w:tcPr>
          <w:p>
            <w:pPr>
              <w:jc w:val="center"/>
              <w:ind w:left="250"/>
              <w:spacing w:after="0"/>
              <w:rPr>
                <w:rFonts w:ascii="Arial" w:cs="Arial" w:eastAsia="Arial" w:hAnsi="Arial"/>
                <w:sz w:val="18"/>
                <w:szCs w:val="18"/>
                <w:b w:val="1"/>
                <w:bCs w:val="1"/>
                <w:color w:val="0000FF"/>
                <w:w w:val="89"/>
              </w:rPr>
            </w:pPr>
            <w:hyperlink w:anchor="page42">
              <w:r>
                <w:rPr>
                  <w:rFonts w:ascii="Arial" w:cs="Arial" w:eastAsia="Arial" w:hAnsi="Arial"/>
                  <w:sz w:val="18"/>
                  <w:szCs w:val="18"/>
                  <w:b w:val="1"/>
                  <w:bCs w:val="1"/>
                  <w:color w:val="0000FF"/>
                  <w:w w:val="89"/>
                </w:rPr>
                <w:t>42</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580" w:type="dxa"/>
            <w:vAlign w:val="bottom"/>
            <w:gridSpan w:val="3"/>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SIGNATURE</w:t>
              </w:r>
            </w:hyperlink>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00" w:type="dxa"/>
            <w:vAlign w:val="bottom"/>
            <w:tcBorders>
              <w:top w:val="single" w:sz="8" w:color="0000FF"/>
            </w:tcBorders>
          </w:tcPr>
          <w:p>
            <w:pPr>
              <w:jc w:val="center"/>
              <w:spacing w:after="0"/>
              <w:rPr>
                <w:rFonts w:ascii="Arial" w:cs="Arial" w:eastAsia="Arial" w:hAnsi="Arial"/>
                <w:sz w:val="17"/>
                <w:szCs w:val="17"/>
                <w:b w:val="1"/>
                <w:bCs w:val="1"/>
                <w:color w:val="0000FF"/>
                <w:w w:val="73"/>
              </w:rPr>
            </w:pPr>
            <w:hyperlink w:anchor="page42">
              <w:r>
                <w:rPr>
                  <w:rFonts w:ascii="Arial" w:cs="Arial" w:eastAsia="Arial" w:hAnsi="Arial"/>
                  <w:sz w:val="17"/>
                  <w:szCs w:val="17"/>
                  <w:b w:val="1"/>
                  <w:bCs w:val="1"/>
                  <w:color w:val="0000FF"/>
                  <w:w w:val="73"/>
                </w:rPr>
                <w:t>43</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580" w:type="dxa"/>
            <w:vAlign w:val="bottom"/>
            <w:gridSpan w:val="3"/>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EXHIBIT INDEX</w:t>
              </w:r>
            </w:hyperlink>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gridSpan w:val="4"/>
          </w:tcPr>
          <w:p>
            <w:pPr>
              <w:jc w:val="center"/>
              <w:spacing w:after="0"/>
              <w:rPr>
                <w:rFonts w:ascii="Arial" w:cs="Arial" w:eastAsia="Arial" w:hAnsi="Arial"/>
                <w:sz w:val="18"/>
                <w:szCs w:val="18"/>
                <w:b w:val="1"/>
                <w:bCs w:val="1"/>
                <w:color w:val="0000FF"/>
                <w:w w:val="96"/>
              </w:rPr>
            </w:pPr>
            <w:hyperlink w:anchor="page43">
              <w:r>
                <w:rPr>
                  <w:rFonts w:ascii="Arial" w:cs="Arial" w:eastAsia="Arial" w:hAnsi="Arial"/>
                  <w:sz w:val="18"/>
                  <w:szCs w:val="18"/>
                  <w:b w:val="1"/>
                  <w:bCs w:val="1"/>
                  <w:color w:val="0000FF"/>
                  <w:w w:val="96"/>
                </w:rPr>
                <w:t>F-1</w:t>
              </w:r>
            </w:hyperlink>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30" w:right="879" w:bottom="1440" w:gutter="0" w:footer="0" w:header="0"/>
        </w:sectPr>
      </w:pPr>
    </w:p>
    <w:bookmarkStart w:id="2" w:name="page3"/>
    <w:bookmarkEnd w:id="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ind w:right="500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INCOME (UNAUDITED) </w:t>
      </w:r>
      <w:r>
        <w:rPr>
          <w:rFonts w:ascii="Arial" w:cs="Arial" w:eastAsia="Arial" w:hAnsi="Arial"/>
          <w:sz w:val="18"/>
          <w:szCs w:val="18"/>
          <w:color w:val="auto"/>
        </w:rPr>
        <w:t>West Pharmaceutical Services, Inc. and Subsidiaries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2380" w:type="dxa"/>
            <w:vAlign w:val="bottom"/>
            <w:gridSpan w:val="4"/>
          </w:tcPr>
          <w:p>
            <w:pPr>
              <w:jc w:val="right"/>
              <w:ind w:right="90"/>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29"/>
        </w:trPr>
        <w:tc>
          <w:tcPr>
            <w:tcW w:w="53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June 30,</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20" w:type="dxa"/>
            <w:vAlign w:val="bottom"/>
            <w:tcBorders>
              <w:bottom w:val="single" w:sz="8" w:color="auto"/>
            </w:tcBorders>
          </w:tcPr>
          <w:p>
            <w:pPr>
              <w:spacing w:after="0"/>
              <w:rPr>
                <w:sz w:val="19"/>
                <w:szCs w:val="19"/>
                <w:color w:val="auto"/>
              </w:rPr>
            </w:pPr>
          </w:p>
        </w:tc>
      </w:tr>
      <w:tr>
        <w:trPr>
          <w:trHeight w:val="223"/>
        </w:trPr>
        <w:tc>
          <w:tcPr>
            <w:tcW w:w="53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771.3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723.6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 sold</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449.8</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408.5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807.3</w:t>
            </w:r>
          </w:p>
        </w:tc>
      </w:tr>
      <w:tr>
        <w:trPr>
          <w:trHeight w:val="22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321.5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(Note 15)</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228.4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expense</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227.2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income of affiliated companies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53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188.5</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187.3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5"/>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tcPr>
          <w:p>
            <w:pPr>
              <w:jc w:val="right"/>
              <w:ind w:right="690"/>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690"/>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4.47</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5"/>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75.8</w:t>
            </w: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75.7</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75.9</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75.8</w:t>
            </w:r>
          </w:p>
        </w:tc>
      </w:tr>
      <w:tr>
        <w:trPr>
          <w:trHeight w:val="20"/>
        </w:trPr>
        <w:tc>
          <w:tcPr>
            <w:tcW w:w="5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shd w:val="clear" w:color="auto" w:fill="CCEEFF"/>
          </w:tcPr>
          <w:p>
            <w:pPr>
              <w:spacing w:after="0"/>
              <w:rPr>
                <w:sz w:val="17"/>
                <w:szCs w:val="17"/>
                <w:color w:val="auto"/>
              </w:rPr>
            </w:pPr>
          </w:p>
        </w:tc>
        <w:tc>
          <w:tcPr>
            <w:tcW w:w="23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Three Months Ended</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580" w:type="dxa"/>
            <w:vAlign w:val="bottom"/>
            <w:gridSpan w:val="4"/>
            <w:shd w:val="clear" w:color="auto" w:fill="CCEEFF"/>
          </w:tcPr>
          <w:p>
            <w:pPr>
              <w:jc w:val="right"/>
              <w:ind w:right="6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June 30,</w:t>
            </w:r>
          </w:p>
        </w:tc>
        <w:tc>
          <w:tcPr>
            <w:tcW w:w="4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Foreign currency translation adjustments, net of tax of $1.7, $0.3, $2.7</w:t>
            </w:r>
          </w:p>
        </w:tc>
        <w:tc>
          <w:tcPr>
            <w:tcW w:w="88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(64.4)</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$1.7, respectively</w:t>
            </w:r>
          </w:p>
        </w:tc>
        <w:tc>
          <w:tcPr>
            <w:tcW w:w="88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20"/>
              <w:spacing w:after="0" w:line="176" w:lineRule="exact"/>
              <w:rPr>
                <w:sz w:val="20"/>
                <w:szCs w:val="20"/>
                <w:color w:val="auto"/>
              </w:rPr>
            </w:pPr>
            <w:r>
              <w:rPr>
                <w:rFonts w:ascii="Arial" w:cs="Arial" w:eastAsia="Arial" w:hAnsi="Arial"/>
                <w:sz w:val="18"/>
                <w:szCs w:val="18"/>
                <w:color w:val="auto"/>
                <w:w w:val="90"/>
              </w:rPr>
              <w:t>Defined benefit pension and other postretirement plan adjustments, net</w:t>
            </w:r>
          </w:p>
        </w:tc>
        <w:tc>
          <w:tcPr>
            <w:tcW w:w="8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of tax of $0.6, $0.0, $0.9, and $0.2, respectively</w:t>
            </w:r>
          </w:p>
        </w:tc>
        <w:tc>
          <w:tcPr>
            <w:tcW w:w="88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Net loss on equity affiliate accumulated other comprehensive income,</w:t>
            </w:r>
          </w:p>
        </w:tc>
        <w:tc>
          <w:tcPr>
            <w:tcW w:w="88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of tax of $0.0, $0.0, $0.0 and $0.0, respectively</w:t>
            </w:r>
          </w:p>
        </w:tc>
        <w:tc>
          <w:tcPr>
            <w:tcW w:w="88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20"/>
              <w:spacing w:after="0" w:line="176" w:lineRule="exact"/>
              <w:rPr>
                <w:sz w:val="20"/>
                <w:szCs w:val="20"/>
                <w:color w:val="auto"/>
              </w:rPr>
            </w:pPr>
            <w:r>
              <w:rPr>
                <w:rFonts w:ascii="Arial" w:cs="Arial" w:eastAsia="Arial" w:hAnsi="Arial"/>
                <w:sz w:val="18"/>
                <w:szCs w:val="18"/>
                <w:color w:val="auto"/>
                <w:w w:val="91"/>
              </w:rPr>
              <w:t>Net (loss) gain on derivatives, net of tax of $0.0, $0.8, $(0.8) and $0.0,</w:t>
            </w:r>
          </w:p>
        </w:tc>
        <w:tc>
          <w:tcPr>
            <w:tcW w:w="8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respectively</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(63.5)</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125.0</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194.3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West Pharmaceutical Services, Inc. and Subsidiaries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vMerge w:val="restart"/>
          </w:tcPr>
          <w:p>
            <w:pPr>
              <w:ind w:left="20"/>
              <w:spacing w:after="0"/>
              <w:rPr>
                <w:sz w:val="20"/>
                <w:szCs w:val="20"/>
                <w:color w:val="auto"/>
              </w:rPr>
            </w:pPr>
            <w:r>
              <w:rPr>
                <w:rFonts w:ascii="Arial" w:cs="Arial" w:eastAsia="Arial" w:hAnsi="Arial"/>
                <w:sz w:val="17"/>
                <w:szCs w:val="17"/>
                <w:color w:val="auto"/>
              </w:rPr>
              <w:t>(in millions, except per share data)</w:t>
            </w:r>
          </w:p>
        </w:tc>
        <w:tc>
          <w:tcPr>
            <w:tcW w:w="30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Arial" w:cs="Arial" w:eastAsia="Arial" w:hAnsi="Arial"/>
                <w:sz w:val="17"/>
                <w:szCs w:val="17"/>
                <w:color w:val="auto"/>
              </w:rPr>
              <w:t>June 30,</w:t>
            </w:r>
          </w:p>
        </w:tc>
        <w:tc>
          <w:tcPr>
            <w:tcW w:w="20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Arial" w:cs="Arial" w:eastAsia="Arial" w:hAnsi="Arial"/>
                <w:sz w:val="17"/>
                <w:szCs w:val="17"/>
                <w:color w:val="auto"/>
                <w:w w:val="97"/>
              </w:rPr>
              <w:t>December 31,</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762.6</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528.4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489.0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378.4</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assets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112.0</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1,771.1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1,742.0</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2,246.0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2,215.0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1,157.5</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1,077.4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1,057.5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Investments in affiliated companies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207.7</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3,361.7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3,313.8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9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LIABILITIES AND EQUITY</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Notes payable and other current debt</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44.2</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44.2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232.2</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Pension and other postretirement benefits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salaries, wages and benefits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liabilities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163.4</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594.1</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208.8</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Deferred compensation benefits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937.3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978.4</w:t>
            </w:r>
          </w:p>
        </w:tc>
        <w:tc>
          <w:tcPr>
            <w:tcW w:w="0" w:type="dxa"/>
            <w:vAlign w:val="bottom"/>
          </w:tcPr>
          <w:p>
            <w:pPr>
              <w:spacing w:after="0"/>
              <w:rPr>
                <w:sz w:val="1"/>
                <w:szCs w:val="1"/>
                <w:color w:val="auto"/>
              </w:rPr>
            </w:pPr>
          </w:p>
        </w:tc>
      </w:tr>
      <w:tr>
        <w:trPr>
          <w:trHeight w:val="88"/>
        </w:trPr>
        <w:tc>
          <w:tcPr>
            <w:tcW w:w="79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Commitments and contingencies (Note 17)</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9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Equity:</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 3.0 million shares authorized; 0 shares issued and outstanding</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7980" w:type="dxa"/>
            <w:vAlign w:val="bottom"/>
          </w:tcPr>
          <w:p>
            <w:pPr>
              <w:ind w:left="220"/>
              <w:spacing w:after="0" w:line="162" w:lineRule="exact"/>
              <w:rPr>
                <w:sz w:val="20"/>
                <w:szCs w:val="20"/>
                <w:color w:val="auto"/>
              </w:rPr>
            </w:pPr>
            <w:r>
              <w:rPr>
                <w:rFonts w:ascii="Arial" w:cs="Arial" w:eastAsia="Arial" w:hAnsi="Arial"/>
                <w:sz w:val="17"/>
                <w:szCs w:val="17"/>
                <w:color w:val="auto"/>
                <w:w w:val="91"/>
              </w:rPr>
              <w:t>Common stock, par value $0.25 per share; 200.0 million shares authorized; shares issued: 75.3 million and 75.3</w:t>
            </w:r>
          </w:p>
        </w:tc>
        <w:tc>
          <w:tcPr>
            <w:tcW w:w="3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6"/>
        </w:trPr>
        <w:tc>
          <w:tcPr>
            <w:tcW w:w="7980" w:type="dxa"/>
            <w:vAlign w:val="bottom"/>
          </w:tcPr>
          <w:p>
            <w:pPr>
              <w:ind w:left="400"/>
              <w:spacing w:after="0"/>
              <w:rPr>
                <w:sz w:val="20"/>
                <w:szCs w:val="20"/>
                <w:color w:val="auto"/>
              </w:rPr>
            </w:pPr>
            <w:r>
              <w:rPr>
                <w:rFonts w:ascii="Arial" w:cs="Arial" w:eastAsia="Arial" w:hAnsi="Arial"/>
                <w:sz w:val="17"/>
                <w:szCs w:val="17"/>
                <w:color w:val="auto"/>
              </w:rPr>
              <w:t>million; shares outstanding: 74.0 million and 74.2 million</w:t>
            </w:r>
          </w:p>
        </w:tc>
        <w:tc>
          <w:tcPr>
            <w:tcW w:w="3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in excess of par value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249.0</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2,792.5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2,456.7</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(159.6)</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Treasury stock, at cost (1.3 million and 1.1 million shares)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(229.5)</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Equity</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2,424.4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2,335.4</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7"/>
                <w:szCs w:val="17"/>
                <w:color w:val="auto"/>
              </w:rPr>
              <w:t>Total Liabilities and Equity</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3,361.7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3,313.8</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 w:name="page6"/>
    <w:bookmarkEnd w:id="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580"/>
        <w:spacing w:after="0" w:line="275" w:lineRule="auto"/>
        <w:rPr>
          <w:sz w:val="20"/>
          <w:szCs w:val="20"/>
          <w:color w:val="auto"/>
        </w:rPr>
      </w:pPr>
      <w:r>
        <w:rPr>
          <w:rFonts w:ascii="Arial" w:cs="Arial" w:eastAsia="Arial" w:hAnsi="Arial"/>
          <w:sz w:val="18"/>
          <w:szCs w:val="18"/>
          <w:b w:val="1"/>
          <w:bCs w:val="1"/>
          <w:color w:val="auto"/>
        </w:rPr>
        <w:t xml:space="preserve">CONDENSED CONSOLIDATED STATEMENTS OF CASH FLOWS (UNAUDITED) </w:t>
      </w:r>
      <w:r>
        <w:rPr>
          <w:rFonts w:ascii="Arial" w:cs="Arial" w:eastAsia="Arial" w:hAnsi="Arial"/>
          <w:sz w:val="18"/>
          <w:szCs w:val="18"/>
          <w:color w:val="auto"/>
        </w:rPr>
        <w:t>West Pharmaceutical Services, Inc. and Subsidiaries (in millions)</w:t>
      </w:r>
    </w:p>
    <w:p>
      <w:pPr>
        <w:spacing w:after="0" w:line="203"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Six Months Ended</w:t>
      </w:r>
    </w:p>
    <w:p>
      <w:pPr>
        <w:jc w:val="center"/>
        <w:ind w:left="7960"/>
        <w:spacing w:after="0"/>
        <w:rPr>
          <w:sz w:val="20"/>
          <w:szCs w:val="20"/>
          <w:color w:val="auto"/>
        </w:rPr>
      </w:pPr>
      <w:r>
        <w:rPr>
          <w:rFonts w:ascii="Arial" w:cs="Arial" w:eastAsia="Arial" w:hAnsi="Arial"/>
          <w:sz w:val="18"/>
          <w:szCs w:val="18"/>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362.3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338.5</w:t>
            </w: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29"/>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798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Pension settlement charge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7980" w:type="dxa"/>
            <w:vAlign w:val="bottom"/>
          </w:tcPr>
          <w:p>
            <w:pPr>
              <w:ind w:left="400"/>
              <w:spacing w:after="0"/>
              <w:rPr>
                <w:sz w:val="20"/>
                <w:szCs w:val="20"/>
                <w:color w:val="auto"/>
              </w:rPr>
            </w:pPr>
            <w:r>
              <w:rPr>
                <w:rFonts w:ascii="Arial" w:cs="Arial" w:eastAsia="Arial" w:hAnsi="Arial"/>
                <w:sz w:val="18"/>
                <w:szCs w:val="18"/>
                <w:color w:val="auto"/>
              </w:rPr>
              <w:t>Contingent consideration payments in excess of acquisition-date liability</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items, net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r>
      <w:tr>
        <w:trPr>
          <w:trHeight w:val="142"/>
        </w:trPr>
        <w:tc>
          <w:tcPr>
            <w:tcW w:w="7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(131.9)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(111.6)</w:t>
            </w: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(134.3)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r>
      <w:tr>
        <w:trPr>
          <w:trHeight w:val="142"/>
        </w:trPr>
        <w:tc>
          <w:tcPr>
            <w:tcW w:w="79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of long-term debt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payments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Proceeds from stock-based compensation awards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stock purchase plan contributions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Shares purchased under share repurchase programs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(175.7)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(137.1)</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repurchased for employee tax withholdings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(208.9)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162"/>
        </w:trPr>
        <w:tc>
          <w:tcPr>
            <w:tcW w:w="7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including cash equivalents at beginning of period</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including cash equivalents at end of period</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252" w:lineRule="exact"/>
        <w:rPr>
          <w:sz w:val="20"/>
          <w:szCs w:val="20"/>
          <w:color w:val="auto"/>
        </w:rPr>
      </w:pPr>
    </w:p>
    <w:p>
      <w:pPr>
        <w:spacing w:after="0" w:line="289" w:lineRule="auto"/>
        <w:rPr>
          <w:rFonts w:ascii="Arial" w:cs="Arial" w:eastAsia="Arial" w:hAnsi="Arial"/>
          <w:sz w:val="16"/>
          <w:szCs w:val="16"/>
          <w:color w:val="0000FF"/>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 The condensed consolidated financial statements included in this report are unaudited and have been prepared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and six months ended June 30, 2022, should be read in conjunction with the consolidated financial statements and notes thereto of West Pharmaceutical Services, Inc. and its majority-owned subsidiaries (which may be referred to </w:t>
      </w:r>
      <w:hyperlink r:id="rId16">
        <w:r>
          <w:rPr>
            <w:rFonts w:ascii="Arial" w:cs="Arial" w:eastAsia="Arial" w:hAnsi="Arial"/>
            <w:sz w:val="16"/>
            <w:szCs w:val="16"/>
            <w:color w:val="auto"/>
          </w:rPr>
          <w:t>as “West”, the “Company”, “we”, “us” or “our”) appearing in our Annual Report on Form 10-K for the year ended December 31, 2021 (the “</w:t>
        </w:r>
        <w:r>
          <w:rPr>
            <w:rFonts w:ascii="Arial" w:cs="Arial" w:eastAsia="Arial" w:hAnsi="Arial"/>
            <w:sz w:val="16"/>
            <w:szCs w:val="16"/>
            <w:u w:val="single" w:color="auto"/>
            <w:color w:val="0000FF"/>
          </w:rPr>
          <w:t>2021 Annual</w:t>
        </w:r>
      </w:hyperlink>
      <w:r>
        <w:rPr>
          <w:rFonts w:ascii="Arial" w:cs="Arial" w:eastAsia="Arial" w:hAnsi="Arial"/>
          <w:sz w:val="16"/>
          <w:szCs w:val="16"/>
          <w:color w:val="auto"/>
        </w:rPr>
        <w:t xml:space="preserve"> </w:t>
      </w:r>
      <w:hyperlink r:id="rId16">
        <w:r>
          <w:rPr>
            <w:rFonts w:ascii="Arial" w:cs="Arial" w:eastAsia="Arial" w:hAnsi="Arial"/>
            <w:sz w:val="16"/>
            <w:szCs w:val="16"/>
            <w:u w:val="single" w:color="auto"/>
            <w:color w:val="0000FF"/>
          </w:rPr>
          <w:t>Report</w:t>
        </w:r>
        <w:r>
          <w:rPr>
            <w:rFonts w:ascii="Arial" w:cs="Arial" w:eastAsia="Arial" w:hAnsi="Arial"/>
            <w:sz w:val="16"/>
            <w:szCs w:val="16"/>
            <w:color w:val="000000"/>
          </w:rPr>
          <w:t>”). The results of operations for any interim period are not necessarily indicative of results for the full year.</w:t>
        </w:r>
      </w:hyperlink>
    </w:p>
    <w:p>
      <w:pPr>
        <w:spacing w:after="0" w:line="19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West has been actively monitoring the coronavirus (“COVID-19”) situation and its impact globally. Our production facilities continue to operate as they had prior to the COVID-19 pandemic, other than for enhanced safety measures intended to prevent the spread of the virus. The remote working arrangements and travel restrictions imposed by various governments had limited impact on our ability to maintain operations, as our manufacturing operations have generally been exempted from stay-at-home orders.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Standards</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November 2021, the Financial Accounting Standards Board ("FASB") issued guidance that seeks to improve the transparency of financial disclosures for government assistance received by business entities. The amendment requires disclosures for transactions with a government accounted for by applying a grant or contribution accounting model by analogy, including (1) the types of transactions, (2) the accounting for those transactions, and (3) the effect of those transactions on an entity’s financial statements. This guidance is effective for fiscal years beginning after December 15, 2021. We adopted this guidance as of January 1, 2022, on a prospective basis. The adoption did not have a material impact on our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Issued Not Yet Adopted</w:t>
      </w:r>
    </w:p>
    <w:p>
      <w:pPr>
        <w:spacing w:after="0" w:line="256"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In March 2020, the FASB issued guidance which provides optional expedients and exceptions to address the impact of reference rate reform where contracts, hedging relationships and other transactions that reference the London Interbank Offered Rate ("LIBOR") or another reference rate need to be discontinued. This guidance was effective upon issuance and generally can be applied through December 31, 2022. We have identified the contracts impacted by reference rate reform, and have executed certain amendments to replace the use of LIBOR. The Company does not expect such adoption to cause a material impact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 w:name="page8"/>
    <w:bookmarkEnd w:id="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9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revenue results from the sale of goods or services and reflects the consideration to which we expect to be entitled in exchange for those goods or services. We record revenue based on a five-step model, in accordance with ASC Topic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gridSpan w:val="4"/>
          </w:tcPr>
          <w:p>
            <w:pPr>
              <w:spacing w:after="0"/>
              <w:rPr>
                <w:sz w:val="20"/>
                <w:szCs w:val="20"/>
                <w:color w:val="auto"/>
              </w:rPr>
            </w:pPr>
            <w:r>
              <w:rPr>
                <w:rFonts w:ascii="Arial" w:cs="Arial" w:eastAsia="Arial" w:hAnsi="Arial"/>
                <w:sz w:val="18"/>
                <w:szCs w:val="18"/>
                <w:color w:val="auto"/>
                <w:w w:val="98"/>
              </w:rPr>
              <w:t>The following table presents the approximate percentage of our net sales by market group:</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3"/>
        </w:trPr>
        <w:tc>
          <w:tcPr>
            <w:tcW w:w="4980" w:type="dxa"/>
            <w:vAlign w:val="bottom"/>
          </w:tcPr>
          <w:p>
            <w:pPr>
              <w:spacing w:after="0"/>
              <w:rPr>
                <w:sz w:val="17"/>
                <w:szCs w:val="17"/>
                <w:color w:val="auto"/>
              </w:rPr>
            </w:pPr>
          </w:p>
        </w:tc>
        <w:tc>
          <w:tcPr>
            <w:tcW w:w="3360" w:type="dxa"/>
            <w:vAlign w:val="bottom"/>
            <w:gridSpan w:val="5"/>
          </w:tcPr>
          <w:p>
            <w:pPr>
              <w:jc w:val="center"/>
              <w:ind w:right="120"/>
              <w:spacing w:after="0" w:line="202" w:lineRule="exact"/>
              <w:rPr>
                <w:sz w:val="20"/>
                <w:szCs w:val="20"/>
                <w:color w:val="auto"/>
              </w:rPr>
            </w:pPr>
            <w:r>
              <w:rPr>
                <w:rFonts w:ascii="Arial" w:cs="Arial" w:eastAsia="Arial" w:hAnsi="Arial"/>
                <w:sz w:val="18"/>
                <w:szCs w:val="18"/>
                <w:color w:val="auto"/>
                <w:w w:val="90"/>
              </w:rPr>
              <w:t>Three Months Ended</w:t>
            </w:r>
          </w:p>
        </w:tc>
        <w:tc>
          <w:tcPr>
            <w:tcW w:w="2900" w:type="dxa"/>
            <w:vAlign w:val="bottom"/>
            <w:gridSpan w:val="4"/>
          </w:tcPr>
          <w:p>
            <w:pPr>
              <w:jc w:val="center"/>
              <w:spacing w:after="0" w:line="202" w:lineRule="exact"/>
              <w:rPr>
                <w:sz w:val="20"/>
                <w:szCs w:val="20"/>
                <w:color w:val="auto"/>
              </w:rPr>
            </w:pPr>
            <w:r>
              <w:rPr>
                <w:rFonts w:ascii="Arial" w:cs="Arial" w:eastAsia="Arial" w:hAnsi="Arial"/>
                <w:sz w:val="18"/>
                <w:szCs w:val="18"/>
                <w:color w:val="auto"/>
                <w:w w:val="91"/>
              </w:rPr>
              <w:t>Six Months Ended</w:t>
            </w:r>
          </w:p>
        </w:tc>
      </w:tr>
      <w:tr>
        <w:trPr>
          <w:trHeight w:val="229"/>
        </w:trPr>
        <w:tc>
          <w:tcPr>
            <w:tcW w:w="4980" w:type="dxa"/>
            <w:vAlign w:val="bottom"/>
          </w:tcPr>
          <w:p>
            <w:pPr>
              <w:spacing w:after="0"/>
              <w:rPr>
                <w:sz w:val="19"/>
                <w:szCs w:val="19"/>
                <w:color w:val="auto"/>
              </w:rPr>
            </w:pPr>
          </w:p>
        </w:tc>
        <w:tc>
          <w:tcPr>
            <w:tcW w:w="214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86"/>
              </w:rPr>
              <w:t>June 30,</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color w:val="auto"/>
                <w:w w:val="86"/>
              </w:rPr>
              <w:t>June 30,</w:t>
            </w:r>
          </w:p>
        </w:tc>
        <w:tc>
          <w:tcPr>
            <w:tcW w:w="1020" w:type="dxa"/>
            <w:vAlign w:val="bottom"/>
            <w:tcBorders>
              <w:bottom w:val="single" w:sz="8" w:color="auto"/>
            </w:tcBorders>
          </w:tcPr>
          <w:p>
            <w:pPr>
              <w:spacing w:after="0"/>
              <w:rPr>
                <w:sz w:val="19"/>
                <w:szCs w:val="19"/>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Biologics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Generics</w:t>
            </w:r>
          </w:p>
        </w:tc>
        <w:tc>
          <w:tcPr>
            <w:tcW w:w="156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68"/>
        </w:trPr>
        <w:tc>
          <w:tcPr>
            <w:tcW w:w="7120" w:type="dxa"/>
            <w:vAlign w:val="bottom"/>
            <w:gridSpan w:val="4"/>
          </w:tcPr>
          <w:p>
            <w:pPr>
              <w:spacing w:after="0"/>
              <w:rPr>
                <w:sz w:val="20"/>
                <w:szCs w:val="20"/>
                <w:color w:val="auto"/>
              </w:rPr>
            </w:pPr>
            <w:r>
              <w:rPr>
                <w:rFonts w:ascii="Arial" w:cs="Arial" w:eastAsia="Arial" w:hAnsi="Arial"/>
                <w:sz w:val="18"/>
                <w:szCs w:val="18"/>
                <w:color w:val="auto"/>
                <w:w w:val="94"/>
              </w:rPr>
              <w:t>The following table presents the approximate percentage of our net sales by product category:</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4980" w:type="dxa"/>
            <w:vAlign w:val="bottom"/>
          </w:tcPr>
          <w:p>
            <w:pPr>
              <w:spacing w:after="0"/>
              <w:rPr>
                <w:sz w:val="17"/>
                <w:szCs w:val="17"/>
                <w:color w:val="auto"/>
              </w:rPr>
            </w:pPr>
          </w:p>
        </w:tc>
        <w:tc>
          <w:tcPr>
            <w:tcW w:w="3360" w:type="dxa"/>
            <w:vAlign w:val="bottom"/>
            <w:gridSpan w:val="5"/>
          </w:tcPr>
          <w:p>
            <w:pPr>
              <w:jc w:val="center"/>
              <w:ind w:right="120"/>
              <w:spacing w:after="0" w:line="202" w:lineRule="exact"/>
              <w:rPr>
                <w:sz w:val="20"/>
                <w:szCs w:val="20"/>
                <w:color w:val="auto"/>
              </w:rPr>
            </w:pPr>
            <w:r>
              <w:rPr>
                <w:rFonts w:ascii="Arial" w:cs="Arial" w:eastAsia="Arial" w:hAnsi="Arial"/>
                <w:sz w:val="18"/>
                <w:szCs w:val="18"/>
                <w:color w:val="auto"/>
                <w:w w:val="90"/>
              </w:rPr>
              <w:t>Three Months Ended</w:t>
            </w:r>
          </w:p>
        </w:tc>
        <w:tc>
          <w:tcPr>
            <w:tcW w:w="2900" w:type="dxa"/>
            <w:vAlign w:val="bottom"/>
            <w:gridSpan w:val="4"/>
          </w:tcPr>
          <w:p>
            <w:pPr>
              <w:jc w:val="center"/>
              <w:spacing w:after="0" w:line="202" w:lineRule="exact"/>
              <w:rPr>
                <w:sz w:val="20"/>
                <w:szCs w:val="20"/>
                <w:color w:val="auto"/>
              </w:rPr>
            </w:pPr>
            <w:r>
              <w:rPr>
                <w:rFonts w:ascii="Arial" w:cs="Arial" w:eastAsia="Arial" w:hAnsi="Arial"/>
                <w:sz w:val="18"/>
                <w:szCs w:val="18"/>
                <w:color w:val="auto"/>
                <w:w w:val="91"/>
              </w:rPr>
              <w:t>Six Months Ended</w:t>
            </w:r>
          </w:p>
        </w:tc>
      </w:tr>
      <w:tr>
        <w:trPr>
          <w:trHeight w:val="229"/>
        </w:trPr>
        <w:tc>
          <w:tcPr>
            <w:tcW w:w="4980" w:type="dxa"/>
            <w:vAlign w:val="bottom"/>
          </w:tcPr>
          <w:p>
            <w:pPr>
              <w:spacing w:after="0"/>
              <w:rPr>
                <w:sz w:val="19"/>
                <w:szCs w:val="19"/>
                <w:color w:val="auto"/>
              </w:rPr>
            </w:pPr>
          </w:p>
        </w:tc>
        <w:tc>
          <w:tcPr>
            <w:tcW w:w="214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86"/>
              </w:rPr>
              <w:t>June 30,</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color w:val="auto"/>
                <w:w w:val="86"/>
              </w:rPr>
              <w:t>June 30,</w:t>
            </w:r>
          </w:p>
        </w:tc>
        <w:tc>
          <w:tcPr>
            <w:tcW w:w="1020" w:type="dxa"/>
            <w:vAlign w:val="bottom"/>
            <w:tcBorders>
              <w:bottom w:val="single" w:sz="8" w:color="auto"/>
            </w:tcBorders>
          </w:tcPr>
          <w:p>
            <w:pPr>
              <w:spacing w:after="0"/>
              <w:rPr>
                <w:sz w:val="19"/>
                <w:szCs w:val="19"/>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High-Value Product Components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High-Value Product Delivery Devices</w:t>
            </w:r>
          </w:p>
        </w:tc>
        <w:tc>
          <w:tcPr>
            <w:tcW w:w="156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 Packaging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55"/>
        </w:trPr>
        <w:tc>
          <w:tcPr>
            <w:tcW w:w="7120" w:type="dxa"/>
            <w:vAlign w:val="bottom"/>
            <w:gridSpan w:val="4"/>
          </w:tcPr>
          <w:p>
            <w:pPr>
              <w:spacing w:after="0"/>
              <w:rPr>
                <w:sz w:val="20"/>
                <w:szCs w:val="20"/>
                <w:color w:val="auto"/>
              </w:rPr>
            </w:pPr>
            <w:r>
              <w:rPr>
                <w:rFonts w:ascii="Arial" w:cs="Arial" w:eastAsia="Arial" w:hAnsi="Arial"/>
                <w:sz w:val="18"/>
                <w:szCs w:val="18"/>
                <w:color w:val="auto"/>
                <w:w w:val="92"/>
              </w:rPr>
              <w:t>The following table presents the approximate percentage of our net sales by geographic location:</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4980" w:type="dxa"/>
            <w:vAlign w:val="bottom"/>
          </w:tcPr>
          <w:p>
            <w:pPr>
              <w:spacing w:after="0"/>
              <w:rPr>
                <w:sz w:val="17"/>
                <w:szCs w:val="17"/>
                <w:color w:val="auto"/>
              </w:rPr>
            </w:pPr>
          </w:p>
        </w:tc>
        <w:tc>
          <w:tcPr>
            <w:tcW w:w="3360" w:type="dxa"/>
            <w:vAlign w:val="bottom"/>
            <w:gridSpan w:val="5"/>
          </w:tcPr>
          <w:p>
            <w:pPr>
              <w:jc w:val="center"/>
              <w:ind w:right="120"/>
              <w:spacing w:after="0" w:line="202" w:lineRule="exact"/>
              <w:rPr>
                <w:sz w:val="20"/>
                <w:szCs w:val="20"/>
                <w:color w:val="auto"/>
              </w:rPr>
            </w:pPr>
            <w:r>
              <w:rPr>
                <w:rFonts w:ascii="Arial" w:cs="Arial" w:eastAsia="Arial" w:hAnsi="Arial"/>
                <w:sz w:val="18"/>
                <w:szCs w:val="18"/>
                <w:color w:val="auto"/>
                <w:w w:val="90"/>
              </w:rPr>
              <w:t>Three Months Ended</w:t>
            </w:r>
          </w:p>
        </w:tc>
        <w:tc>
          <w:tcPr>
            <w:tcW w:w="2900" w:type="dxa"/>
            <w:vAlign w:val="bottom"/>
            <w:gridSpan w:val="4"/>
          </w:tcPr>
          <w:p>
            <w:pPr>
              <w:jc w:val="center"/>
              <w:spacing w:after="0" w:line="202" w:lineRule="exact"/>
              <w:rPr>
                <w:sz w:val="20"/>
                <w:szCs w:val="20"/>
                <w:color w:val="auto"/>
              </w:rPr>
            </w:pPr>
            <w:r>
              <w:rPr>
                <w:rFonts w:ascii="Arial" w:cs="Arial" w:eastAsia="Arial" w:hAnsi="Arial"/>
                <w:sz w:val="18"/>
                <w:szCs w:val="18"/>
                <w:color w:val="auto"/>
                <w:w w:val="91"/>
              </w:rPr>
              <w:t>Six Months Ended</w:t>
            </w:r>
          </w:p>
        </w:tc>
      </w:tr>
      <w:tr>
        <w:trPr>
          <w:trHeight w:val="229"/>
        </w:trPr>
        <w:tc>
          <w:tcPr>
            <w:tcW w:w="4980" w:type="dxa"/>
            <w:vAlign w:val="bottom"/>
          </w:tcPr>
          <w:p>
            <w:pPr>
              <w:spacing w:after="0"/>
              <w:rPr>
                <w:sz w:val="19"/>
                <w:szCs w:val="19"/>
                <w:color w:val="auto"/>
              </w:rPr>
            </w:pPr>
          </w:p>
        </w:tc>
        <w:tc>
          <w:tcPr>
            <w:tcW w:w="214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86"/>
              </w:rPr>
              <w:t>June 30,</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color w:val="auto"/>
                <w:w w:val="86"/>
              </w:rPr>
              <w:t>June 30,</w:t>
            </w:r>
          </w:p>
        </w:tc>
        <w:tc>
          <w:tcPr>
            <w:tcW w:w="1020" w:type="dxa"/>
            <w:vAlign w:val="bottom"/>
            <w:tcBorders>
              <w:bottom w:val="single" w:sz="8" w:color="auto"/>
            </w:tcBorders>
          </w:tcPr>
          <w:p>
            <w:pPr>
              <w:spacing w:after="0"/>
              <w:rPr>
                <w:sz w:val="19"/>
                <w:szCs w:val="19"/>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Europe, Middle East, Africa</w:t>
            </w:r>
          </w:p>
        </w:tc>
        <w:tc>
          <w:tcPr>
            <w:tcW w:w="1560" w:type="dxa"/>
            <w:vAlign w:val="bottom"/>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3"/>
        </w:trPr>
        <w:tc>
          <w:tcPr>
            <w:tcW w:w="49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4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Arial" w:cs="Arial" w:eastAsia="Arial" w:hAnsi="Arial"/>
                <w:sz w:val="18"/>
                <w:szCs w:val="18"/>
                <w:b w:val="1"/>
                <w:bCs w:val="1"/>
                <w:color w:val="auto"/>
              </w:rPr>
              <w:t>Contract Assets and Liabilities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99"/>
        </w:trPr>
        <w:tc>
          <w:tcPr>
            <w:tcW w:w="9680" w:type="dxa"/>
            <w:vAlign w:val="bottom"/>
          </w:tcPr>
          <w:p>
            <w:pPr>
              <w:spacing w:after="0"/>
              <w:rPr>
                <w:sz w:val="20"/>
                <w:szCs w:val="20"/>
                <w:color w:val="auto"/>
              </w:rPr>
            </w:pPr>
            <w:r>
              <w:rPr>
                <w:rFonts w:ascii="Arial" w:cs="Arial" w:eastAsia="Arial" w:hAnsi="Arial"/>
                <w:sz w:val="18"/>
                <w:szCs w:val="18"/>
                <w:color w:val="auto"/>
              </w:rPr>
              <w:t>The following table summarizes our contract assets and liabilities: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96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in millions)</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December 31, 2021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June 30, 2022</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December 31, 2021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June 30, 2022</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deferred income - (increase) decrease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2022, $17.5 million of revenue was recognized that was included in deferred income at the beginning of the year.</w:t>
      </w:r>
    </w:p>
    <w:p>
      <w:pPr>
        <w:spacing w:after="0" w:line="28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platform within a specific therapeutic area. As of June 30, 2022, there was $3.4 million of unearned income related to this payment, of which $0.9 million was included in other current liabilities and $2.5 million was included in other long-term liabilities. The unearned income is being recognized as income on a straight-line basis over the remaining term of the agreement. The agreement does not include a future minimum purchase commitment from the customer.</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Note 4: Net Income Per Share</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260" w:type="dxa"/>
            <w:vAlign w:val="bottom"/>
            <w:gridSpan w:val="11"/>
          </w:tcPr>
          <w:p>
            <w:pPr>
              <w:spacing w:after="0"/>
              <w:rPr>
                <w:sz w:val="20"/>
                <w:szCs w:val="20"/>
                <w:color w:val="auto"/>
              </w:rPr>
            </w:pPr>
            <w:r>
              <w:rPr>
                <w:rFonts w:ascii="Arial" w:cs="Arial" w:eastAsia="Arial" w:hAnsi="Arial"/>
                <w:sz w:val="18"/>
                <w:szCs w:val="18"/>
                <w:color w:val="auto"/>
                <w:w w:val="90"/>
              </w:rPr>
              <w:t>The following table reconciles the shares used in the calculation of basic net income per share to those used for diluted net income per share: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80" w:type="dxa"/>
            <w:vAlign w:val="bottom"/>
          </w:tcPr>
          <w:p>
            <w:pPr>
              <w:spacing w:after="0"/>
              <w:rPr>
                <w:sz w:val="17"/>
                <w:szCs w:val="17"/>
                <w:color w:val="auto"/>
              </w:rPr>
            </w:pPr>
          </w:p>
        </w:tc>
        <w:tc>
          <w:tcPr>
            <w:tcW w:w="2700" w:type="dxa"/>
            <w:vAlign w:val="bottom"/>
            <w:gridSpan w:val="4"/>
          </w:tcPr>
          <w:p>
            <w:pPr>
              <w:jc w:val="center"/>
              <w:ind w:left="450"/>
              <w:spacing w:after="0" w:line="202" w:lineRule="exact"/>
              <w:rPr>
                <w:sz w:val="20"/>
                <w:szCs w:val="20"/>
                <w:color w:val="auto"/>
              </w:rPr>
            </w:pPr>
            <w:r>
              <w:rPr>
                <w:rFonts w:ascii="Arial" w:cs="Arial" w:eastAsia="Arial" w:hAnsi="Arial"/>
                <w:sz w:val="18"/>
                <w:szCs w:val="18"/>
                <w:color w:val="auto"/>
                <w:w w:val="90"/>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center"/>
              <w:ind w:right="210"/>
              <w:spacing w:after="0" w:line="202" w:lineRule="exact"/>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color w:val="auto"/>
                <w:w w:val="86"/>
              </w:rPr>
              <w:t>June 30,</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6"/>
              </w:rPr>
              <w:t>June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74.4</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74.0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74.4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Dilutive effect of equity awards, based on the treasury stock method</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Weighted average shares assuming dilution</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During the three months ended June 30, 2022 and 2021, there were 0.1 million and 0.1 million shares, respectively, from stock-based compensation plans not included in the computation of diluted net income per share because their impact was antidilutive. There were 0.1 million and 0.1 million antidilutive shares outstanding during the six months ended June 30, 2022 and 2021, respectively.</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December 2021, our Board of Directors approved a share repurchase program for calendar-year 2022 authorizing the repurchase of up to 650,000 shares of our common stock from time to time on the open market as permitted under Exchange Act Rule 10b-18 or in privately-negotiated transactions. The number of shares to be repurchased and the timing of such transactions will depend on a variety of factors, including market conditions. This share repurchase program is expected to be completed by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three months ended June 30, 2022, we purchased 86,667 shares of our common stock under the program at a cost of $28.6 million, or an average price of $329.40 per share. During the six months ended June 30, 2022, we purchased 476,667 shares of our common stock under the program at a cost of $175.7 million, or an average price of $368.54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Note 5: Inventories</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520" w:type="dxa"/>
            <w:vAlign w:val="bottom"/>
            <w:gridSpan w:val="5"/>
          </w:tcPr>
          <w:p>
            <w:pPr>
              <w:spacing w:after="0"/>
              <w:rPr>
                <w:sz w:val="20"/>
                <w:szCs w:val="20"/>
                <w:color w:val="auto"/>
              </w:rPr>
            </w:pPr>
            <w:r>
              <w:rPr>
                <w:rFonts w:ascii="Arial" w:cs="Arial" w:eastAsia="Arial" w:hAnsi="Arial"/>
                <w:sz w:val="18"/>
                <w:szCs w:val="18"/>
                <w:color w:val="auto"/>
                <w:w w:val="92"/>
              </w:rPr>
              <w:t>Inventories are valued at the lower of cost (on a first-in, first-out basis) or net realizable value. Inventory balances were as follows:</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4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460" w:type="dxa"/>
            <w:vAlign w:val="bottom"/>
          </w:tcPr>
          <w:p>
            <w:pPr>
              <w:spacing w:after="0"/>
              <w:rPr>
                <w:sz w:val="17"/>
                <w:szCs w:val="17"/>
                <w:color w:val="auto"/>
              </w:rPr>
            </w:pPr>
          </w:p>
        </w:tc>
        <w:tc>
          <w:tcPr>
            <w:tcW w:w="18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June 30,</w:t>
            </w:r>
          </w:p>
        </w:tc>
        <w:tc>
          <w:tcPr>
            <w:tcW w:w="540" w:type="dxa"/>
            <w:vAlign w:val="bottom"/>
          </w:tcPr>
          <w:p>
            <w:pPr>
              <w:spacing w:after="0"/>
              <w:rPr>
                <w:sz w:val="17"/>
                <w:szCs w:val="17"/>
                <w:color w:val="auto"/>
              </w:rPr>
            </w:pPr>
          </w:p>
        </w:tc>
        <w:tc>
          <w:tcPr>
            <w:tcW w:w="1720" w:type="dxa"/>
            <w:vAlign w:val="bottom"/>
          </w:tcPr>
          <w:p>
            <w:pPr>
              <w:jc w:val="right"/>
              <w:ind w:right="530"/>
              <w:spacing w:after="0" w:line="202" w:lineRule="exact"/>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The components of lease expense were as follows: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7"/>
          </w:tcPr>
          <w:p>
            <w:pPr>
              <w:jc w:val="right"/>
              <w:ind w:right="1040"/>
              <w:spacing w:after="0" w:line="202" w:lineRule="exact"/>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gridSpan w:val="3"/>
          </w:tcPr>
          <w:p>
            <w:pPr>
              <w:ind w:left="620"/>
              <w:spacing w:after="0" w:line="202" w:lineRule="exact"/>
              <w:rPr>
                <w:sz w:val="20"/>
                <w:szCs w:val="20"/>
                <w:color w:val="auto"/>
              </w:rPr>
            </w:pPr>
            <w:r>
              <w:rPr>
                <w:rFonts w:ascii="Arial" w:cs="Arial" w:eastAsia="Arial" w:hAnsi="Arial"/>
                <w:sz w:val="18"/>
                <w:szCs w:val="18"/>
                <w:color w:val="auto"/>
                <w:w w:val="91"/>
              </w:rPr>
              <w:t>Six Months Ended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June 30,</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Total lease cost</w:t>
            </w:r>
          </w:p>
        </w:tc>
        <w:tc>
          <w:tcPr>
            <w:tcW w:w="4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42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96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6040" w:type="dxa"/>
            <w:vAlign w:val="bottom"/>
            <w:gridSpan w:val="7"/>
          </w:tcPr>
          <w:p>
            <w:pPr>
              <w:spacing w:after="0"/>
              <w:rPr>
                <w:sz w:val="20"/>
                <w:szCs w:val="20"/>
                <w:color w:val="auto"/>
              </w:rPr>
            </w:pPr>
            <w:r>
              <w:rPr>
                <w:rFonts w:ascii="Arial" w:cs="Arial" w:eastAsia="Arial" w:hAnsi="Arial"/>
                <w:sz w:val="18"/>
                <w:szCs w:val="18"/>
                <w:color w:val="auto"/>
              </w:rPr>
              <w:t>Supplemental cash flow information related to leases were as follows: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7"/>
          </w:tcPr>
          <w:p>
            <w:pPr>
              <w:jc w:val="center"/>
              <w:ind w:right="340"/>
              <w:spacing w:after="0" w:line="202" w:lineRule="exact"/>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20" w:type="dxa"/>
            <w:vAlign w:val="bottom"/>
            <w:gridSpan w:val="4"/>
          </w:tcPr>
          <w:p>
            <w:pPr>
              <w:ind w:left="680"/>
              <w:spacing w:after="0" w:line="202" w:lineRule="exact"/>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5"/>
          </w:tcPr>
          <w:p>
            <w:pPr>
              <w:jc w:val="center"/>
              <w:ind w:left="830"/>
              <w:spacing w:after="0"/>
              <w:rPr>
                <w:sz w:val="20"/>
                <w:szCs w:val="20"/>
                <w:color w:val="auto"/>
              </w:rPr>
            </w:pPr>
            <w:r>
              <w:rPr>
                <w:rFonts w:ascii="Arial" w:cs="Arial" w:eastAsia="Arial" w:hAnsi="Arial"/>
                <w:sz w:val="18"/>
                <w:szCs w:val="18"/>
                <w:color w:val="auto"/>
                <w:w w:val="86"/>
              </w:rPr>
              <w:t>June 30,</w:t>
            </w: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in millions)</w:t>
            </w: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155"/>
        </w:trPr>
        <w:tc>
          <w:tcPr>
            <w:tcW w:w="43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Cash paid for amounts included in the measurement of</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6.3</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76"/>
        </w:trPr>
        <w:tc>
          <w:tcPr>
            <w:tcW w:w="4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Right-of-use assets obtained in exchange for new operating</w:t>
            </w: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CCEEFF"/>
          </w:tcPr>
          <w:p>
            <w:pPr>
              <w:ind w:left="960"/>
              <w:spacing w:after="0"/>
              <w:rPr>
                <w:sz w:val="20"/>
                <w:szCs w:val="20"/>
                <w:color w:val="auto"/>
              </w:rPr>
            </w:pPr>
            <w:r>
              <w:rPr>
                <w:rFonts w:ascii="Arial" w:cs="Arial" w:eastAsia="Arial" w:hAnsi="Arial"/>
                <w:sz w:val="18"/>
                <w:szCs w:val="18"/>
                <w:color w:val="auto"/>
              </w:rPr>
              <w:t>15.5</w:t>
            </w:r>
          </w:p>
        </w:tc>
        <w:tc>
          <w:tcPr>
            <w:tcW w:w="64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40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2022 and December 31, 2021, the weighted average remaining lease term for operating leases was 10.0 and 10.7 years,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and December 31, 2021, the weighted average discount rate was 3.46% and 3.58%,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Maturities of operating lease liabilities were as follows: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80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80" w:type="dxa"/>
            <w:vAlign w:val="bottom"/>
          </w:tcPr>
          <w:p>
            <w:pPr>
              <w:spacing w:after="0"/>
              <w:rPr>
                <w:sz w:val="22"/>
                <w:szCs w:val="22"/>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2"/>
                <w:szCs w:val="22"/>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5"/>
              </w:rPr>
              <w:t>December 31,</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 period as of )</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r>
      <w:tr>
        <w:trPr>
          <w:trHeight w:val="223"/>
        </w:trPr>
        <w:tc>
          <w:tcPr>
            <w:tcW w:w="80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lease interest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Affiliated Companies</w:t>
      </w:r>
    </w:p>
    <w:p>
      <w:pPr>
        <w:spacing w:after="0" w:line="25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At June 30, 2022 and December 31, 2021, the aggregate carrying amount of our investment in affiliated companies that are accounted for under the equity method was $183.2 million and $201.2 million, respectively, and the aggregate carrying amount of our investment in affiliated companies that are not accounted for under the equity method was $10.1 million and $6.5 million, respectively. We have elected to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purchases from, and royalty payments made to, affiliates totaled $50.6 million and $97.6 million, respectively, for the three and six months ended June 30, 2022, as compared to $47.6 million and $85.6 million, respectively, for the same period in 2021. As of June 30, 2022 and December 31, 2021, the payable balance due to affiliates was $33.8 million and $25.5 million, respectively. The majority of these transactions related to a distributorship agreement with Daikyo Seiko, Ltd. ("Daikyo") that allows us to purchase and re-sell Daikyo products.</w:t>
      </w:r>
    </w:p>
    <w:p>
      <w:pPr>
        <w:spacing w:after="0" w:line="21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Sales to affiliates were $3.6 million and $7.6 million, respectively, for the three and six months ended June 30, 2022, as compared to $3.1 million and $6.0 million, respectively, for the same periods in 2021. As of June 30, 2022 and December 31, 2021, the receivable balance due from affiliates was $3.0 million and $2.3 million, respectively.</w:t>
      </w:r>
    </w:p>
    <w:p>
      <w:pPr>
        <w:spacing w:after="0" w:line="21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Note 7, </w:t>
      </w:r>
      <w:hyperlink r:id="rId16">
        <w:r>
          <w:rPr>
            <w:rFonts w:ascii="Arial" w:cs="Arial" w:eastAsia="Arial" w:hAnsi="Arial"/>
            <w:sz w:val="18"/>
            <w:szCs w:val="18"/>
            <w:i w:val="1"/>
            <w:iCs w:val="1"/>
            <w:u w:val="single" w:color="auto"/>
            <w:color w:val="0000FF"/>
          </w:rPr>
          <w:t>Affiliated Companies</w:t>
        </w:r>
      </w:hyperlink>
      <w:r>
        <w:rPr>
          <w:rFonts w:ascii="Arial" w:cs="Arial" w:eastAsia="Arial" w:hAnsi="Arial"/>
          <w:sz w:val="18"/>
          <w:szCs w:val="18"/>
          <w:color w:val="auto"/>
        </w:rPr>
        <w:t xml:space="preserve">, to the consolidated financial statements in our </w:t>
      </w:r>
      <w:hyperlink r:id="rId16">
        <w:r>
          <w:rPr>
            <w:rFonts w:ascii="Arial" w:cs="Arial" w:eastAsia="Arial" w:hAnsi="Arial"/>
            <w:sz w:val="18"/>
            <w:szCs w:val="18"/>
            <w:u w:val="single" w:color="auto"/>
            <w:color w:val="0000FF"/>
          </w:rPr>
          <w:t>2021 Annual Report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56"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The following table summarizes our long-term debt obligations, net of unamortized debt issuance costs and current maturities. The interest rates shown in parentheses are as of June 30, 2022.</w:t>
      </w:r>
    </w:p>
    <w:tbl>
      <w:tblPr>
        <w:tblLayout w:type="fixed"/>
        <w:tblInd w:w="0" w:type="dxa"/>
        <w:tblCellMar>
          <w:top w:w="0" w:type="dxa"/>
          <w:left w:w="0" w:type="dxa"/>
          <w:bottom w:w="0" w:type="dxa"/>
          <w:right w:w="0" w:type="dxa"/>
        </w:tblCellMar>
      </w:tblPr>
      <w:tr>
        <w:trPr>
          <w:trHeight w:val="178"/>
        </w:trPr>
        <w:tc>
          <w:tcPr>
            <w:tcW w:w="790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280" w:type="dxa"/>
            <w:vAlign w:val="bottom"/>
          </w:tcPr>
          <w:p>
            <w:pPr>
              <w:spacing w:after="0"/>
              <w:rPr>
                <w:sz w:val="15"/>
                <w:szCs w:val="15"/>
                <w:color w:val="auto"/>
              </w:rPr>
            </w:pPr>
          </w:p>
        </w:tc>
        <w:tc>
          <w:tcPr>
            <w:tcW w:w="1400" w:type="dxa"/>
            <w:vAlign w:val="bottom"/>
            <w:gridSpan w:val="2"/>
          </w:tcPr>
          <w:p>
            <w:pPr>
              <w:ind w:left="200"/>
              <w:spacing w:after="0" w:line="178" w:lineRule="exact"/>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15"/>
                <w:szCs w:val="15"/>
                <w:color w:val="auto"/>
              </w:rPr>
            </w:pPr>
          </w:p>
        </w:tc>
        <w:tc>
          <w:tcPr>
            <w:tcW w:w="1360" w:type="dxa"/>
            <w:vAlign w:val="bottom"/>
          </w:tcPr>
          <w:p>
            <w:pPr>
              <w:jc w:val="right"/>
              <w:ind w:right="190"/>
              <w:spacing w:after="0" w:line="178" w:lineRule="exact"/>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due December 31, 2024 (3.03%)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Series A notes, due July 5, 2022 (3.67%)</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notes, due July 5, 2024 (3.82%)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 notes, due July 5, 2027 (4.02%)</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the Series A notes defined maturity date, the Company paid the remaining principal balance of $42.0 million on July 5,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5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March 2022, we amended and extended the existing credit facility (entered into in March 2019), which was scheduled to expire in March 2024, from $300.0 million to a $500.0 million senior unsecured revolving credit facility by entering into a Second Amendment and Joinder and Assumption Agreement (the "Amended Credit Agreement"), filed on Form 8-K dated March 31, 2022. The Amended Credit Agreement, which expires March 2027, contains a senior unsecured, multi-currency revolving credit facility of $500.0 million, with sublimits of up to $50.0 million for swing line loans for Domestic Borrowers in U.S. dollars and a $40.0 million swing line loan for West Pharmaceuticals Services Holding GmbH and up to $50.0 million for the issuance of standby letters of credit. The credit facility may be increased from time-to-time by the greater of (a) $929.0 million or (b) EBITDA for the preceding twelve month period in the aggregate through an increase in the revolving credit facility, subject to the satisfaction of certain conditions. Borrowings under the credit facility bear interest, at the Company’s option, at either: (a) the Term Secured Overnight Financing Rate (“SOFR”) plus 0.10% plus an applicable margin; or (b) a base rate defined as the highest of: (i) the Bank of America “prime rate”; (ii) the Federal Funds effective rate plus</w:t>
      </w:r>
    </w:p>
    <w:p>
      <w:pPr>
        <w:spacing w:after="0" w:line="6"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0.50%; and (iii) Term SOFR plus 1.00%. The applicable margin is based on the ratio of the Company’s Net Consolidated Debt to its modified EBITDA, ranging from 0 to 37.5 basis points for base rate loans and 87.5 to 137.5 basis points for Term SOFR loans. The Amended Credit Agreement contains financial covenants providing that the Company shall not permit the ratio of the Company’s Net Consolidated Debt to its Modified EBITDA to be greater than 3.5 to 1; provided that, no more than three times during the term of the Amended Credit Agreement, upon the occurrence of a Qualified Acquisition for each of the four fiscal quarters of the Company immediately following such Qualified Acquisition, the ratio set forth above shall be increased to 4.0 to</w:t>
      </w:r>
    </w:p>
    <w:p>
      <w:pPr>
        <w:spacing w:after="0" w:line="3" w:lineRule="exact"/>
        <w:rPr>
          <w:sz w:val="20"/>
          <w:szCs w:val="20"/>
          <w:color w:val="auto"/>
        </w:rPr>
      </w:pPr>
    </w:p>
    <w:p>
      <w:pPr>
        <w:ind w:right="220" w:firstLine="8"/>
        <w:spacing w:after="0" w:line="260"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Amended Credit Agreement also contains customary limitations on liens securing indebtedness of the Company and its subsidiaries, fundamental changes (mergers, consolidations, liquidations and dissolutions), asset sales, distributions and acquisitions.</w:t>
      </w:r>
    </w:p>
    <w:p>
      <w:pPr>
        <w:spacing w:after="0" w:line="21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June 30, 2022, the borrowing capacity available under our $500.0 million multi-currency revolving credit facility (the “Credit Facility”), including outstanding letters of credit of $2.4 million, was $497.6 million.</w:t>
      </w:r>
    </w:p>
    <w:p>
      <w:pPr>
        <w:spacing w:after="0" w:line="19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June 30, 2022, we were in compliance with all of our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2" w:name="page13"/>
    <w:bookmarkEnd w:id="1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ind w:right="2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At June 30, 2022, we had $84.4 million in borrowings under the Term Loan, of which $2.2 million was classified as current and $82.2 million was classified as long-term. Please refer to Note 9, </w:t>
      </w:r>
      <w:hyperlink w:anchor="page13">
        <w:r>
          <w:rPr>
            <w:rFonts w:ascii="Arial" w:cs="Arial" w:eastAsia="Arial" w:hAnsi="Arial"/>
            <w:sz w:val="18"/>
            <w:szCs w:val="18"/>
            <w:i w:val="1"/>
            <w:iCs w:val="1"/>
            <w:u w:val="single" w:color="auto"/>
            <w:color w:val="0000FF"/>
          </w:rPr>
          <w:t>Derivative Financial Instruments</w:t>
        </w:r>
      </w:hyperlink>
      <w:r>
        <w:rPr>
          <w:rFonts w:ascii="Arial" w:cs="Arial" w:eastAsia="Arial" w:hAnsi="Arial"/>
          <w:sz w:val="18"/>
          <w:szCs w:val="18"/>
          <w:color w:val="auto"/>
        </w:rPr>
        <w:t>, for a discussion of the foreign currency hedge associated with the Term Loan.</w:t>
      </w:r>
    </w:p>
    <w:p>
      <w:pPr>
        <w:spacing w:after="0" w:line="211"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Please refer to Note 10, </w:t>
      </w:r>
      <w:r>
        <w:rPr>
          <w:rFonts w:ascii="Arial" w:cs="Arial" w:eastAsia="Arial" w:hAnsi="Arial"/>
          <w:sz w:val="16"/>
          <w:szCs w:val="16"/>
          <w:i w:val="1"/>
          <w:iCs w:val="1"/>
          <w:color w:val="auto"/>
        </w:rPr>
        <w:t>Debt</w:t>
      </w:r>
      <w:r>
        <w:rPr>
          <w:rFonts w:ascii="Arial" w:cs="Arial" w:eastAsia="Arial" w:hAnsi="Arial"/>
          <w:sz w:val="16"/>
          <w:szCs w:val="16"/>
          <w:color w:val="auto"/>
        </w:rPr>
        <w:t xml:space="preserve">, to the consolidated financial statements in our </w:t>
      </w:r>
      <w:hyperlink r:id="rId16">
        <w:r>
          <w:rPr>
            <w:rFonts w:ascii="Arial" w:cs="Arial" w:eastAsia="Arial" w:hAnsi="Arial"/>
            <w:sz w:val="16"/>
            <w:szCs w:val="16"/>
            <w:u w:val="single" w:color="auto"/>
            <w:color w:val="0000FF"/>
          </w:rPr>
          <w:t>2021 Annual Report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details regarding our debt agreements.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Financial Instruments</w:t>
      </w:r>
    </w:p>
    <w:p>
      <w:pPr>
        <w:spacing w:after="0" w:line="25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2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entered into forward exchange contracts, designated as fair value hedges, to manage our exposure to fluctuating foreign exchange rates on cross-currency intercompany loans. As of both June 30, 2022 and December 31, 2021, the total amount of these forward exchange contracts was Singapore Dollar (“SGD”) 601.5 million and $13.4 million. We have also entered into a forward exchange contract, designated as a fair value hedge, to manage our exposure to fluctuating foreign exchange rates on certain cross-currency intercompany payables. As of June 30, 2022, the total amount of this forward exchange contract was SGD 33.2 million.</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June 30, 2022, we had outstanding foreign currency contracts to purchase and sell certain pairs of currencies,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jc w:val="right"/>
              <w:ind w:right="330"/>
              <w:spacing w:after="0"/>
              <w:rPr>
                <w:sz w:val="20"/>
                <w:szCs w:val="20"/>
                <w:color w:val="auto"/>
              </w:rPr>
            </w:pPr>
            <w:r>
              <w:rPr>
                <w:rFonts w:ascii="Arial" w:cs="Arial" w:eastAsia="Arial" w:hAnsi="Arial"/>
                <w:sz w:val="18"/>
                <w:szCs w:val="18"/>
                <w:b w:val="1"/>
                <w:bCs w:val="1"/>
                <w:color w:val="auto"/>
              </w:rPr>
              <w:t>Sell</w:t>
            </w:r>
          </w:p>
        </w:tc>
        <w:tc>
          <w:tcPr>
            <w:tcW w:w="1820" w:type="dxa"/>
            <w:vAlign w:val="bottom"/>
          </w:tcPr>
          <w:p>
            <w:pPr>
              <w:spacing w:after="0"/>
              <w:rPr>
                <w:sz w:val="19"/>
                <w:szCs w:val="19"/>
                <w:color w:val="auto"/>
              </w:rPr>
            </w:pPr>
          </w:p>
        </w:tc>
      </w:tr>
      <w:tr>
        <w:trPr>
          <w:trHeight w:val="234"/>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Currency</w:t>
            </w:r>
          </w:p>
        </w:tc>
        <w:tc>
          <w:tcPr>
            <w:tcW w:w="2500" w:type="dxa"/>
            <w:vAlign w:val="bottom"/>
            <w:gridSpan w:val="2"/>
          </w:tcPr>
          <w:p>
            <w:pPr>
              <w:ind w:left="840"/>
              <w:spacing w:after="0"/>
              <w:rPr>
                <w:sz w:val="20"/>
                <w:szCs w:val="20"/>
                <w:color w:val="auto"/>
              </w:rPr>
            </w:pPr>
            <w:r>
              <w:rPr>
                <w:rFonts w:ascii="Arial" w:cs="Arial" w:eastAsia="Arial" w:hAnsi="Arial"/>
                <w:sz w:val="18"/>
                <w:szCs w:val="18"/>
                <w:b w:val="1"/>
                <w:bCs w:val="1"/>
                <w:color w:val="auto"/>
              </w:rPr>
              <w:t>Purchase</w:t>
            </w:r>
          </w:p>
        </w:tc>
        <w:tc>
          <w:tcPr>
            <w:tcW w:w="2960" w:type="dxa"/>
            <w:vAlign w:val="bottom"/>
          </w:tcPr>
          <w:p>
            <w:pPr>
              <w:jc w:val="right"/>
              <w:ind w:right="1490"/>
              <w:spacing w:after="0"/>
              <w:rPr>
                <w:sz w:val="20"/>
                <w:szCs w:val="20"/>
                <w:color w:val="auto"/>
              </w:rPr>
            </w:pPr>
            <w:r>
              <w:rPr>
                <w:rFonts w:ascii="Arial" w:cs="Arial" w:eastAsia="Arial" w:hAnsi="Arial"/>
                <w:sz w:val="18"/>
                <w:szCs w:val="18"/>
                <w:b w:val="1"/>
                <w:bCs w:val="1"/>
                <w:color w:val="auto"/>
              </w:rPr>
              <w:t>USD</w:t>
            </w:r>
          </w:p>
        </w:tc>
        <w:tc>
          <w:tcPr>
            <w:tcW w:w="1820" w:type="dxa"/>
            <w:vAlign w:val="bottom"/>
          </w:tcPr>
          <w:p>
            <w:pPr>
              <w:jc w:val="right"/>
              <w:ind w:right="910"/>
              <w:spacing w:after="0"/>
              <w:rPr>
                <w:sz w:val="20"/>
                <w:szCs w:val="20"/>
                <w:color w:val="auto"/>
              </w:rPr>
            </w:pPr>
            <w:r>
              <w:rPr>
                <w:rFonts w:ascii="Arial" w:cs="Arial" w:eastAsia="Arial" w:hAnsi="Arial"/>
                <w:sz w:val="18"/>
                <w:szCs w:val="18"/>
                <w:b w:val="1"/>
                <w:bCs w:val="1"/>
                <w:color w:val="auto"/>
              </w:rPr>
              <w:t>EUR</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JPY</w:t>
            </w:r>
          </w:p>
        </w:tc>
        <w:tc>
          <w:tcPr>
            <w:tcW w:w="2380" w:type="dxa"/>
            <w:vAlign w:val="bottom"/>
          </w:tcPr>
          <w:p>
            <w:pPr>
              <w:jc w:val="right"/>
              <w:spacing w:after="0"/>
              <w:rPr>
                <w:sz w:val="20"/>
                <w:szCs w:val="20"/>
                <w:color w:val="auto"/>
              </w:rPr>
            </w:pPr>
            <w:r>
              <w:rPr>
                <w:rFonts w:ascii="Arial" w:cs="Arial" w:eastAsia="Arial" w:hAnsi="Arial"/>
                <w:sz w:val="18"/>
                <w:szCs w:val="18"/>
                <w:color w:val="auto"/>
              </w:rPr>
              <w:t>5,786.7</w:t>
            </w:r>
          </w:p>
        </w:tc>
        <w:tc>
          <w:tcPr>
            <w:tcW w:w="120" w:type="dxa"/>
            <w:vAlign w:val="bottom"/>
          </w:tcPr>
          <w:p>
            <w:pPr>
              <w:spacing w:after="0"/>
              <w:rPr>
                <w:sz w:val="19"/>
                <w:szCs w:val="19"/>
                <w:color w:val="auto"/>
              </w:rPr>
            </w:pPr>
          </w:p>
        </w:tc>
        <w:tc>
          <w:tcPr>
            <w:tcW w:w="2960" w:type="dxa"/>
            <w:vAlign w:val="bottom"/>
          </w:tcPr>
          <w:p>
            <w:pPr>
              <w:jc w:val="right"/>
              <w:ind w:right="550"/>
              <w:spacing w:after="0"/>
              <w:rPr>
                <w:sz w:val="20"/>
                <w:szCs w:val="20"/>
                <w:color w:val="auto"/>
              </w:rPr>
            </w:pPr>
            <w:r>
              <w:rPr>
                <w:rFonts w:ascii="Arial" w:cs="Arial" w:eastAsia="Arial" w:hAnsi="Arial"/>
                <w:sz w:val="18"/>
                <w:szCs w:val="18"/>
                <w:color w:val="auto"/>
              </w:rPr>
              <w:t>24.0</w:t>
            </w:r>
          </w:p>
        </w:tc>
        <w:tc>
          <w:tcPr>
            <w:tcW w:w="18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19"/>
                <w:szCs w:val="19"/>
                <w:color w:val="auto"/>
              </w:rPr>
            </w:pPr>
          </w:p>
        </w:tc>
        <w:tc>
          <w:tcPr>
            <w:tcW w:w="29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45.3</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bl>
    <w:p>
      <w:pPr>
        <w:spacing w:after="0" w:line="32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December 2019, we entered into a cross-currency swap for $90 million, which we designated as a hedge of our net investment in Daikyo. As of June 30, 2022, the notional amount of the cross-currency swap is ¥9.2 billion ($84.4 million) and the swap termination date is December 31, 2024. Under the cross-currency swap, we receive floating interest rate payments based on USD compounded SOFR plus a margin, in return for paying floating interest rate payments based on Japanese Yen (“Yen”) Tokyo Overnight Average Rate ("TONAR") plus a margin.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From November 2017 through June 2022, we purchased several series of call options for a total of 784,299 barrels of crude oil to mitigate our exposure to such oil-based surcharges and protect operating cash flows with regard to a portion of our forecasted elastomer purchases.</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June 30, 2022, we had outstanding contracts to purchase 257,999 barrels of crude oil from June 2022 to March 2024, at a weighted-average strike price of $107.02 per barrel.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Derivative Instruments on Financial Position and Results of Operations</w:t>
      </w:r>
    </w:p>
    <w:p>
      <w:pPr>
        <w:spacing w:after="0" w:line="256" w:lineRule="exact"/>
        <w:rPr>
          <w:sz w:val="20"/>
          <w:szCs w:val="20"/>
          <w:color w:val="auto"/>
        </w:rPr>
      </w:pPr>
    </w:p>
    <w:p>
      <w:pPr>
        <w:ind w:right="4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Please refer to Note 10, </w:t>
      </w:r>
      <w:hyperlink w:anchor="page16">
        <w:r>
          <w:rPr>
            <w:rFonts w:ascii="Arial" w:cs="Arial" w:eastAsia="Arial" w:hAnsi="Arial"/>
            <w:sz w:val="18"/>
            <w:szCs w:val="18"/>
            <w:i w:val="1"/>
            <w:iCs w:val="1"/>
            <w:u w:val="single" w:color="auto"/>
            <w:color w:val="0000FF"/>
          </w:rPr>
          <w:t>Fair Value Measurements</w:t>
        </w:r>
      </w:hyperlink>
      <w:r>
        <w:rPr>
          <w:rFonts w:ascii="Arial" w:cs="Arial" w:eastAsia="Arial" w:hAnsi="Arial"/>
          <w:sz w:val="18"/>
          <w:szCs w:val="18"/>
          <w:color w:val="auto"/>
        </w:rPr>
        <w:t>, for the balance sheet location and fair values of our derivative instruments as of June 30, 2022 and December 31, 2021.</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effects of derivative instruments designated as fair value hedges on the condensed consolidated statements of income: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7"/>
                <w:szCs w:val="17"/>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19"/>
                <w:szCs w:val="19"/>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jc w:val="center"/>
              <w:ind w:right="240"/>
              <w:spacing w:after="0" w:line="181" w:lineRule="exact"/>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5"/>
                <w:szCs w:val="15"/>
                <w:color w:val="auto"/>
              </w:rPr>
            </w:pPr>
          </w:p>
        </w:tc>
        <w:tc>
          <w:tcPr>
            <w:tcW w:w="2400" w:type="dxa"/>
            <w:vAlign w:val="bottom"/>
            <w:gridSpan w:val="4"/>
          </w:tcPr>
          <w:p>
            <w:pPr>
              <w:jc w:val="center"/>
              <w:ind w:right="10"/>
              <w:spacing w:after="0" w:line="181" w:lineRule="exact"/>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5"/>
                <w:szCs w:val="15"/>
                <w:color w:val="auto"/>
              </w:rPr>
            </w:pPr>
          </w:p>
        </w:tc>
        <w:tc>
          <w:tcPr>
            <w:tcW w:w="280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93"/>
              </w:rPr>
              <w:t>Location on Statement of Income</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Hedged item (intercompany loan)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390"/>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left="390"/>
              <w:spacing w:after="0"/>
              <w:rPr>
                <w:sz w:val="20"/>
                <w:szCs w:val="20"/>
                <w:color w:val="auto"/>
              </w:rPr>
            </w:pPr>
            <w:r>
              <w:rPr>
                <w:rFonts w:ascii="Arial" w:cs="Arial" w:eastAsia="Arial" w:hAnsi="Arial"/>
                <w:sz w:val="18"/>
                <w:szCs w:val="18"/>
                <w:color w:val="auto"/>
                <w:w w:val="91"/>
              </w:rPr>
              <w:t>(5.1)</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Derivative designated as hedging</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center"/>
              <w:ind w:left="370"/>
              <w:spacing w:after="0"/>
              <w:rPr>
                <w:sz w:val="20"/>
                <w:szCs w:val="20"/>
                <w:color w:val="auto"/>
              </w:rPr>
            </w:pPr>
            <w:r>
              <w:rPr>
                <w:rFonts w:ascii="Arial" w:cs="Arial" w:eastAsia="Arial" w:hAnsi="Arial"/>
                <w:sz w:val="18"/>
                <w:szCs w:val="18"/>
                <w:color w:val="auto"/>
                <w:w w:val="97"/>
              </w:rPr>
              <w:t>(4.8)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center"/>
              <w:ind w:left="410"/>
              <w:spacing w:after="0"/>
              <w:rPr>
                <w:sz w:val="20"/>
                <w:szCs w:val="20"/>
                <w:color w:val="auto"/>
              </w:rPr>
            </w:pPr>
            <w:r>
              <w:rPr>
                <w:rFonts w:ascii="Arial" w:cs="Arial" w:eastAsia="Arial" w:hAnsi="Arial"/>
                <w:sz w:val="18"/>
                <w:szCs w:val="18"/>
                <w:color w:val="auto"/>
                <w:w w:val="95"/>
              </w:rPr>
              <w:t>5.1</w:t>
            </w:r>
          </w:p>
        </w:tc>
        <w:tc>
          <w:tcPr>
            <w:tcW w:w="120" w:type="dxa"/>
            <w:vAlign w:val="bottom"/>
            <w:shd w:val="clear" w:color="auto" w:fill="CCEEFF"/>
          </w:tcPr>
          <w:p>
            <w:pPr>
              <w:spacing w:after="0"/>
              <w:rPr>
                <w:sz w:val="15"/>
                <w:szCs w:val="15"/>
                <w:color w:val="auto"/>
              </w:rPr>
            </w:pPr>
          </w:p>
        </w:tc>
        <w:tc>
          <w:tcPr>
            <w:tcW w:w="28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w:t>
            </w: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rPr>
              <w:t>Amount excluded from effectiveness</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center"/>
              <w:ind w:left="390"/>
              <w:spacing w:after="0"/>
              <w:rPr>
                <w:sz w:val="20"/>
                <w:szCs w:val="20"/>
                <w:color w:val="auto"/>
              </w:rPr>
            </w:pPr>
            <w:r>
              <w:rPr>
                <w:rFonts w:ascii="Arial" w:cs="Arial" w:eastAsia="Arial" w:hAnsi="Arial"/>
                <w:sz w:val="18"/>
                <w:szCs w:val="18"/>
                <w:color w:val="auto"/>
                <w:w w:val="87"/>
              </w:rPr>
              <w:t>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center"/>
              <w:ind w:left="410"/>
              <w:spacing w:after="0"/>
              <w:rPr>
                <w:sz w:val="20"/>
                <w:szCs w:val="20"/>
                <w:color w:val="auto"/>
              </w:rPr>
            </w:pPr>
            <w:r>
              <w:rPr>
                <w:rFonts w:ascii="Arial" w:cs="Arial" w:eastAsia="Arial" w:hAnsi="Arial"/>
                <w:sz w:val="18"/>
                <w:szCs w:val="18"/>
                <w:color w:val="auto"/>
                <w:w w:val="95"/>
              </w:rPr>
              <w:t>1.2</w:t>
            </w:r>
          </w:p>
        </w:tc>
        <w:tc>
          <w:tcPr>
            <w:tcW w:w="120" w:type="dxa"/>
            <w:vAlign w:val="bottom"/>
          </w:tcPr>
          <w:p>
            <w:pPr>
              <w:spacing w:after="0"/>
              <w:rPr>
                <w:sz w:val="15"/>
                <w:szCs w:val="15"/>
                <w:color w:val="auto"/>
              </w:rPr>
            </w:pPr>
          </w:p>
        </w:tc>
        <w:tc>
          <w:tcPr>
            <w:tcW w:w="2800" w:type="dxa"/>
            <w:vAlign w:val="bottom"/>
            <w:vMerge w:val="restart"/>
          </w:tcPr>
          <w:p>
            <w:pPr>
              <w:ind w:left="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testing</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7"/>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5"/>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recognize in earnings the initial value of forward point components on a straight-line basis over the life of the fair value hedge. The amounts recognized in earnings, pre-tax, for forward point components for the three and six months ended June 30, 2022 and 2021 were $0.9 million, $1.7 million, and $0.6 million, $1.2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the effects of derivative instruments designated as fair value, cash flow, and net investment hedges on other comprehensive income (“OCI”) and earnings, net of tax: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vMerge w:val="restart"/>
          </w:tcPr>
          <w:p>
            <w:pPr>
              <w:jc w:val="center"/>
              <w:ind w:right="300"/>
              <w:spacing w:after="0"/>
              <w:rPr>
                <w:sz w:val="20"/>
                <w:szCs w:val="20"/>
                <w:color w:val="auto"/>
              </w:rPr>
            </w:pPr>
            <w:r>
              <w:rPr>
                <w:rFonts w:ascii="Arial" w:cs="Arial" w:eastAsia="Arial" w:hAnsi="Arial"/>
                <w:sz w:val="18"/>
                <w:szCs w:val="18"/>
                <w:b w:val="1"/>
                <w:bCs w:val="1"/>
                <w:color w:val="auto"/>
                <w:w w:val="91"/>
              </w:rPr>
              <w:t>Amount of Gain (Loss)</w:t>
            </w:r>
          </w:p>
        </w:tc>
        <w:tc>
          <w:tcPr>
            <w:tcW w:w="222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0"/>
              </w:rPr>
              <w:t>Amount of (Gain) Loss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540" w:type="dxa"/>
            <w:vAlign w:val="bottom"/>
            <w:gridSpan w:val="5"/>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Recognized in OCI for the</w:t>
            </w:r>
          </w:p>
        </w:tc>
        <w:tc>
          <w:tcPr>
            <w:tcW w:w="222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3"/>
              </w:rPr>
              <w:t>OCI into Income for the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gridSpan w:val="5"/>
            <w:vMerge w:val="restart"/>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Three Months Ended</w:t>
            </w:r>
          </w:p>
        </w:tc>
        <w:tc>
          <w:tcPr>
            <w:tcW w:w="2220" w:type="dxa"/>
            <w:vAlign w:val="bottom"/>
            <w:gridSpan w:val="4"/>
            <w:vMerge w:val="restart"/>
          </w:tcPr>
          <w:p>
            <w:pPr>
              <w:jc w:val="center"/>
              <w:ind w:left="210"/>
              <w:spacing w:after="0" w:line="198" w:lineRule="exact"/>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right="41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0.4</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0.5</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1.5</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treasury locks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Cross-currency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vMerge w:val="restart"/>
          </w:tcPr>
          <w:p>
            <w:pPr>
              <w:jc w:val="center"/>
              <w:ind w:right="300"/>
              <w:spacing w:after="0"/>
              <w:rPr>
                <w:sz w:val="20"/>
                <w:szCs w:val="20"/>
                <w:color w:val="auto"/>
              </w:rPr>
            </w:pPr>
            <w:r>
              <w:rPr>
                <w:rFonts w:ascii="Arial" w:cs="Arial" w:eastAsia="Arial" w:hAnsi="Arial"/>
                <w:sz w:val="18"/>
                <w:szCs w:val="18"/>
                <w:b w:val="1"/>
                <w:bCs w:val="1"/>
                <w:color w:val="auto"/>
                <w:w w:val="91"/>
              </w:rPr>
              <w:t>Amount of Gain (Loss)</w:t>
            </w:r>
          </w:p>
        </w:tc>
        <w:tc>
          <w:tcPr>
            <w:tcW w:w="222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0"/>
              </w:rPr>
              <w:t>Amount of (Gain) Loss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540" w:type="dxa"/>
            <w:vAlign w:val="bottom"/>
            <w:gridSpan w:val="5"/>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Recognized in OCI for the</w:t>
            </w:r>
          </w:p>
        </w:tc>
        <w:tc>
          <w:tcPr>
            <w:tcW w:w="222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3"/>
              </w:rPr>
              <w:t>OCI into Income for the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gridSpan w:val="5"/>
            <w:vMerge w:val="restart"/>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Six Months Ended</w:t>
            </w:r>
          </w:p>
        </w:tc>
        <w:tc>
          <w:tcPr>
            <w:tcW w:w="2220" w:type="dxa"/>
            <w:vAlign w:val="bottom"/>
            <w:gridSpan w:val="4"/>
            <w:vMerge w:val="restart"/>
          </w:tcPr>
          <w:p>
            <w:pPr>
              <w:jc w:val="center"/>
              <w:ind w:left="230"/>
              <w:spacing w:after="0" w:line="198" w:lineRule="exact"/>
              <w:rPr>
                <w:sz w:val="20"/>
                <w:szCs w:val="20"/>
                <w:color w:val="auto"/>
              </w:rPr>
            </w:pPr>
            <w:r>
              <w:rPr>
                <w:rFonts w:ascii="Arial" w:cs="Arial" w:eastAsia="Arial" w:hAnsi="Arial"/>
                <w:sz w:val="18"/>
                <w:szCs w:val="18"/>
                <w:b w:val="1"/>
                <w:bCs w:val="1"/>
                <w:color w:val="auto"/>
                <w:w w:val="90"/>
              </w:rPr>
              <w:t>Six Months Ended</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right="41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0.8</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0.9</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1.5</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treasury locks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0.1</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0"/>
        <w:spacing w:after="0" w:line="273" w:lineRule="auto"/>
        <w:rPr>
          <w:sz w:val="20"/>
          <w:szCs w:val="20"/>
          <w:color w:val="auto"/>
        </w:rPr>
      </w:pPr>
      <w:r>
        <w:rPr>
          <w:rFonts w:ascii="Arial" w:cs="Arial" w:eastAsia="Arial" w:hAnsi="Arial"/>
          <w:sz w:val="18"/>
          <w:szCs w:val="18"/>
          <w:color w:val="auto"/>
        </w:rPr>
        <w:t>The following table summarizes the effects of derivative instruments designated as fair value, cash flow, and net investment hedges by line item in our condensed consolidated statements of income:</w:t>
      </w: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2780" w:type="dxa"/>
            <w:vAlign w:val="bottom"/>
            <w:gridSpan w:val="4"/>
          </w:tcPr>
          <w:p>
            <w:pPr>
              <w:jc w:val="center"/>
              <w:ind w:left="330"/>
              <w:spacing w:after="0" w:line="178" w:lineRule="exact"/>
              <w:rPr>
                <w:sz w:val="20"/>
                <w:szCs w:val="20"/>
                <w:color w:val="auto"/>
              </w:rPr>
            </w:pPr>
            <w:r>
              <w:rPr>
                <w:rFonts w:ascii="Arial" w:cs="Arial" w:eastAsia="Arial" w:hAnsi="Arial"/>
                <w:sz w:val="18"/>
                <w:szCs w:val="18"/>
                <w:color w:val="auto"/>
                <w:w w:val="90"/>
              </w:rPr>
              <w:t>Three Months Ended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4"/>
          </w:tcPr>
          <w:p>
            <w:pPr>
              <w:jc w:val="center"/>
              <w:ind w:right="250"/>
              <w:spacing w:after="0" w:line="178" w:lineRule="exact"/>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29"/>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10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ind w:right="550"/>
              <w:spacing w:after="0"/>
              <w:rPr>
                <w:sz w:val="20"/>
                <w:szCs w:val="20"/>
                <w:color w:val="auto"/>
              </w:rPr>
            </w:pPr>
            <w:r>
              <w:rPr>
                <w:rFonts w:ascii="Arial" w:cs="Arial" w:eastAsia="Arial" w:hAnsi="Arial"/>
                <w:sz w:val="18"/>
                <w:szCs w:val="18"/>
                <w:color w:val="auto"/>
                <w:w w:val="86"/>
              </w:rPr>
              <w:t>June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86"/>
              </w:rPr>
              <w:t>June 30,</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vMerge w:val="continue"/>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7"/>
              </w:rPr>
              <w:t>(0.6)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center"/>
              <w:ind w:left="750"/>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0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center"/>
              <w:ind w:left="730"/>
              <w:spacing w:after="0"/>
              <w:rPr>
                <w:sz w:val="20"/>
                <w:szCs w:val="20"/>
                <w:color w:val="auto"/>
              </w:rPr>
            </w:pPr>
            <w:r>
              <w:rPr>
                <w:rFonts w:ascii="Arial" w:cs="Arial" w:eastAsia="Arial" w:hAnsi="Arial"/>
                <w:sz w:val="18"/>
                <w:szCs w:val="18"/>
                <w:color w:val="auto"/>
                <w:w w:val="97"/>
              </w:rPr>
              <w:t>(1.2)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effects of derivative instruments not designated as hedges on the condensed consolidated statements of income: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7"/>
                <w:szCs w:val="17"/>
                <w:color w:val="auto"/>
              </w:rPr>
            </w:pPr>
          </w:p>
        </w:tc>
        <w:tc>
          <w:tcPr>
            <w:tcW w:w="6020" w:type="dxa"/>
            <w:vAlign w:val="bottom"/>
            <w:gridSpan w:val="6"/>
          </w:tcPr>
          <w:p>
            <w:pPr>
              <w:jc w:val="center"/>
              <w:ind w:right="3650"/>
              <w:spacing w:after="0"/>
              <w:rPr>
                <w:sz w:val="20"/>
                <w:szCs w:val="20"/>
                <w:color w:val="auto"/>
              </w:rPr>
            </w:pPr>
            <w:r>
              <w:rPr>
                <w:rFonts w:ascii="Arial" w:cs="Arial" w:eastAsia="Arial" w:hAnsi="Arial"/>
                <w:sz w:val="18"/>
                <w:szCs w:val="18"/>
                <w:b w:val="1"/>
                <w:bCs w:val="1"/>
                <w:color w:val="auto"/>
                <w:w w:val="90"/>
              </w:rPr>
              <w:t>Amount of Gain (Loss)</w:t>
            </w:r>
          </w:p>
        </w:tc>
      </w:tr>
      <w:tr>
        <w:trPr>
          <w:trHeight w:val="225"/>
        </w:trPr>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Recognized in Income for the</w:t>
            </w:r>
          </w:p>
        </w:tc>
        <w:tc>
          <w:tcPr>
            <w:tcW w:w="120" w:type="dxa"/>
            <w:vAlign w:val="bottom"/>
          </w:tcPr>
          <w:p>
            <w:pPr>
              <w:spacing w:after="0"/>
              <w:rPr>
                <w:sz w:val="19"/>
                <w:szCs w:val="19"/>
                <w:color w:val="auto"/>
              </w:rPr>
            </w:pPr>
          </w:p>
        </w:tc>
        <w:tc>
          <w:tcPr>
            <w:tcW w:w="6020" w:type="dxa"/>
            <w:vAlign w:val="bottom"/>
            <w:gridSpan w:val="6"/>
          </w:tcPr>
          <w:p>
            <w:pPr>
              <w:jc w:val="center"/>
              <w:ind w:right="3650"/>
              <w:spacing w:after="0"/>
              <w:rPr>
                <w:sz w:val="20"/>
                <w:szCs w:val="20"/>
                <w:color w:val="auto"/>
              </w:rPr>
            </w:pPr>
            <w:r>
              <w:rPr>
                <w:rFonts w:ascii="Arial" w:cs="Arial" w:eastAsia="Arial" w:hAnsi="Arial"/>
                <w:sz w:val="18"/>
                <w:szCs w:val="18"/>
                <w:b w:val="1"/>
                <w:bCs w:val="1"/>
                <w:color w:val="auto"/>
                <w:w w:val="89"/>
              </w:rPr>
              <w:t>Recognized in Income for the</w:t>
            </w:r>
          </w:p>
        </w:tc>
      </w:tr>
      <w:tr>
        <w:trPr>
          <w:trHeight w:val="180"/>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jc w:val="center"/>
              <w:ind w:right="240"/>
              <w:spacing w:after="0" w:line="181" w:lineRule="exact"/>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5"/>
                <w:szCs w:val="15"/>
                <w:color w:val="auto"/>
              </w:rPr>
            </w:pPr>
          </w:p>
        </w:tc>
        <w:tc>
          <w:tcPr>
            <w:tcW w:w="6020" w:type="dxa"/>
            <w:vAlign w:val="bottom"/>
            <w:gridSpan w:val="6"/>
          </w:tcPr>
          <w:p>
            <w:pPr>
              <w:jc w:val="center"/>
              <w:ind w:right="3670"/>
              <w:spacing w:after="0" w:line="181" w:lineRule="exact"/>
              <w:rPr>
                <w:sz w:val="20"/>
                <w:szCs w:val="20"/>
                <w:color w:val="auto"/>
              </w:rPr>
            </w:pPr>
            <w:r>
              <w:rPr>
                <w:rFonts w:ascii="Arial" w:cs="Arial" w:eastAsia="Arial" w:hAnsi="Arial"/>
                <w:sz w:val="18"/>
                <w:szCs w:val="18"/>
                <w:b w:val="1"/>
                <w:bCs w:val="1"/>
                <w:color w:val="auto"/>
                <w:w w:val="90"/>
              </w:rPr>
              <w:t>Six Months Ended</w:t>
            </w:r>
          </w:p>
        </w:tc>
      </w:tr>
      <w:tr>
        <w:trPr>
          <w:trHeight w:val="230"/>
        </w:trPr>
        <w:tc>
          <w:tcPr>
            <w:tcW w:w="2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Location on Statement of Income</w:t>
            </w:r>
          </w:p>
        </w:tc>
      </w:tr>
      <w:tr>
        <w:trPr>
          <w:trHeight w:val="22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spacing w:after="0"/>
              <w:rPr>
                <w:sz w:val="19"/>
                <w:szCs w:val="19"/>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call options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1"/>
        </w:trPr>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2022 and 2021, there was no material ineffectiveness related to our hedges.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21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Unadjusted quoted prices in active markets for identical assets or liabilities.</w:t>
      </w:r>
    </w:p>
    <w:p>
      <w:pPr>
        <w:spacing w:after="0" w:line="117" w:lineRule="exact"/>
        <w:rPr>
          <w:rFonts w:ascii="Arial" w:cs="Arial" w:eastAsia="Arial" w:hAnsi="Arial"/>
          <w:sz w:val="18"/>
          <w:szCs w:val="18"/>
          <w:color w:val="auto"/>
        </w:rPr>
      </w:pPr>
    </w:p>
    <w:p>
      <w:pPr>
        <w:ind w:left="980" w:right="180" w:hanging="324"/>
        <w:spacing w:after="0" w:line="342" w:lineRule="auto"/>
        <w:tabs>
          <w:tab w:leader="none" w:pos="975"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Unobservable inputs that reflect the reporting entity’s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8"/>
          </w:tcPr>
          <w:p>
            <w:pPr>
              <w:spacing w:after="0"/>
              <w:rPr>
                <w:sz w:val="20"/>
                <w:szCs w:val="20"/>
                <w:color w:val="auto"/>
              </w:rPr>
            </w:pPr>
            <w:r>
              <w:rPr>
                <w:rFonts w:ascii="Arial" w:cs="Arial" w:eastAsia="Arial" w:hAnsi="Arial"/>
                <w:sz w:val="18"/>
                <w:szCs w:val="18"/>
                <w:color w:val="auto"/>
                <w:w w:val="97"/>
              </w:rPr>
              <w:t>The following tables present the assets and liabilities recorded at fair value on a recurring basis: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 at</w:t>
            </w:r>
          </w:p>
        </w:tc>
        <w:tc>
          <w:tcPr>
            <w:tcW w:w="110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13"/>
                <w:szCs w:val="13"/>
                <w:color w:val="auto"/>
              </w:rPr>
            </w:pPr>
          </w:p>
        </w:tc>
        <w:tc>
          <w:tcPr>
            <w:tcW w:w="1480" w:type="dxa"/>
            <w:vAlign w:val="bottom"/>
            <w:gridSpan w:val="2"/>
          </w:tcPr>
          <w:p>
            <w:pPr>
              <w:jc w:val="center"/>
              <w:ind w:right="320"/>
              <w:spacing w:after="0" w:line="156" w:lineRule="exact"/>
              <w:rPr>
                <w:sz w:val="20"/>
                <w:szCs w:val="20"/>
                <w:color w:val="auto"/>
              </w:rPr>
            </w:pPr>
            <w:r>
              <w:rPr>
                <w:rFonts w:ascii="Arial" w:cs="Arial" w:eastAsia="Arial" w:hAnsi="Arial"/>
                <w:sz w:val="18"/>
                <w:szCs w:val="18"/>
                <w:color w:val="auto"/>
                <w:w w:val="86"/>
              </w:rPr>
              <w:t>June 30,</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Level 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center"/>
              <w:ind w:left="35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Cross-currency swap</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 at</w:t>
            </w:r>
          </w:p>
        </w:tc>
        <w:tc>
          <w:tcPr>
            <w:tcW w:w="1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13"/>
                <w:szCs w:val="13"/>
                <w:color w:val="auto"/>
              </w:rPr>
            </w:pPr>
          </w:p>
        </w:tc>
        <w:tc>
          <w:tcPr>
            <w:tcW w:w="1480" w:type="dxa"/>
            <w:vAlign w:val="bottom"/>
            <w:gridSpan w:val="2"/>
          </w:tcPr>
          <w:p>
            <w:pPr>
              <w:jc w:val="center"/>
              <w:ind w:right="320"/>
              <w:spacing w:after="0" w:line="156" w:lineRule="exact"/>
              <w:rPr>
                <w:sz w:val="20"/>
                <w:szCs w:val="20"/>
                <w:color w:val="auto"/>
              </w:rPr>
            </w:pPr>
            <w:r>
              <w:rPr>
                <w:rFonts w:ascii="Arial" w:cs="Arial" w:eastAsia="Arial" w:hAnsi="Arial"/>
                <w:sz w:val="18"/>
                <w:szCs w:val="18"/>
                <w:color w:val="auto"/>
                <w:w w:val="88"/>
              </w:rPr>
              <w:t>December 31,</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Level 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center"/>
              <w:ind w:left="35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Cross-currency swap</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spacing w:after="0" w:line="273" w:lineRule="auto"/>
        <w:rPr>
          <w:rFonts w:ascii="Arial" w:cs="Arial" w:eastAsia="Arial" w:hAnsi="Arial"/>
          <w:sz w:val="16"/>
          <w:szCs w:val="16"/>
          <w:i w:val="1"/>
          <w:iCs w:val="1"/>
          <w:color w:val="0000FF"/>
        </w:rPr>
      </w:pPr>
      <w:r>
        <w:rPr>
          <w:rFonts w:ascii="Arial" w:cs="Arial" w:eastAsia="Arial" w:hAnsi="Arial"/>
          <w:sz w:val="16"/>
          <w:szCs w:val="16"/>
          <w:color w:val="auto"/>
        </w:rPr>
        <w:t xml:space="preserve">Deferred compensation assets are included within other noncurrent assets and are valued using a market approach based on quoted market prices in an active market.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w:t>
      </w:r>
      <w:hyperlink w:anchor="page13">
        <w:r>
          <w:rPr>
            <w:rFonts w:ascii="Arial" w:cs="Arial" w:eastAsia="Arial" w:hAnsi="Arial"/>
            <w:sz w:val="16"/>
            <w:szCs w:val="16"/>
            <w:color w:val="auto"/>
          </w:rPr>
          <w:t xml:space="preserve">of the cross-currency swap, included within other noncurrent assets, is valued using a market approach. Please refer to Note 9, </w:t>
        </w:r>
        <w:r>
          <w:rPr>
            <w:rFonts w:ascii="Arial" w:cs="Arial" w:eastAsia="Arial" w:hAnsi="Arial"/>
            <w:sz w:val="16"/>
            <w:szCs w:val="16"/>
            <w:i w:val="1"/>
            <w:iCs w:val="1"/>
            <w:u w:val="single" w:color="auto"/>
            <w:color w:val="0000FF"/>
          </w:rPr>
          <w:t>Derivative Financial</w:t>
        </w:r>
      </w:hyperlink>
      <w:r>
        <w:rPr>
          <w:rFonts w:ascii="Arial" w:cs="Arial" w:eastAsia="Arial" w:hAnsi="Arial"/>
          <w:sz w:val="16"/>
          <w:szCs w:val="16"/>
          <w:color w:val="auto"/>
        </w:rPr>
        <w:t xml:space="preserve"> </w:t>
      </w:r>
      <w:hyperlink w:anchor="page13">
        <w:r>
          <w:rPr>
            <w:rFonts w:ascii="Arial" w:cs="Arial" w:eastAsia="Arial" w:hAnsi="Arial"/>
            <w:sz w:val="16"/>
            <w:szCs w:val="16"/>
            <w:i w:val="1"/>
            <w:iCs w:val="1"/>
            <w:u w:val="single" w:color="auto"/>
            <w:color w:val="0000FF"/>
          </w:rPr>
          <w:t>Instruments</w:t>
        </w:r>
        <w:r>
          <w:rPr>
            <w:rFonts w:ascii="Arial" w:cs="Arial" w:eastAsia="Arial" w:hAnsi="Arial"/>
            <w:sz w:val="16"/>
            <w:szCs w:val="16"/>
            <w:color w:val="000000"/>
          </w:rPr>
          <w:t>, for further discussion of our derivatives. The fair value of our commodity call options, included within other current and other noncurrent</w:t>
        </w:r>
      </w:hyperlink>
      <w:r>
        <w:rPr>
          <w:rFonts w:ascii="Arial" w:cs="Arial" w:eastAsia="Arial" w:hAnsi="Arial"/>
          <w:sz w:val="16"/>
          <w:szCs w:val="16"/>
          <w:i w:val="1"/>
          <w:iCs w:val="1"/>
          <w:color w:val="0000FF"/>
        </w:rPr>
        <w:t xml:space="preserve"> </w:t>
      </w:r>
      <w:r>
        <w:rPr>
          <w:rFonts w:ascii="Arial" w:cs="Arial" w:eastAsia="Arial" w:hAnsi="Arial"/>
          <w:sz w:val="16"/>
          <w:szCs w:val="16"/>
          <w:color w:val="000000"/>
        </w:rPr>
        <w:t>assets, is valued using a market approach. The fair value of the contingent consideration liability, within current and long-term liabilities, related to the SmartDose</w:t>
      </w:r>
      <w:r>
        <w:rPr>
          <w:rFonts w:ascii="Arial" w:cs="Arial" w:eastAsia="Arial" w:hAnsi="Arial"/>
          <w:sz w:val="20"/>
          <w:szCs w:val="20"/>
          <w:color w:val="000000"/>
          <w:vertAlign w:val="superscript"/>
        </w:rPr>
        <w:t>®</w:t>
      </w:r>
      <w:r>
        <w:rPr>
          <w:rFonts w:ascii="Arial" w:cs="Arial" w:eastAsia="Arial" w:hAnsi="Arial"/>
          <w:sz w:val="16"/>
          <w:szCs w:val="16"/>
          <w:color w:val="000000"/>
        </w:rPr>
        <w:t xml:space="preserve"> technology platform (the “SmartDose</w:t>
      </w:r>
      <w:r>
        <w:rPr>
          <w:rFonts w:ascii="Arial" w:cs="Arial" w:eastAsia="Arial" w:hAnsi="Arial"/>
          <w:sz w:val="20"/>
          <w:szCs w:val="20"/>
          <w:color w:val="000000"/>
          <w:vertAlign w:val="superscript"/>
        </w:rPr>
        <w:t>®</w:t>
      </w:r>
      <w:r>
        <w:rPr>
          <w:rFonts w:ascii="Arial" w:cs="Arial" w:eastAsia="Arial" w:hAnsi="Arial"/>
          <w:sz w:val="16"/>
          <w:szCs w:val="16"/>
          <w:color w:val="000000"/>
        </w:rPr>
        <w:t xml:space="preserve"> contingent consideration”) was initially determined using a probability-weighted income approach, and is revalued at each reporting date or more frequently if circumstances dictate. Changes in the fair value of this obligation are recorded as income or expense within other (income) expense in our condensed consolidated statements of income. The fair value of deferred compensation liabilities is based on quoted prices of the underlying employees’ investment selections and is included within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that the carrying amounts of our cash and cash equivalents and accounts receivable approximate their fair values due to their near-term maturities.</w:t>
      </w:r>
    </w:p>
    <w:p>
      <w:pPr>
        <w:spacing w:after="0" w:line="19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estimated fair value of long-term debt is based on quoted market prices for debt issuances with similar terms and maturities and is classified as Level 2 within the fair value hierarchy. At June 30, 2022, the estimated fair value of long-term debt was $206.0 million compared to a carrying amount of $207.8 million. At December 31, 2021, the estimated fair value of long-term debt was $217.9 million and the carrying amount was $208.8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Loss</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following table presents the changes in the components of accumulated other comprehensive income ("AOCI") (loss), net of tax, for the six months ended June 30, 2022:</w:t>
      </w: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4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w w:val="90"/>
              </w:rPr>
              <w:t>(Losses) gains on</w:t>
            </w:r>
          </w:p>
        </w:tc>
        <w:tc>
          <w:tcPr>
            <w:tcW w:w="180" w:type="dxa"/>
            <w:vAlign w:val="bottom"/>
          </w:tcPr>
          <w:p>
            <w:pPr>
              <w:spacing w:after="0"/>
              <w:rPr>
                <w:sz w:val="16"/>
                <w:szCs w:val="16"/>
                <w:color w:val="auto"/>
              </w:rPr>
            </w:pPr>
          </w:p>
        </w:tc>
        <w:tc>
          <w:tcPr>
            <w:tcW w:w="1800" w:type="dxa"/>
            <w:vAlign w:val="bottom"/>
            <w:gridSpan w:val="2"/>
          </w:tcPr>
          <w:p>
            <w:pPr>
              <w:jc w:val="center"/>
              <w:ind w:right="300"/>
              <w:spacing w:after="0" w:line="186" w:lineRule="exact"/>
              <w:rPr>
                <w:sz w:val="20"/>
                <w:szCs w:val="20"/>
                <w:color w:val="auto"/>
              </w:rPr>
            </w:pPr>
            <w:r>
              <w:rPr>
                <w:rFonts w:ascii="Arial" w:cs="Arial" w:eastAsia="Arial" w:hAnsi="Arial"/>
                <w:sz w:val="18"/>
                <w:szCs w:val="18"/>
                <w:color w:val="auto"/>
                <w:w w:val="90"/>
              </w:rPr>
              <w:t>Change in equity</w:t>
            </w:r>
          </w:p>
        </w:tc>
        <w:tc>
          <w:tcPr>
            <w:tcW w:w="240" w:type="dxa"/>
            <w:vAlign w:val="bottom"/>
          </w:tcPr>
          <w:p>
            <w:pPr>
              <w:spacing w:after="0"/>
              <w:rPr>
                <w:sz w:val="16"/>
                <w:szCs w:val="16"/>
                <w:color w:val="auto"/>
              </w:rPr>
            </w:pPr>
          </w:p>
        </w:tc>
        <w:tc>
          <w:tcPr>
            <w:tcW w:w="2040" w:type="dxa"/>
            <w:vAlign w:val="bottom"/>
            <w:gridSpan w:val="2"/>
          </w:tcPr>
          <w:p>
            <w:pPr>
              <w:jc w:val="center"/>
              <w:ind w:right="360"/>
              <w:spacing w:after="0" w:line="186" w:lineRule="exact"/>
              <w:rPr>
                <w:sz w:val="20"/>
                <w:szCs w:val="20"/>
                <w:color w:val="auto"/>
              </w:rPr>
            </w:pPr>
            <w:r>
              <w:rPr>
                <w:rFonts w:ascii="Arial" w:cs="Arial" w:eastAsia="Arial" w:hAnsi="Arial"/>
                <w:sz w:val="18"/>
                <w:szCs w:val="18"/>
                <w:color w:val="auto"/>
                <w:w w:val="92"/>
              </w:rPr>
              <w:t>Defined benefit</w:t>
            </w:r>
          </w:p>
        </w:tc>
        <w:tc>
          <w:tcPr>
            <w:tcW w:w="180" w:type="dxa"/>
            <w:vAlign w:val="bottom"/>
          </w:tcPr>
          <w:p>
            <w:pPr>
              <w:spacing w:after="0"/>
              <w:rPr>
                <w:sz w:val="16"/>
                <w:szCs w:val="16"/>
                <w:color w:val="auto"/>
              </w:rPr>
            </w:pPr>
          </w:p>
        </w:tc>
        <w:tc>
          <w:tcPr>
            <w:tcW w:w="1180" w:type="dxa"/>
            <w:vAlign w:val="bottom"/>
            <w:gridSpan w:val="2"/>
          </w:tcPr>
          <w:p>
            <w:pPr>
              <w:jc w:val="center"/>
              <w:ind w:right="340"/>
              <w:spacing w:after="0" w:line="186" w:lineRule="exact"/>
              <w:rPr>
                <w:sz w:val="20"/>
                <w:szCs w:val="20"/>
                <w:color w:val="auto"/>
              </w:rPr>
            </w:pPr>
            <w:r>
              <w:rPr>
                <w:rFonts w:ascii="Arial" w:cs="Arial" w:eastAsia="Arial" w:hAnsi="Arial"/>
                <w:sz w:val="18"/>
                <w:szCs w:val="18"/>
                <w:color w:val="auto"/>
                <w:w w:val="91"/>
              </w:rPr>
              <w:t>Foreign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1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affiliate investment</w:t>
            </w:r>
          </w:p>
        </w:tc>
        <w:tc>
          <w:tcPr>
            <w:tcW w:w="240" w:type="dxa"/>
            <w:vAlign w:val="bottom"/>
          </w:tcPr>
          <w:p>
            <w:pPr>
              <w:spacing w:after="0"/>
              <w:rPr>
                <w:sz w:val="15"/>
                <w:szCs w:val="15"/>
                <w:color w:val="auto"/>
              </w:rPr>
            </w:pPr>
          </w:p>
        </w:tc>
        <w:tc>
          <w:tcPr>
            <w:tcW w:w="20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pension and other</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currency</w:t>
            </w:r>
          </w:p>
        </w:tc>
        <w:tc>
          <w:tcPr>
            <w:tcW w:w="220" w:type="dxa"/>
            <w:vAlign w:val="bottom"/>
          </w:tcPr>
          <w:p>
            <w:pPr>
              <w:spacing w:after="0"/>
              <w:rPr>
                <w:sz w:val="15"/>
                <w:szCs w:val="15"/>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AOCI</w:t>
            </w:r>
          </w:p>
        </w:tc>
        <w:tc>
          <w:tcPr>
            <w:tcW w:w="240" w:type="dxa"/>
            <w:vAlign w:val="bottom"/>
          </w:tcPr>
          <w:p>
            <w:pPr>
              <w:spacing w:after="0"/>
              <w:rPr>
                <w:sz w:val="19"/>
                <w:szCs w:val="19"/>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postretirement plans</w:t>
            </w:r>
          </w:p>
        </w:tc>
        <w:tc>
          <w:tcPr>
            <w:tcW w:w="18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translation</w:t>
            </w: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155"/>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rPr>
              <w:t>Other comprehensive (loss) income</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Arial" w:cs="Arial" w:eastAsia="Arial" w:hAnsi="Arial"/>
                <w:sz w:val="18"/>
                <w:szCs w:val="18"/>
                <w:color w:val="auto"/>
              </w:rPr>
              <w:t>before reclassifications</w:t>
            </w: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Amounts reclassified out from</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accumulated other comprehensive (loss)</w:t>
            </w: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w:t>
            </w:r>
          </w:p>
        </w:tc>
        <w:tc>
          <w:tcPr>
            <w:tcW w:w="2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w w:val="95"/>
              </w:rPr>
              <w:t>Other comprehensive (loss) income, net</w:t>
            </w: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of tax</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300"/>
        <w:spacing w:after="0" w:line="273" w:lineRule="auto"/>
        <w:rPr>
          <w:sz w:val="20"/>
          <w:szCs w:val="20"/>
          <w:color w:val="auto"/>
        </w:rPr>
      </w:pPr>
      <w:r>
        <w:rPr>
          <w:rFonts w:ascii="Arial" w:cs="Arial" w:eastAsia="Arial" w:hAnsi="Arial"/>
          <w:sz w:val="18"/>
          <w:szCs w:val="18"/>
          <w:color w:val="auto"/>
        </w:rPr>
        <w:t>The following table presents the changes in the components of accumulated other comprehensive income ("AOCI") (loss), net of tax, for the six months ended June 30, 2021:</w:t>
      </w:r>
    </w:p>
    <w:tbl>
      <w:tblPr>
        <w:tblLayout w:type="fixed"/>
        <w:tblInd w:w="0" w:type="dxa"/>
        <w:tblCellMar>
          <w:top w:w="0" w:type="dxa"/>
          <w:left w:w="0" w:type="dxa"/>
          <w:bottom w:w="0" w:type="dxa"/>
          <w:right w:w="0" w:type="dxa"/>
        </w:tblCellMar>
      </w:tblPr>
      <w:tr>
        <w:trPr>
          <w:trHeight w:val="178"/>
        </w:trPr>
        <w:tc>
          <w:tcPr>
            <w:tcW w:w="3160" w:type="dxa"/>
            <w:vAlign w:val="bottom"/>
          </w:tcPr>
          <w:p>
            <w:pPr>
              <w:spacing w:after="0"/>
              <w:rPr>
                <w:sz w:val="15"/>
                <w:szCs w:val="15"/>
                <w:color w:val="auto"/>
              </w:rPr>
            </w:pPr>
          </w:p>
        </w:tc>
        <w:tc>
          <w:tcPr>
            <w:tcW w:w="14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w w:val="90"/>
              </w:rPr>
              <w:t>(Losses) gains on</w:t>
            </w: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78" w:lineRule="exact"/>
              <w:rPr>
                <w:sz w:val="20"/>
                <w:szCs w:val="20"/>
                <w:color w:val="auto"/>
              </w:rPr>
            </w:pPr>
            <w:r>
              <w:rPr>
                <w:rFonts w:ascii="Arial" w:cs="Arial" w:eastAsia="Arial" w:hAnsi="Arial"/>
                <w:sz w:val="18"/>
                <w:szCs w:val="18"/>
                <w:color w:val="auto"/>
                <w:w w:val="90"/>
              </w:rPr>
              <w:t>Change in equity</w:t>
            </w:r>
          </w:p>
        </w:tc>
        <w:tc>
          <w:tcPr>
            <w:tcW w:w="240" w:type="dxa"/>
            <w:vAlign w:val="bottom"/>
          </w:tcPr>
          <w:p>
            <w:pPr>
              <w:spacing w:after="0"/>
              <w:rPr>
                <w:sz w:val="15"/>
                <w:szCs w:val="15"/>
                <w:color w:val="auto"/>
              </w:rPr>
            </w:pPr>
          </w:p>
        </w:tc>
        <w:tc>
          <w:tcPr>
            <w:tcW w:w="2040" w:type="dxa"/>
            <w:vAlign w:val="bottom"/>
            <w:gridSpan w:val="2"/>
          </w:tcPr>
          <w:p>
            <w:pPr>
              <w:jc w:val="center"/>
              <w:ind w:right="360"/>
              <w:spacing w:after="0" w:line="178" w:lineRule="exact"/>
              <w:rPr>
                <w:sz w:val="20"/>
                <w:szCs w:val="20"/>
                <w:color w:val="auto"/>
              </w:rPr>
            </w:pPr>
            <w:r>
              <w:rPr>
                <w:rFonts w:ascii="Arial" w:cs="Arial" w:eastAsia="Arial" w:hAnsi="Arial"/>
                <w:sz w:val="18"/>
                <w:szCs w:val="18"/>
                <w:color w:val="auto"/>
                <w:w w:val="92"/>
              </w:rPr>
              <w:t>Defined benefit</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78" w:lineRule="exact"/>
              <w:rPr>
                <w:sz w:val="20"/>
                <w:szCs w:val="20"/>
                <w:color w:val="auto"/>
              </w:rPr>
            </w:pPr>
            <w:r>
              <w:rPr>
                <w:rFonts w:ascii="Arial" w:cs="Arial" w:eastAsia="Arial" w:hAnsi="Arial"/>
                <w:sz w:val="18"/>
                <w:szCs w:val="18"/>
                <w:color w:val="auto"/>
                <w:w w:val="91"/>
              </w:rPr>
              <w:t>Foreign</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1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affiliate investment</w:t>
            </w:r>
          </w:p>
        </w:tc>
        <w:tc>
          <w:tcPr>
            <w:tcW w:w="240" w:type="dxa"/>
            <w:vAlign w:val="bottom"/>
          </w:tcPr>
          <w:p>
            <w:pPr>
              <w:spacing w:after="0"/>
              <w:rPr>
                <w:sz w:val="15"/>
                <w:szCs w:val="15"/>
                <w:color w:val="auto"/>
              </w:rPr>
            </w:pPr>
          </w:p>
        </w:tc>
        <w:tc>
          <w:tcPr>
            <w:tcW w:w="20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pension and other</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currency</w:t>
            </w:r>
          </w:p>
        </w:tc>
        <w:tc>
          <w:tcPr>
            <w:tcW w:w="220" w:type="dxa"/>
            <w:vAlign w:val="bottom"/>
          </w:tcPr>
          <w:p>
            <w:pPr>
              <w:spacing w:after="0"/>
              <w:rPr>
                <w:sz w:val="15"/>
                <w:szCs w:val="15"/>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AOCI</w:t>
            </w:r>
          </w:p>
        </w:tc>
        <w:tc>
          <w:tcPr>
            <w:tcW w:w="240" w:type="dxa"/>
            <w:vAlign w:val="bottom"/>
          </w:tcPr>
          <w:p>
            <w:pPr>
              <w:spacing w:after="0"/>
              <w:rPr>
                <w:sz w:val="19"/>
                <w:szCs w:val="19"/>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postretirement plans</w:t>
            </w:r>
          </w:p>
        </w:tc>
        <w:tc>
          <w:tcPr>
            <w:tcW w:w="18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translation</w:t>
            </w: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156"/>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rPr>
              <w:t>Other comprehensive (loss) income</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Arial" w:cs="Arial" w:eastAsia="Arial" w:hAnsi="Arial"/>
                <w:sz w:val="18"/>
                <w:szCs w:val="18"/>
                <w:color w:val="auto"/>
              </w:rPr>
              <w:t>before reclassifications</w:t>
            </w: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Amounts reclassified out from</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accumulated other comprehensive (loss)</w:t>
            </w: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w w:val="95"/>
              </w:rPr>
              <w:t>Other comprehensive (loss) income, net</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reclassifications out of accumulated other comprehensive loss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Pr>
          <w:p>
            <w:pPr>
              <w:spacing w:after="0"/>
              <w:rPr>
                <w:sz w:val="17"/>
                <w:szCs w:val="17"/>
                <w:color w:val="auto"/>
              </w:rPr>
            </w:pPr>
          </w:p>
        </w:tc>
        <w:tc>
          <w:tcPr>
            <w:tcW w:w="180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7"/>
                <w:szCs w:val="17"/>
                <w:color w:val="auto"/>
              </w:rPr>
            </w:pPr>
          </w:p>
        </w:tc>
        <w:tc>
          <w:tcPr>
            <w:tcW w:w="1720" w:type="dxa"/>
            <w:vAlign w:val="bottom"/>
            <w:gridSpan w:val="4"/>
          </w:tcPr>
          <w:p>
            <w:pPr>
              <w:jc w:val="right"/>
              <w:ind w:right="190"/>
              <w:spacing w:after="0"/>
              <w:rPr>
                <w:sz w:val="20"/>
                <w:szCs w:val="20"/>
                <w:color w:val="auto"/>
              </w:rPr>
            </w:pPr>
            <w:r>
              <w:rPr>
                <w:rFonts w:ascii="Arial" w:cs="Arial" w:eastAsia="Arial" w:hAnsi="Arial"/>
                <w:sz w:val="18"/>
                <w:szCs w:val="18"/>
                <w:color w:val="auto"/>
                <w:w w:val="97"/>
              </w:rPr>
              <w:t>Six Months Ended</w:t>
            </w:r>
          </w:p>
        </w:tc>
        <w:tc>
          <w:tcPr>
            <w:tcW w:w="1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5"/>
          </w:tcPr>
          <w:p>
            <w:pPr>
              <w:jc w:val="center"/>
              <w:ind w:right="240"/>
              <w:spacing w:after="0"/>
              <w:rPr>
                <w:sz w:val="20"/>
                <w:szCs w:val="20"/>
                <w:color w:val="auto"/>
              </w:rPr>
            </w:pPr>
            <w:r>
              <w:rPr>
                <w:rFonts w:ascii="Arial" w:cs="Arial" w:eastAsia="Arial" w:hAnsi="Arial"/>
                <w:sz w:val="18"/>
                <w:szCs w:val="18"/>
                <w:color w:val="auto"/>
                <w:w w:val="86"/>
              </w:rPr>
              <w:t>June 30,</w:t>
            </w:r>
          </w:p>
        </w:tc>
        <w:tc>
          <w:tcPr>
            <w:tcW w:w="1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gridSpan w:val="2"/>
          </w:tcPr>
          <w:p>
            <w:pPr>
              <w:ind w:left="1240"/>
              <w:spacing w:after="0"/>
              <w:rPr>
                <w:sz w:val="20"/>
                <w:szCs w:val="20"/>
                <w:color w:val="auto"/>
              </w:rPr>
            </w:pPr>
            <w:r>
              <w:rPr>
                <w:rFonts w:ascii="Arial" w:cs="Arial" w:eastAsia="Arial" w:hAnsi="Arial"/>
                <w:sz w:val="18"/>
                <w:szCs w:val="18"/>
                <w:color w:val="auto"/>
              </w:rPr>
              <w:t>Detail of components</w:t>
            </w: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2021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84"/>
              </w:rPr>
              <w:t>2021</w:t>
            </w:r>
          </w:p>
        </w:tc>
        <w:tc>
          <w:tcPr>
            <w:tcW w:w="120" w:type="dxa"/>
            <w:vAlign w:val="bottom"/>
          </w:tcPr>
          <w:p>
            <w:pPr>
              <w:spacing w:after="0"/>
              <w:rPr>
                <w:sz w:val="21"/>
                <w:szCs w:val="21"/>
                <w:color w:val="auto"/>
              </w:rPr>
            </w:pPr>
          </w:p>
        </w:tc>
        <w:tc>
          <w:tcPr>
            <w:tcW w:w="3140" w:type="dxa"/>
            <w:vAlign w:val="bottom"/>
          </w:tcPr>
          <w:p>
            <w:pPr>
              <w:ind w:left="360"/>
              <w:spacing w:after="0"/>
              <w:rPr>
                <w:sz w:val="20"/>
                <w:szCs w:val="20"/>
                <w:color w:val="auto"/>
              </w:rPr>
            </w:pPr>
            <w:r>
              <w:rPr>
                <w:rFonts w:ascii="Arial" w:cs="Arial" w:eastAsia="Arial" w:hAnsi="Arial"/>
                <w:sz w:val="18"/>
                <w:szCs w:val="18"/>
                <w:color w:val="auto"/>
              </w:rPr>
              <w:t>Location on Statement of Income</w:t>
            </w: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Gains (losses) on derivatives: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29"/>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treasury locks</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 before tax</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(expense) benefit</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Net of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6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Amortization of defined benefit pension and other</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postretirement plans: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Prior service credit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Actuarial losses</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 before tax</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of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These components are included in the computation of net periodic benefit cost. Please refer to Note 14, </w:t>
      </w:r>
      <w:hyperlink w:anchor="page22">
        <w:r>
          <w:rPr>
            <w:rFonts w:ascii="Arial" w:cs="Arial" w:eastAsia="Arial" w:hAnsi="Arial"/>
            <w:sz w:val="17"/>
            <w:szCs w:val="17"/>
            <w:i w:val="1"/>
            <w:iCs w:val="1"/>
            <w:u w:val="single" w:color="auto"/>
            <w:color w:val="0000FF"/>
          </w:rPr>
          <w:t>Benefit Plans</w:t>
        </w:r>
      </w:hyperlink>
      <w:r>
        <w:rPr>
          <w:rFonts w:ascii="Arial" w:cs="Arial" w:eastAsia="Arial" w:hAnsi="Arial"/>
          <w:sz w:val="17"/>
          <w:szCs w:val="17"/>
          <w:color w:val="auto"/>
        </w:rPr>
        <w:t>, for additional details.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Note 12: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00" w:type="dxa"/>
            <w:vAlign w:val="bottom"/>
            <w:gridSpan w:val="14"/>
          </w:tcPr>
          <w:p>
            <w:pPr>
              <w:spacing w:after="0"/>
              <w:rPr>
                <w:sz w:val="20"/>
                <w:szCs w:val="20"/>
                <w:color w:val="auto"/>
              </w:rPr>
            </w:pPr>
            <w:r>
              <w:rPr>
                <w:rFonts w:ascii="Arial" w:cs="Arial" w:eastAsia="Arial" w:hAnsi="Arial"/>
                <w:sz w:val="18"/>
                <w:szCs w:val="18"/>
                <w:color w:val="auto"/>
                <w:w w:val="96"/>
              </w:rPr>
              <w:t>The following table presents the changes in shareholders’ equity for the six months ended June 30, 2022:</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2"/>
                <w:szCs w:val="22"/>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8"/>
                <w:szCs w:val="18"/>
                <w:color w:val="auto"/>
              </w:rPr>
              <w:t>Capital in</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Common</w:t>
            </w:r>
          </w:p>
        </w:tc>
        <w:tc>
          <w:tcPr>
            <w:tcW w:w="98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87"/>
              </w:rPr>
              <w:t>Treasury</w:t>
            </w: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auto"/>
              </w:rPr>
              <w:t>Retained</w:t>
            </w:r>
          </w:p>
        </w:tc>
        <w:tc>
          <w:tcPr>
            <w:tcW w:w="120" w:type="dxa"/>
            <w:vAlign w:val="bottom"/>
          </w:tcPr>
          <w:p>
            <w:pPr>
              <w:spacing w:after="0"/>
              <w:rPr>
                <w:sz w:val="15"/>
                <w:szCs w:val="15"/>
                <w:color w:val="auto"/>
              </w:rPr>
            </w:pPr>
          </w:p>
        </w:tc>
        <w:tc>
          <w:tcPr>
            <w:tcW w:w="128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87"/>
              </w:rPr>
              <w:t>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8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4"/>
              </w:rPr>
              <w:t>Shares</w:t>
            </w:r>
          </w:p>
        </w:tc>
        <w:tc>
          <w:tcPr>
            <w:tcW w:w="880" w:type="dxa"/>
            <w:vAlign w:val="bottom"/>
            <w:gridSpan w:val="3"/>
            <w:vMerge w:val="continue"/>
          </w:tcPr>
          <w:p>
            <w:pPr>
              <w:spacing w:after="0"/>
              <w:rPr>
                <w:sz w:val="15"/>
                <w:szCs w:val="15"/>
                <w:color w:val="auto"/>
              </w:rPr>
            </w:pPr>
          </w:p>
        </w:tc>
        <w:tc>
          <w:tcPr>
            <w:tcW w:w="9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Excess of</w:t>
            </w:r>
          </w:p>
        </w:tc>
        <w:tc>
          <w:tcPr>
            <w:tcW w:w="9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Treasury</w:t>
            </w:r>
          </w:p>
        </w:tc>
        <w:tc>
          <w:tcPr>
            <w:tcW w:w="86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88"/>
              </w:rPr>
              <w:t>comprehensive</w:t>
            </w:r>
          </w:p>
        </w:tc>
        <w:tc>
          <w:tcPr>
            <w:tcW w:w="180" w:type="dxa"/>
            <w:vAlign w:val="bottom"/>
          </w:tcPr>
          <w:p>
            <w:pPr>
              <w:spacing w:after="0"/>
              <w:rPr>
                <w:sz w:val="15"/>
                <w:szCs w:val="15"/>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580" w:type="dxa"/>
            <w:vAlign w:val="bottom"/>
            <w:vMerge w:val="continue"/>
          </w:tcPr>
          <w:p>
            <w:pPr>
              <w:spacing w:after="0"/>
              <w:rPr>
                <w:sz w:val="19"/>
                <w:szCs w:val="19"/>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40" w:type="dxa"/>
            <w:vAlign w:val="bottom"/>
          </w:tcPr>
          <w:p>
            <w:pPr>
              <w:spacing w:after="0"/>
              <w:rPr>
                <w:sz w:val="19"/>
                <w:szCs w:val="19"/>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Stock</w:t>
            </w: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9"/>
                <w:szCs w:val="19"/>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loss</w:t>
            </w: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$ 2,456.7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2,335.4</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Activity related to stock-based compensation</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rPr>
              <w:t>Shares purchased under share repurchase</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(147.1)</w:t>
            </w:r>
          </w:p>
        </w:tc>
        <w:tc>
          <w:tcPr>
            <w:tcW w:w="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80" w:type="dxa"/>
            <w:vAlign w:val="bottom"/>
            <w:gridSpan w:val="2"/>
            <w:vMerge w:val="restart"/>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($0.18 per share)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$ 2,617.3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2,326.2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tcBorders>
              <w:top w:val="single" w:sz="8" w:color="CCEEFF"/>
            </w:tcBorders>
            <w:vMerge w:val="continue"/>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188.5</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ind w:left="94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Activity related to stock-based compensation</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rPr>
              <w:t>Shares purchased under share repurchase</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80" w:type="dxa"/>
            <w:vAlign w:val="bottom"/>
            <w:gridSpan w:val="2"/>
            <w:vMerge w:val="restart"/>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($0.18 per share)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$ 2,792.5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2,424.4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shareholders’ equity for the six months ended June 30,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vMerge w:val="restart"/>
          </w:tcPr>
          <w:p>
            <w:pPr>
              <w:ind w:left="100"/>
              <w:spacing w:after="0"/>
              <w:rPr>
                <w:sz w:val="20"/>
                <w:szCs w:val="20"/>
                <w:color w:val="auto"/>
              </w:rPr>
            </w:pPr>
            <w:r>
              <w:rPr>
                <w:rFonts w:ascii="Arial" w:cs="Arial" w:eastAsia="Arial" w:hAnsi="Arial"/>
                <w:sz w:val="18"/>
                <w:szCs w:val="18"/>
                <w:color w:val="auto"/>
              </w:rPr>
              <w:t>Capital in</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3"/>
              </w:rPr>
              <w:t>Common</w:t>
            </w:r>
          </w:p>
        </w:tc>
        <w:tc>
          <w:tcPr>
            <w:tcW w:w="100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Treasury</w:t>
            </w: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5"/>
                <w:szCs w:val="15"/>
                <w:color w:val="auto"/>
              </w:rPr>
            </w:pPr>
          </w:p>
        </w:tc>
        <w:tc>
          <w:tcPr>
            <w:tcW w:w="130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2"/>
              </w:rPr>
              <w:t>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8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4"/>
              </w:rPr>
              <w:t>Shares</w:t>
            </w:r>
          </w:p>
        </w:tc>
        <w:tc>
          <w:tcPr>
            <w:tcW w:w="880" w:type="dxa"/>
            <w:vAlign w:val="bottom"/>
            <w:gridSpan w:val="3"/>
            <w:vMerge w:val="continue"/>
          </w:tcPr>
          <w:p>
            <w:pPr>
              <w:spacing w:after="0"/>
              <w:rPr>
                <w:sz w:val="15"/>
                <w:szCs w:val="15"/>
                <w:color w:val="auto"/>
              </w:rPr>
            </w:pPr>
          </w:p>
        </w:tc>
        <w:tc>
          <w:tcPr>
            <w:tcW w:w="100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Excess of</w:t>
            </w:r>
          </w:p>
        </w:tc>
        <w:tc>
          <w:tcPr>
            <w:tcW w:w="9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Treasury</w:t>
            </w:r>
          </w:p>
        </w:tc>
        <w:tc>
          <w:tcPr>
            <w:tcW w:w="86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0"/>
              </w:rPr>
              <w:t>comprehensive</w:t>
            </w:r>
          </w:p>
        </w:tc>
        <w:tc>
          <w:tcPr>
            <w:tcW w:w="180" w:type="dxa"/>
            <w:vAlign w:val="bottom"/>
          </w:tcPr>
          <w:p>
            <w:pPr>
              <w:spacing w:after="0"/>
              <w:rPr>
                <w:sz w:val="15"/>
                <w:szCs w:val="15"/>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500" w:type="dxa"/>
            <w:vAlign w:val="bottom"/>
            <w:vMerge w:val="continue"/>
          </w:tcPr>
          <w:p>
            <w:pPr>
              <w:spacing w:after="0"/>
              <w:rPr>
                <w:sz w:val="19"/>
                <w:szCs w:val="19"/>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Issued</w:t>
            </w:r>
          </w:p>
        </w:tc>
        <w:tc>
          <w:tcPr>
            <w:tcW w:w="16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loss</w:t>
            </w: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$ 1,846.7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1,854.5</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Shares purchased under share repurchase</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($0.17 per share)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$ 1,985.4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1,829.0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tcBorders>
              <w:top w:val="single" w:sz="8" w:color="CCEEFF"/>
            </w:tcBorders>
            <w:vMerge w:val="continue"/>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187.3</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Dividends declared ($0.17 per share)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Balance, June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$ 2,160.2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2,032.6</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1" w:name="page22"/>
    <w:bookmarkEnd w:id="2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June 30, 2022, there were 1,701,231 shares remaining in the 2016 Plan for future grants.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six months ended June 30, 2022, we granted 113,828 stock options at a weighted average exercise price of $366.86 per share based on the grant-date fair value of our stock to employees under the 2016 Plan. The weighted average grant date fair value of options granted was $96.47 per share as determined by the Black-Scholes option valuation model using the following weighted average assumptions: a risk-free interest rate of 1.8%; expected life of 5.6 years based on prior experience; stock volatility of 25.0% based on historical data; and a dividend yield of 0.2%. Stock option expense is recognized over the vesting period, net of forfeitures.</w:t>
      </w:r>
    </w:p>
    <w:p>
      <w:pPr>
        <w:spacing w:after="0" w:line="21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During the six months ended June 30, 2022, we granted 30,692 stock-settled performance share unit (“PSU”) awards at a weighted average grant-date fair value of $365.30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19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six months ended June 30, 2022, we granted 4,290 stock-settled restricted share unit (“RSU”) awards at a weighted average grant-date fair value of $357.69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Stock-based compensation expense was $5.5 million and $11.0 million for the three and six months ended June 30, 2022, respectively. For the three and six months ended June 30, 2021, stock-based compensation expense was $10.3 million and $16.2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Note 14: Benefit Plans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7480" w:type="dxa"/>
            <w:vAlign w:val="bottom"/>
            <w:gridSpan w:val="10"/>
          </w:tcPr>
          <w:p>
            <w:pPr>
              <w:spacing w:after="0"/>
              <w:rPr>
                <w:sz w:val="20"/>
                <w:szCs w:val="20"/>
                <w:color w:val="auto"/>
              </w:rPr>
            </w:pPr>
            <w:r>
              <w:rPr>
                <w:rFonts w:ascii="Arial" w:cs="Arial" w:eastAsia="Arial" w:hAnsi="Arial"/>
                <w:sz w:val="18"/>
                <w:szCs w:val="18"/>
                <w:color w:val="auto"/>
                <w:w w:val="96"/>
              </w:rPr>
              <w:t>The components of net periodic benefit cost for the three months ended June 30 were as follows: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3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2"/>
                <w:szCs w:val="22"/>
                <w:color w:val="auto"/>
              </w:rPr>
            </w:pPr>
          </w:p>
        </w:tc>
        <w:tc>
          <w:tcPr>
            <w:tcW w:w="1960" w:type="dxa"/>
            <w:vAlign w:val="bottom"/>
            <w:gridSpan w:val="3"/>
          </w:tcPr>
          <w:p>
            <w:pPr>
              <w:ind w:left="140"/>
              <w:spacing w:after="0"/>
              <w:rPr>
                <w:sz w:val="20"/>
                <w:szCs w:val="20"/>
                <w:color w:val="auto"/>
              </w:rPr>
            </w:pPr>
            <w:r>
              <w:rPr>
                <w:rFonts w:ascii="Arial" w:cs="Arial" w:eastAsia="Arial" w:hAnsi="Arial"/>
                <w:sz w:val="18"/>
                <w:szCs w:val="18"/>
                <w:color w:val="auto"/>
                <w:w w:val="90"/>
              </w:rPr>
              <w:t>Other retirement benefits</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2"/>
                <w:szCs w:val="22"/>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1"/>
              </w:rPr>
              <w:t>(3.0)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losses (gains)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7"/>
              </w:rPr>
              <w:t>(0.3)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1"/>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7"/>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4"/>
                <w:szCs w:val="24"/>
                <w:color w:val="auto"/>
              </w:rPr>
            </w:pPr>
          </w:p>
        </w:tc>
        <w:tc>
          <w:tcPr>
            <w:tcW w:w="1960" w:type="dxa"/>
            <w:vAlign w:val="bottom"/>
            <w:gridSpan w:val="3"/>
          </w:tcPr>
          <w:p>
            <w:pPr>
              <w:ind w:left="140"/>
              <w:spacing w:after="0"/>
              <w:rPr>
                <w:sz w:val="20"/>
                <w:szCs w:val="20"/>
                <w:color w:val="auto"/>
              </w:rPr>
            </w:pPr>
            <w:r>
              <w:rPr>
                <w:rFonts w:ascii="Arial" w:cs="Arial" w:eastAsia="Arial" w:hAnsi="Arial"/>
                <w:sz w:val="18"/>
                <w:szCs w:val="18"/>
                <w:color w:val="auto"/>
                <w:w w:val="90"/>
              </w:rPr>
              <w:t>Other retirement benefits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4"/>
                <w:szCs w:val="24"/>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1"/>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7"/>
              </w:rPr>
              <w:t>(0.3)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1"/>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7"/>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7480" w:type="dxa"/>
            <w:vAlign w:val="bottom"/>
            <w:gridSpan w:val="10"/>
          </w:tcPr>
          <w:p>
            <w:pPr>
              <w:spacing w:after="0"/>
              <w:rPr>
                <w:sz w:val="20"/>
                <w:szCs w:val="20"/>
                <w:color w:val="auto"/>
              </w:rPr>
            </w:pPr>
            <w:r>
              <w:rPr>
                <w:rFonts w:ascii="Arial" w:cs="Arial" w:eastAsia="Arial" w:hAnsi="Arial"/>
                <w:sz w:val="18"/>
                <w:szCs w:val="18"/>
                <w:color w:val="auto"/>
                <w:w w:val="99"/>
              </w:rPr>
              <w:t>The components of net periodic benefit cost for the six months ended June 30 were as follows: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3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2"/>
                <w:szCs w:val="22"/>
                <w:color w:val="auto"/>
              </w:rPr>
            </w:pPr>
          </w:p>
        </w:tc>
        <w:tc>
          <w:tcPr>
            <w:tcW w:w="1960" w:type="dxa"/>
            <w:vAlign w:val="bottom"/>
            <w:gridSpan w:val="3"/>
          </w:tcPr>
          <w:p>
            <w:pPr>
              <w:ind w:left="140"/>
              <w:spacing w:after="0"/>
              <w:rPr>
                <w:sz w:val="20"/>
                <w:szCs w:val="20"/>
                <w:color w:val="auto"/>
              </w:rPr>
            </w:pPr>
            <w:r>
              <w:rPr>
                <w:rFonts w:ascii="Arial" w:cs="Arial" w:eastAsia="Arial" w:hAnsi="Arial"/>
                <w:sz w:val="18"/>
                <w:szCs w:val="18"/>
                <w:color w:val="auto"/>
                <w:w w:val="90"/>
              </w:rPr>
              <w:t>Other retirement benefits</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2"/>
                <w:szCs w:val="22"/>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1"/>
              </w:rPr>
              <w:t>(6.1)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losses (gains)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7"/>
              </w:rPr>
              <w:t>(0.7)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1"/>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7"/>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4"/>
                <w:szCs w:val="24"/>
                <w:color w:val="auto"/>
              </w:rPr>
            </w:pPr>
          </w:p>
        </w:tc>
        <w:tc>
          <w:tcPr>
            <w:tcW w:w="1960" w:type="dxa"/>
            <w:vAlign w:val="bottom"/>
            <w:gridSpan w:val="3"/>
          </w:tcPr>
          <w:p>
            <w:pPr>
              <w:ind w:left="140"/>
              <w:spacing w:after="0"/>
              <w:rPr>
                <w:sz w:val="20"/>
                <w:szCs w:val="20"/>
                <w:color w:val="auto"/>
              </w:rPr>
            </w:pPr>
            <w:r>
              <w:rPr>
                <w:rFonts w:ascii="Arial" w:cs="Arial" w:eastAsia="Arial" w:hAnsi="Arial"/>
                <w:sz w:val="18"/>
                <w:szCs w:val="18"/>
                <w:color w:val="auto"/>
                <w:w w:val="90"/>
              </w:rPr>
              <w:t>Other retirement benefits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4"/>
                <w:szCs w:val="24"/>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1"/>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7"/>
              </w:rPr>
              <w:t>(0.7)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1"/>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7"/>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During the three and six months ended June 30, 2022, we recorded a $0.6 million and $1.2 million pension settlement charge, respectively, within other nonoperating (income) expense, as we determined that normal-course lump-sum payments for our U.S. qualified defined benefit pension plan exceeded the threshold for settlement accounting under U.S. GAAP for the year. During the three and six months ended June 30, 2021, we recorded a $0.1 million and $0.7 million pension settlement charge, respectively, within other nonoperating (income) expense, as we determined that normal-course lump-sum payments for our U.S. qualified defined benefit pension plan exceeded the threshold for settlement accounting under U.S. GAAP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3" w:name="page24"/>
    <w:bookmarkEnd w:id="2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Note 15: Other (Income) Expense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5000" w:type="dxa"/>
            <w:vAlign w:val="bottom"/>
          </w:tcPr>
          <w:p>
            <w:pPr>
              <w:spacing w:after="0"/>
              <w:rPr>
                <w:sz w:val="20"/>
                <w:szCs w:val="20"/>
                <w:color w:val="auto"/>
              </w:rPr>
            </w:pPr>
            <w:r>
              <w:rPr>
                <w:rFonts w:ascii="Arial" w:cs="Arial" w:eastAsia="Arial" w:hAnsi="Arial"/>
                <w:sz w:val="18"/>
                <w:szCs w:val="18"/>
                <w:color w:val="auto"/>
              </w:rPr>
              <w:t>Other (income) expense consists of:</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5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20" w:type="dxa"/>
            <w:vAlign w:val="bottom"/>
            <w:gridSpan w:val="5"/>
          </w:tcPr>
          <w:p>
            <w:pPr>
              <w:ind w:left="440"/>
              <w:spacing w:after="0" w:line="202" w:lineRule="exact"/>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7"/>
                <w:szCs w:val="17"/>
                <w:color w:val="auto"/>
              </w:rPr>
            </w:pPr>
          </w:p>
        </w:tc>
        <w:tc>
          <w:tcPr>
            <w:tcW w:w="2760" w:type="dxa"/>
            <w:vAlign w:val="bottom"/>
            <w:gridSpan w:val="4"/>
          </w:tcPr>
          <w:p>
            <w:pPr>
              <w:jc w:val="right"/>
              <w:ind w:right="790"/>
              <w:spacing w:after="0" w:line="202" w:lineRule="exact"/>
              <w:rPr>
                <w:sz w:val="20"/>
                <w:szCs w:val="20"/>
                <w:color w:val="auto"/>
              </w:rPr>
            </w:pPr>
            <w:r>
              <w:rPr>
                <w:rFonts w:ascii="Arial" w:cs="Arial" w:eastAsia="Arial" w:hAnsi="Arial"/>
                <w:sz w:val="18"/>
                <w:szCs w:val="18"/>
                <w:color w:val="auto"/>
              </w:rPr>
              <w:t>Six Months Ended</w:t>
            </w:r>
          </w:p>
        </w:tc>
      </w:tr>
      <w:tr>
        <w:trPr>
          <w:trHeight w:val="229"/>
        </w:trPr>
        <w:tc>
          <w:tcPr>
            <w:tcW w:w="5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80" w:type="dxa"/>
            <w:vAlign w:val="bottom"/>
            <w:tcBorders>
              <w:bottom w:val="single" w:sz="8" w:color="auto"/>
            </w:tcBorders>
          </w:tcPr>
          <w:p>
            <w:pPr>
              <w:spacing w:after="0"/>
              <w:rPr>
                <w:sz w:val="19"/>
                <w:szCs w:val="19"/>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related charges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1"/>
              </w:rPr>
              <w:t>(1.6)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7"/>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1"/>
              </w:rPr>
              <w:t>(1.6)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87"/>
              </w:rPr>
              <w:t>2.2</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Fixed asset impairments and loss on sale of equipment</w:t>
            </w:r>
          </w:p>
        </w:tc>
        <w:tc>
          <w:tcPr>
            <w:tcW w:w="320" w:type="dxa"/>
            <w:vAlign w:val="bottom"/>
          </w:tcPr>
          <w:p>
            <w:pPr>
              <w:spacing w:after="0"/>
              <w:rPr>
                <w:sz w:val="19"/>
                <w:szCs w:val="19"/>
                <w:color w:val="auto"/>
              </w:rPr>
            </w:pP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center"/>
              <w:ind w:left="630"/>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left="690"/>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center"/>
              <w:ind w:left="610"/>
              <w:spacing w:after="0"/>
              <w:rPr>
                <w:sz w:val="20"/>
                <w:szCs w:val="20"/>
                <w:color w:val="auto"/>
              </w:rPr>
            </w:pPr>
            <w:r>
              <w:rPr>
                <w:rFonts w:ascii="Arial" w:cs="Arial" w:eastAsia="Arial" w:hAnsi="Arial"/>
                <w:sz w:val="18"/>
                <w:szCs w:val="18"/>
                <w:color w:val="auto"/>
                <w:w w:val="87"/>
              </w:rPr>
              <w:t>0.3</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7"/>
              </w:rPr>
              <w:t>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7"/>
              </w:rPr>
              <w:t>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7"/>
              </w:rPr>
              <w:t>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87"/>
              </w:rPr>
              <w:t>0.9</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Foreign exchange transaction gains</w:t>
            </w:r>
          </w:p>
        </w:tc>
        <w:tc>
          <w:tcPr>
            <w:tcW w:w="320" w:type="dxa"/>
            <w:vAlign w:val="bottom"/>
          </w:tcPr>
          <w:p>
            <w:pPr>
              <w:spacing w:after="0"/>
              <w:rPr>
                <w:sz w:val="19"/>
                <w:szCs w:val="19"/>
                <w:color w:val="auto"/>
              </w:rPr>
            </w:pPr>
          </w:p>
        </w:tc>
        <w:tc>
          <w:tcPr>
            <w:tcW w:w="1120" w:type="dxa"/>
            <w:vAlign w:val="bottom"/>
          </w:tcPr>
          <w:p>
            <w:pPr>
              <w:jc w:val="center"/>
              <w:ind w:left="650"/>
              <w:spacing w:after="0"/>
              <w:rPr>
                <w:sz w:val="20"/>
                <w:szCs w:val="20"/>
                <w:color w:val="auto"/>
              </w:rPr>
            </w:pPr>
            <w:r>
              <w:rPr>
                <w:rFonts w:ascii="Arial" w:cs="Arial" w:eastAsia="Arial" w:hAnsi="Arial"/>
                <w:sz w:val="18"/>
                <w:szCs w:val="18"/>
                <w:color w:val="auto"/>
                <w:w w:val="91"/>
              </w:rPr>
              <w:t>(1.3)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center"/>
              <w:ind w:left="590"/>
              <w:spacing w:after="0"/>
              <w:rPr>
                <w:sz w:val="20"/>
                <w:szCs w:val="20"/>
                <w:color w:val="auto"/>
              </w:rPr>
            </w:pPr>
            <w:r>
              <w:rPr>
                <w:rFonts w:ascii="Arial" w:cs="Arial" w:eastAsia="Arial" w:hAnsi="Arial"/>
                <w:sz w:val="18"/>
                <w:szCs w:val="18"/>
                <w:color w:val="auto"/>
                <w:w w:val="91"/>
              </w:rPr>
              <w:t>(2.6)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left="650"/>
              <w:spacing w:after="0"/>
              <w:rPr>
                <w:sz w:val="20"/>
                <w:szCs w:val="20"/>
                <w:color w:val="auto"/>
              </w:rPr>
            </w:pPr>
            <w:r>
              <w:rPr>
                <w:rFonts w:ascii="Arial" w:cs="Arial" w:eastAsia="Arial" w:hAnsi="Arial"/>
                <w:sz w:val="18"/>
                <w:szCs w:val="18"/>
                <w:color w:val="auto"/>
                <w:w w:val="91"/>
              </w:rPr>
              <w:t>(2.4)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center"/>
              <w:ind w:left="590"/>
              <w:spacing w:after="0"/>
              <w:rPr>
                <w:sz w:val="20"/>
                <w:szCs w:val="20"/>
                <w:color w:val="auto"/>
              </w:rPr>
            </w:pPr>
            <w:r>
              <w:rPr>
                <w:rFonts w:ascii="Arial" w:cs="Arial" w:eastAsia="Arial" w:hAnsi="Arial"/>
                <w:sz w:val="18"/>
                <w:szCs w:val="18"/>
                <w:color w:val="auto"/>
                <w:w w:val="97"/>
              </w:rPr>
              <w:t>(2.9)</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91"/>
              </w:rPr>
              <w:t>(0.4)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1"/>
              </w:rPr>
              <w:t>(1.5)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91"/>
              </w:rPr>
              <w:t>(3.1)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87"/>
              </w:rPr>
              <w:t>0.7</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91"/>
              </w:rPr>
              <w:t>(2.8)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1"/>
              </w:rPr>
              <w:t>(2.7)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91"/>
              </w:rPr>
              <w:t>(5.9)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87"/>
              </w:rPr>
              <w:t>1.2</w:t>
            </w:r>
          </w:p>
        </w:tc>
      </w:tr>
      <w:tr>
        <w:trPr>
          <w:trHeight w:val="21"/>
        </w:trPr>
        <w:tc>
          <w:tcPr>
            <w:tcW w:w="5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July 2020, our Board of Directors approved a restructuring plan designed to optimize certain organizational structures within the Company to better support our continued growth and business priorities. These changes are expected to be implemented over a period of up to twenty-four months from the date of approval. The plan is expected to require restructuring and related charges of approximately $5 million to $6 million, with annualized savings in the range of $0.9 million to $1.6 million. Since its approval, we recorded a net pre-tax amount equal to $5.2 million in restructuring and related charges associated with this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related to our restructuring obligations related to our 2020 restructuring plan: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Severance</w:t>
            </w:r>
          </w:p>
        </w:tc>
        <w:tc>
          <w:tcPr>
            <w:tcW w:w="180" w:type="dxa"/>
            <w:vAlign w:val="bottom"/>
          </w:tcPr>
          <w:p>
            <w:pPr>
              <w:spacing w:after="0"/>
              <w:rPr>
                <w:sz w:val="18"/>
                <w:szCs w:val="18"/>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8"/>
                <w:szCs w:val="18"/>
                <w:color w:val="auto"/>
              </w:rPr>
              <w:t>Other charges</w:t>
            </w:r>
          </w:p>
        </w:tc>
        <w:tc>
          <w:tcPr>
            <w:tcW w:w="320" w:type="dxa"/>
            <w:vAlign w:val="bottom"/>
          </w:tcPr>
          <w:p>
            <w:pPr>
              <w:spacing w:after="0"/>
              <w:rPr>
                <w:sz w:val="18"/>
                <w:szCs w:val="18"/>
                <w:color w:val="auto"/>
              </w:rPr>
            </w:pPr>
          </w:p>
        </w:tc>
        <w:tc>
          <w:tcPr>
            <w:tcW w:w="112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6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and benefits</w:t>
            </w:r>
          </w:p>
        </w:tc>
        <w:tc>
          <w:tcPr>
            <w:tcW w:w="1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87"/>
              </w:rPr>
              <w:t>2.8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87"/>
              </w:rPr>
              <w:t>0.5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(Credits) charges</w:t>
            </w:r>
          </w:p>
        </w:tc>
        <w:tc>
          <w:tcPr>
            <w:tcW w:w="200" w:type="dxa"/>
            <w:vAlign w:val="bottom"/>
          </w:tcPr>
          <w:p>
            <w:pPr>
              <w:spacing w:after="0"/>
              <w:rPr>
                <w:sz w:val="19"/>
                <w:szCs w:val="19"/>
                <w:color w:val="auto"/>
              </w:rPr>
            </w:pPr>
          </w:p>
        </w:tc>
        <w:tc>
          <w:tcPr>
            <w:tcW w:w="1240" w:type="dxa"/>
            <w:vAlign w:val="bottom"/>
          </w:tcPr>
          <w:p>
            <w:pPr>
              <w:jc w:val="center"/>
              <w:ind w:left="770"/>
              <w:spacing w:after="0"/>
              <w:rPr>
                <w:sz w:val="20"/>
                <w:szCs w:val="20"/>
                <w:color w:val="auto"/>
              </w:rPr>
            </w:pPr>
            <w:r>
              <w:rPr>
                <w:rFonts w:ascii="Arial" w:cs="Arial" w:eastAsia="Arial" w:hAnsi="Arial"/>
                <w:sz w:val="18"/>
                <w:szCs w:val="18"/>
                <w:color w:val="auto"/>
                <w:w w:val="91"/>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left="770"/>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630"/>
              <w:spacing w:after="0"/>
              <w:rPr>
                <w:sz w:val="20"/>
                <w:szCs w:val="20"/>
                <w:color w:val="auto"/>
              </w:rPr>
            </w:pPr>
            <w:r>
              <w:rPr>
                <w:rFonts w:ascii="Arial" w:cs="Arial" w:eastAsia="Arial" w:hAnsi="Arial"/>
                <w:sz w:val="18"/>
                <w:szCs w:val="18"/>
                <w:color w:val="auto"/>
                <w:w w:val="97"/>
              </w:rPr>
              <w:t>(1.6)</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1"/>
              </w:rPr>
              <w:t>(0.5)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1"/>
              </w:rPr>
              <w:t>(0.1)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Balance, June 30, 2022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color w:val="auto"/>
                <w:w w:val="87"/>
              </w:rPr>
              <w:t>0.9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56" w:lineRule="exact"/>
        <w:rPr>
          <w:sz w:val="20"/>
          <w:szCs w:val="20"/>
          <w:color w:val="auto"/>
        </w:rPr>
      </w:pPr>
    </w:p>
    <w:p>
      <w:pPr>
        <w:ind w:right="1120"/>
        <w:spacing w:after="0" w:line="277" w:lineRule="auto"/>
        <w:rPr>
          <w:rFonts w:ascii="Arial" w:cs="Arial" w:eastAsia="Arial" w:hAnsi="Arial"/>
          <w:sz w:val="18"/>
          <w:szCs w:val="18"/>
          <w:i w:val="1"/>
          <w:iCs w:val="1"/>
          <w:color w:val="0000FF"/>
        </w:rPr>
      </w:pPr>
      <w:hyperlink w:anchor="page16">
        <w:r>
          <w:rPr>
            <w:rFonts w:ascii="Arial" w:cs="Arial" w:eastAsia="Arial" w:hAnsi="Arial"/>
            <w:sz w:val="18"/>
            <w:szCs w:val="18"/>
            <w:color w:val="auto"/>
          </w:rPr>
          <w:t xml:space="preserve">Contingent consideration represents changes in the fair value of the SmartDose contingent consideration. Please refer to Note 10, </w:t>
        </w:r>
        <w:r>
          <w:rPr>
            <w:rFonts w:ascii="Arial" w:cs="Arial" w:eastAsia="Arial" w:hAnsi="Arial"/>
            <w:sz w:val="18"/>
            <w:szCs w:val="18"/>
            <w:i w:val="1"/>
            <w:iCs w:val="1"/>
            <w:u w:val="single" w:color="auto"/>
            <w:color w:val="0000FF"/>
          </w:rPr>
          <w:t>Fair Value</w:t>
        </w:r>
      </w:hyperlink>
      <w:r>
        <w:rPr>
          <w:rFonts w:ascii="Arial" w:cs="Arial" w:eastAsia="Arial" w:hAnsi="Arial"/>
          <w:sz w:val="18"/>
          <w:szCs w:val="18"/>
          <w:color w:val="auto"/>
        </w:rPr>
        <w:t xml:space="preserve"> </w:t>
      </w:r>
      <w:hyperlink w:anchor="page16">
        <w:r>
          <w:rPr>
            <w:rFonts w:ascii="Arial" w:cs="Arial" w:eastAsia="Arial" w:hAnsi="Arial"/>
            <w:sz w:val="18"/>
            <w:szCs w:val="18"/>
            <w:i w:val="1"/>
            <w:iCs w:val="1"/>
            <w:u w:val="single" w:color="auto"/>
            <w:color w:val="0000FF"/>
          </w:rPr>
          <w:t>Measurements</w:t>
        </w:r>
        <w:r>
          <w:rPr>
            <w:rFonts w:ascii="Arial" w:cs="Arial" w:eastAsia="Arial" w:hAnsi="Arial"/>
            <w:sz w:val="18"/>
            <w:szCs w:val="18"/>
            <w:color w:val="000000"/>
          </w:rPr>
          <w:t>, for additional details.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256" w:lineRule="exact"/>
        <w:rPr>
          <w:sz w:val="20"/>
          <w:szCs w:val="20"/>
          <w:color w:val="auto"/>
        </w:rPr>
      </w:pPr>
    </w:p>
    <w:p>
      <w:pPr>
        <w:jc w:val="both"/>
        <w:ind w:right="220"/>
        <w:spacing w:after="0" w:line="263" w:lineRule="auto"/>
        <w:rPr>
          <w:rFonts w:ascii="Arial" w:cs="Arial" w:eastAsia="Arial" w:hAnsi="Arial"/>
          <w:sz w:val="18"/>
          <w:szCs w:val="18"/>
          <w:i w:val="1"/>
          <w:iCs w:val="1"/>
          <w:color w:val="0000FF"/>
        </w:rPr>
      </w:pPr>
      <w:r>
        <w:rPr>
          <w:rFonts w:ascii="Arial" w:cs="Arial" w:eastAsia="Arial" w:hAnsi="Arial"/>
          <w:sz w:val="18"/>
          <w:szCs w:val="18"/>
          <w:color w:val="auto"/>
        </w:rPr>
        <w:t xml:space="preserve">During the three and six months ended June 30, 2022, we recorded a gain of $0.3 million and $3.1 million, respectively, related to oil hedges. During the three and six months ended June 30, 2021, we recorded a gain of $0.7 million and $1.1 million, respectively, related to oil hedges. Please refer to Note 9, </w:t>
      </w:r>
      <w:hyperlink w:anchor="page13">
        <w:r>
          <w:rPr>
            <w:rFonts w:ascii="Arial" w:cs="Arial" w:eastAsia="Arial" w:hAnsi="Arial"/>
            <w:sz w:val="18"/>
            <w:szCs w:val="18"/>
            <w:i w:val="1"/>
            <w:iCs w:val="1"/>
            <w:u w:val="single" w:color="auto"/>
            <w:color w:val="0000FF"/>
          </w:rPr>
          <w:t>Derivative Financial Instruments</w:t>
        </w:r>
      </w:hyperlink>
      <w:r>
        <w:rPr>
          <w:rFonts w:ascii="Arial" w:cs="Arial" w:eastAsia="Arial" w:hAnsi="Arial"/>
          <w:sz w:val="18"/>
          <w:szCs w:val="18"/>
          <w:color w:val="000000"/>
        </w:rPr>
        <w:t>,</w:t>
      </w:r>
      <w:r>
        <w:rPr>
          <w:rFonts w:ascii="Arial" w:cs="Arial" w:eastAsia="Arial" w:hAnsi="Arial"/>
          <w:sz w:val="18"/>
          <w:szCs w:val="18"/>
          <w:i w:val="1"/>
          <w:iCs w:val="1"/>
          <w:color w:val="0000FF"/>
        </w:rPr>
        <w:t xml:space="preserve"> </w:t>
      </w:r>
      <w:r>
        <w:rPr>
          <w:rFonts w:ascii="Arial" w:cs="Arial" w:eastAsia="Arial" w:hAnsi="Arial"/>
          <w:sz w:val="18"/>
          <w:szCs w:val="18"/>
          <w:color w:val="000000"/>
        </w:rPr>
        <w:t>for further discussion of our hedging activity.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we recorded an impairment charge of $2.2 million for one of the Company's cost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June 30, 2021, we recorded a net gain of $1.3 million on the sale of one of the Company's cost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197"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The provision for income taxes was $44.2 million and $32.3 million for the three months ended June 30, 2022 and 2021, respectively, and the effective tax rate was 19.5% and 15.3%, respectively. The increase in the effective tax rate is primarily due to a decrease in stock-based compensation deduction for the three months ended June 30, 2022 as compared to the same period in 2021. The provision for income taxes was $65.4 million and $61.0 million for the six months ended June 30, 2022 and 2021, respectively, and the effective tax rate was 15.8% and 15.8%,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time to time, we are involved in product liability matters and other legal proceedings and claims generally incidental to our normal business activities. We accrue for loss contingencies when it is probable that a liability has been incurred and the amount of the loss can be reasonably estimated. While the outcome of current proceedings cannot be accurately predicted, we believe their ultimate resolution should not have a material adverse effect on our business, financial condition, results of operations or liquidity.</w:t>
      </w:r>
    </w:p>
    <w:p>
      <w:pPr>
        <w:spacing w:after="0" w:line="21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significant changes to the commitments and contingencies included in our </w:t>
      </w:r>
      <w:hyperlink r:id="rId16">
        <w:r>
          <w:rPr>
            <w:rFonts w:ascii="Arial" w:cs="Arial" w:eastAsia="Arial" w:hAnsi="Arial"/>
            <w:sz w:val="18"/>
            <w:szCs w:val="18"/>
            <w:u w:val="single" w:color="auto"/>
            <w:color w:val="0000FF"/>
          </w:rPr>
          <w:t>2021 Annual Report</w:t>
        </w:r>
      </w:hyperlink>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gridSpan w:val="5"/>
          </w:tcPr>
          <w:p>
            <w:pPr>
              <w:spacing w:after="0"/>
              <w:rPr>
                <w:sz w:val="20"/>
                <w:szCs w:val="20"/>
                <w:color w:val="auto"/>
              </w:rPr>
            </w:pPr>
            <w:r>
              <w:rPr>
                <w:rFonts w:ascii="Arial" w:cs="Arial" w:eastAsia="Arial" w:hAnsi="Arial"/>
                <w:sz w:val="18"/>
                <w:szCs w:val="18"/>
                <w:color w:val="auto"/>
                <w:w w:val="91"/>
              </w:rPr>
              <w:t>The following table presents information about our reportable segments, reconciled to consolidated totals: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3"/>
        </w:trPr>
        <w:tc>
          <w:tcPr>
            <w:tcW w:w="4980" w:type="dxa"/>
            <w:vAlign w:val="bottom"/>
          </w:tcPr>
          <w:p>
            <w:pPr>
              <w:spacing w:after="0"/>
              <w:rPr>
                <w:sz w:val="17"/>
                <w:szCs w:val="17"/>
                <w:color w:val="auto"/>
              </w:rPr>
            </w:pPr>
          </w:p>
        </w:tc>
        <w:tc>
          <w:tcPr>
            <w:tcW w:w="2700" w:type="dxa"/>
            <w:vAlign w:val="bottom"/>
            <w:gridSpan w:val="4"/>
          </w:tcPr>
          <w:p>
            <w:pPr>
              <w:jc w:val="right"/>
              <w:ind w:right="230"/>
              <w:spacing w:after="0" w:line="202" w:lineRule="exact"/>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90"/>
              <w:spacing w:after="0" w:line="202" w:lineRule="exact"/>
              <w:rPr>
                <w:sz w:val="20"/>
                <w:szCs w:val="20"/>
                <w:color w:val="auto"/>
              </w:rPr>
            </w:pPr>
            <w:r>
              <w:rPr>
                <w:rFonts w:ascii="Arial" w:cs="Arial" w:eastAsia="Arial" w:hAnsi="Arial"/>
                <w:sz w:val="18"/>
                <w:szCs w:val="18"/>
                <w:color w:val="auto"/>
              </w:rPr>
              <w:t>Six Months Ended</w:t>
            </w:r>
          </w:p>
        </w:tc>
      </w:tr>
      <w:tr>
        <w:trPr>
          <w:trHeight w:val="230"/>
        </w:trPr>
        <w:tc>
          <w:tcPr>
            <w:tcW w:w="49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June 30,</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20" w:type="dxa"/>
            <w:vAlign w:val="bottom"/>
            <w:tcBorders>
              <w:bottom w:val="single" w:sz="8" w:color="auto"/>
            </w:tcBorders>
          </w:tcPr>
          <w:p>
            <w:pPr>
              <w:spacing w:after="0"/>
              <w:rPr>
                <w:sz w:val="19"/>
                <w:szCs w:val="19"/>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Proprietary Products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653.7</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587.3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1,255.0</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1,131.0</w:t>
            </w: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Contract-Manufactured Products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r>
      <w:tr>
        <w:trPr>
          <w:trHeight w:val="230"/>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Intersegment sales elimination</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723.6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gridSpan w:val="4"/>
          </w:tcPr>
          <w:p>
            <w:pPr>
              <w:spacing w:after="0"/>
              <w:rPr>
                <w:sz w:val="20"/>
                <w:szCs w:val="20"/>
                <w:color w:val="auto"/>
              </w:rPr>
            </w:pPr>
            <w:r>
              <w:rPr>
                <w:rFonts w:ascii="Arial" w:cs="Arial" w:eastAsia="Arial" w:hAnsi="Arial"/>
                <w:sz w:val="18"/>
                <w:szCs w:val="18"/>
                <w:color w:val="auto"/>
              </w:rPr>
              <w:t>The following table provides summarized financial information for our segments:</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20" w:type="dxa"/>
            <w:vAlign w:val="bottom"/>
            <w:gridSpan w:val="5"/>
          </w:tcPr>
          <w:p>
            <w:pPr>
              <w:ind w:left="420"/>
              <w:spacing w:after="0" w:line="202" w:lineRule="exact"/>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7"/>
                <w:szCs w:val="17"/>
                <w:color w:val="auto"/>
              </w:rPr>
            </w:pPr>
          </w:p>
        </w:tc>
        <w:tc>
          <w:tcPr>
            <w:tcW w:w="2760" w:type="dxa"/>
            <w:vAlign w:val="bottom"/>
            <w:gridSpan w:val="4"/>
          </w:tcPr>
          <w:p>
            <w:pPr>
              <w:jc w:val="right"/>
              <w:ind w:right="790"/>
              <w:spacing w:after="0" w:line="202" w:lineRule="exact"/>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20"/>
              <w:spacing w:after="0"/>
              <w:rPr>
                <w:sz w:val="20"/>
                <w:szCs w:val="20"/>
                <w:color w:val="auto"/>
              </w:rPr>
            </w:pPr>
            <w:r>
              <w:rPr>
                <w:rFonts w:ascii="Arial" w:cs="Arial" w:eastAsia="Arial" w:hAnsi="Arial"/>
                <w:sz w:val="18"/>
                <w:szCs w:val="18"/>
                <w:color w:val="auto"/>
              </w:rPr>
              <w:t>Proprietary Products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233.9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427.3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Contract-Manufactured Products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5000" w:type="dxa"/>
            <w:vAlign w:val="bottom"/>
          </w:tcPr>
          <w:p>
            <w:pPr>
              <w:ind w:left="140"/>
              <w:spacing w:after="0"/>
              <w:rPr>
                <w:sz w:val="20"/>
                <w:szCs w:val="20"/>
                <w:color w:val="auto"/>
              </w:rPr>
            </w:pPr>
            <w:r>
              <w:rPr>
                <w:rFonts w:ascii="Arial" w:cs="Arial" w:eastAsia="Arial" w:hAnsi="Arial"/>
                <w:sz w:val="18"/>
                <w:szCs w:val="18"/>
                <w:color w:val="auto"/>
              </w:rPr>
              <w:t>Total business segment operating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460.6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general costs (1)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and severance related charges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Arial" w:cs="Arial" w:eastAsia="Arial" w:hAnsi="Arial"/>
                <w:sz w:val="18"/>
                <w:szCs w:val="18"/>
                <w:color w:val="auto"/>
              </w:rPr>
              <w:t>Amortization of acquisition-related intangible assets (2)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investment activity</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Corporate and Unallocated</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consolidated operating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155"/>
        </w:trPr>
        <w:tc>
          <w:tcPr>
            <w:tcW w:w="5000" w:type="dxa"/>
            <w:vAlign w:val="bottom"/>
          </w:tcPr>
          <w:p>
            <w:pPr>
              <w:ind w:left="20"/>
              <w:spacing w:after="0" w:line="156" w:lineRule="exact"/>
              <w:rPr>
                <w:sz w:val="20"/>
                <w:szCs w:val="20"/>
                <w:color w:val="auto"/>
              </w:rPr>
            </w:pPr>
            <w:r>
              <w:rPr>
                <w:rFonts w:ascii="Arial" w:cs="Arial" w:eastAsia="Arial" w:hAnsi="Arial"/>
                <w:sz w:val="18"/>
                <w:szCs w:val="18"/>
                <w:color w:val="auto"/>
                <w:w w:val="89"/>
              </w:rPr>
              <w:t>Interest expense (income) and other nonoperating expense (income),</w:t>
            </w:r>
          </w:p>
        </w:tc>
        <w:tc>
          <w:tcPr>
            <w:tcW w:w="3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60" w:firstLine="8"/>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general costs includes executive and director compensation, certain pension and other retirement benefit costs, and other corporate facilities and administrative expenses not allocated to the segments.</w:t>
      </w:r>
    </w:p>
    <w:p>
      <w:pPr>
        <w:spacing w:after="0" w:line="197" w:lineRule="exact"/>
        <w:rPr>
          <w:rFonts w:ascii="Arial" w:cs="Arial" w:eastAsia="Arial" w:hAnsi="Arial"/>
          <w:sz w:val="18"/>
          <w:szCs w:val="18"/>
          <w:color w:val="auto"/>
        </w:rPr>
      </w:pPr>
    </w:p>
    <w:p>
      <w:pPr>
        <w:ind w:right="20" w:firstLine="8"/>
        <w:spacing w:after="0" w:line="259"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three and six months ended June 30, 2022, the Company recorded $0.2 million and $0.4 million, respectively, of amortization expense within operating profit associated with an intangible asset acquired during the second quarter of 2020. During the three and six months ended June 30, 2021, the Company recorded $0.2 million and $0.4 million, respectively, of amortization expense within operating profit associated with an intangible asset acquired during the second quarter of 2020.</w:t>
      </w:r>
    </w:p>
    <w:p>
      <w:pPr>
        <w:spacing w:after="0" w:line="21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Note 15, </w:t>
      </w:r>
      <w:hyperlink w:anchor="page23">
        <w:r>
          <w:rPr>
            <w:rFonts w:ascii="Arial" w:cs="Arial" w:eastAsia="Arial" w:hAnsi="Arial"/>
            <w:sz w:val="18"/>
            <w:szCs w:val="18"/>
            <w:i w:val="1"/>
            <w:iCs w:val="1"/>
            <w:u w:val="single" w:color="auto"/>
            <w:color w:val="0000FF"/>
          </w:rPr>
          <w:t>Other (Income) Expense</w:t>
        </w:r>
      </w:hyperlink>
      <w:r>
        <w:rPr>
          <w:rFonts w:ascii="Arial" w:cs="Arial" w:eastAsia="Arial" w:hAnsi="Arial"/>
          <w:sz w:val="18"/>
          <w:szCs w:val="18"/>
          <w:color w:val="auto"/>
        </w:rPr>
        <w:t>, for further discussion of these items.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2021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2021 Annual Report and in Part II, Item 1A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Throughout this section, references to “Notes” refer to the notes to our condensed consolidated financial statements (unaudited) in Part I, Item 1 of this Form 10-Q, unless otherwise indicated.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GAAP Financial Measures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a leading global manufacturer in the design and production of technologically advanced, high-quality, integrated containment and delivery systems for injectable drugs and healthcare products. Our products include a variety of primary packaging, containment solutions, reconstitution and transfer systems, and drug delivery systems, as well as contract manufacturing, analytical lab services and integrated solutions. Our customers include the leading biologic, generic, pharmaceutical, diagnostic, and medical device companies in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22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and other Macroeconomic Factors</w:t>
      </w:r>
    </w:p>
    <w:p>
      <w:pPr>
        <w:spacing w:after="0" w:line="256"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West has been actively monitoring the COVID-19 situation and its impact globally. Our primary objectives have remained the same throughout the pandemic: to support the safety of our team members and their families and continue to support patients around the world. Our production facilities continue to operate as they had prior to the COVID-19 pandemic, other than for enhanced safety measures intended to prevent the spread of the virus and higher levels of production at certain plant locations to meet additional customer demand. Our capital and financial resources, including overall liquidity, remain strong. The remote working arrangements and travel restrictions imposed by various governments had limited impact on our ability to maintain operations, as our manufacturing operations have generally been exempted from stay-at-home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7" w:name="page28"/>
    <w:bookmarkEnd w:id="2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However, we cannot predict the impact of the progression of the COVID-19 pandemic on future results due to a variety of factors, including the continued good health of our employees, the ability of suppliers to continue to operate and deliver, the ability of West and its customers to maintain operations, continued access to transportation resources, the changing needs and priorities of customers, any further government and/or public actions taken in response to the pandemic and ultimately the length of the pandemic. We will continue to closely monitor the COVID-19 pandemic in order to ensure the safety of our people and our ability to serve our customers and patients worldwide.</w:t>
      </w:r>
    </w:p>
    <w:p>
      <w:pPr>
        <w:spacing w:after="0" w:line="203"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Through the six months ended June 30, 2022, the war between Russia and Ukraine has not had a material impact on the Company’s business, financial condition or results of operations as we do not have manufacturing operations or significant commercial relationships in either country. However, the Company is closely monitoring the broader impact that this war has on availability of raw materials, logistics and access to European energy 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Financial Performance Summary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252525"/>
        </w:rPr>
        <w:t xml:space="preserve">The following tables present a reconciliation from U.S. GAAP to non-U.S. GAAP financial measures for the three and six months ended </w:t>
      </w:r>
      <w:r>
        <w:rPr>
          <w:rFonts w:ascii="Arial" w:cs="Arial" w:eastAsia="Arial" w:hAnsi="Arial"/>
          <w:sz w:val="16"/>
          <w:szCs w:val="16"/>
          <w:color w:val="000000"/>
        </w:rPr>
        <w:t>June 30, 2022:</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17"/>
                <w:szCs w:val="17"/>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7"/>
                <w:szCs w:val="17"/>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7"/>
                <w:szCs w:val="17"/>
                <w:color w:val="auto"/>
              </w:rPr>
            </w:pP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Diluted EPS</w:t>
            </w:r>
          </w:p>
        </w:tc>
        <w:tc>
          <w:tcPr>
            <w:tcW w:w="0" w:type="dxa"/>
            <w:vAlign w:val="bottom"/>
          </w:tcPr>
          <w:p>
            <w:pPr>
              <w:spacing w:after="0"/>
              <w:rPr>
                <w:sz w:val="1"/>
                <w:szCs w:val="1"/>
                <w:color w:val="auto"/>
              </w:rPr>
            </w:pPr>
          </w:p>
        </w:tc>
      </w:tr>
      <w:tr>
        <w:trPr>
          <w:trHeight w:val="229"/>
        </w:trPr>
        <w:tc>
          <w:tcPr>
            <w:tcW w:w="4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2022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1"/>
              </w:rPr>
              <w:t>2.48</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and severance related charges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9"/>
              </w:rPr>
              <w:t>(0.01)</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690"/>
              <w:spacing w:after="0"/>
              <w:rPr>
                <w:sz w:val="20"/>
                <w:szCs w:val="20"/>
                <w:color w:val="auto"/>
              </w:rPr>
            </w:pPr>
            <w:r>
              <w:rPr>
                <w:rFonts w:ascii="Arial" w:cs="Arial" w:eastAsia="Arial" w:hAnsi="Arial"/>
                <w:sz w:val="18"/>
                <w:szCs w:val="18"/>
                <w:color w:val="auto"/>
                <w:w w:val="91"/>
              </w:rPr>
              <w:t>0.01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0.01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Royalty acceleration </w:t>
            </w:r>
            <w:r>
              <w:rPr>
                <w:rFonts w:ascii="Arial" w:cs="Arial" w:eastAsia="Arial" w:hAnsi="Arial"/>
                <w:sz w:val="23"/>
                <w:szCs w:val="23"/>
                <w:color w:val="auto"/>
                <w:vertAlign w:val="superscript"/>
              </w:rPr>
              <w:t>(4)</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670"/>
              <w:spacing w:after="0"/>
              <w:rPr>
                <w:sz w:val="20"/>
                <w:szCs w:val="20"/>
                <w:color w:val="auto"/>
              </w:rPr>
            </w:pPr>
            <w:r>
              <w:rPr>
                <w:rFonts w:ascii="Arial" w:cs="Arial" w:eastAsia="Arial" w:hAnsi="Arial"/>
                <w:sz w:val="18"/>
                <w:szCs w:val="18"/>
                <w:color w:val="auto"/>
                <w:w w:val="89"/>
              </w:rPr>
              <w:t>(0.02)</w:t>
            </w:r>
          </w:p>
        </w:tc>
        <w:tc>
          <w:tcPr>
            <w:tcW w:w="0" w:type="dxa"/>
            <w:vAlign w:val="bottom"/>
          </w:tcPr>
          <w:p>
            <w:pPr>
              <w:spacing w:after="0"/>
              <w:rPr>
                <w:sz w:val="1"/>
                <w:szCs w:val="1"/>
                <w:color w:val="auto"/>
              </w:rPr>
            </w:pPr>
          </w:p>
        </w:tc>
      </w:tr>
      <w:tr>
        <w:trPr>
          <w:trHeight w:val="155"/>
        </w:trPr>
        <w:tc>
          <w:tcPr>
            <w:tcW w:w="46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0"/>
              </w:rPr>
              <w:t>Three months ended June 30, 2022 adjusted amounts (non-U.S.</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shd w:val="clear" w:color="auto" w:fill="CCEEFF"/>
          </w:tcPr>
          <w:p>
            <w:pPr>
              <w:jc w:val="center"/>
              <w:ind w:left="690"/>
              <w:spacing w:after="0"/>
              <w:rPr>
                <w:sz w:val="20"/>
                <w:szCs w:val="20"/>
                <w:color w:val="auto"/>
              </w:rPr>
            </w:pPr>
            <w:r>
              <w:rPr>
                <w:rFonts w:ascii="Arial" w:cs="Arial" w:eastAsia="Arial" w:hAnsi="Arial"/>
                <w:sz w:val="18"/>
                <w:szCs w:val="18"/>
                <w:color w:val="auto"/>
                <w:w w:val="91"/>
              </w:rPr>
              <w:t>2.47</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GAAP)</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24"/>
                <w:szCs w:val="24"/>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24"/>
                <w:szCs w:val="24"/>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4"/>
                <w:szCs w:val="24"/>
                <w:color w:val="auto"/>
              </w:rPr>
            </w:pP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Diluted EPS</w:t>
            </w:r>
          </w:p>
        </w:tc>
        <w:tc>
          <w:tcPr>
            <w:tcW w:w="0" w:type="dxa"/>
            <w:vAlign w:val="bottom"/>
          </w:tcPr>
          <w:p>
            <w:pPr>
              <w:spacing w:after="0"/>
              <w:rPr>
                <w:sz w:val="1"/>
                <w:szCs w:val="1"/>
                <w:color w:val="auto"/>
              </w:rPr>
            </w:pPr>
          </w:p>
        </w:tc>
      </w:tr>
      <w:tr>
        <w:trPr>
          <w:trHeight w:val="230"/>
        </w:trPr>
        <w:tc>
          <w:tcPr>
            <w:tcW w:w="4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 2022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1"/>
              </w:rPr>
              <w:t>4.77</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and severance related charges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9"/>
              </w:rPr>
              <w:t>(0.01)</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690"/>
              <w:spacing w:after="0"/>
              <w:rPr>
                <w:sz w:val="20"/>
                <w:szCs w:val="20"/>
                <w:color w:val="auto"/>
              </w:rPr>
            </w:pPr>
            <w:r>
              <w:rPr>
                <w:rFonts w:ascii="Arial" w:cs="Arial" w:eastAsia="Arial" w:hAnsi="Arial"/>
                <w:sz w:val="18"/>
                <w:szCs w:val="18"/>
                <w:color w:val="auto"/>
                <w:w w:val="91"/>
              </w:rPr>
              <w:t>0.01</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0.02</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Royalty acceleration </w:t>
            </w:r>
            <w:r>
              <w:rPr>
                <w:rFonts w:ascii="Arial" w:cs="Arial" w:eastAsia="Arial" w:hAnsi="Arial"/>
                <w:sz w:val="23"/>
                <w:szCs w:val="23"/>
                <w:color w:val="auto"/>
                <w:vertAlign w:val="superscript"/>
              </w:rPr>
              <w:t>(4)</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670"/>
              <w:spacing w:after="0"/>
              <w:rPr>
                <w:sz w:val="20"/>
                <w:szCs w:val="20"/>
                <w:color w:val="auto"/>
              </w:rPr>
            </w:pPr>
            <w:r>
              <w:rPr>
                <w:rFonts w:ascii="Arial" w:cs="Arial" w:eastAsia="Arial" w:hAnsi="Arial"/>
                <w:sz w:val="18"/>
                <w:szCs w:val="18"/>
                <w:color w:val="auto"/>
                <w:w w:val="89"/>
              </w:rPr>
              <w:t>(0.02)</w:t>
            </w:r>
          </w:p>
        </w:tc>
        <w:tc>
          <w:tcPr>
            <w:tcW w:w="0" w:type="dxa"/>
            <w:vAlign w:val="bottom"/>
          </w:tcPr>
          <w:p>
            <w:pPr>
              <w:spacing w:after="0"/>
              <w:rPr>
                <w:sz w:val="1"/>
                <w:szCs w:val="1"/>
                <w:color w:val="auto"/>
              </w:rPr>
            </w:pPr>
          </w:p>
        </w:tc>
      </w:tr>
      <w:tr>
        <w:trPr>
          <w:trHeight w:val="155"/>
        </w:trPr>
        <w:tc>
          <w:tcPr>
            <w:tcW w:w="46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Six months ended June 30, 2022 adjusted amounts (non-U.S.</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shd w:val="clear" w:color="auto" w:fill="CCEEFF"/>
          </w:tcPr>
          <w:p>
            <w:pPr>
              <w:jc w:val="center"/>
              <w:ind w:left="690"/>
              <w:spacing w:after="0"/>
              <w:rPr>
                <w:sz w:val="20"/>
                <w:szCs w:val="20"/>
                <w:color w:val="auto"/>
              </w:rPr>
            </w:pPr>
            <w:r>
              <w:rPr>
                <w:rFonts w:ascii="Arial" w:cs="Arial" w:eastAsia="Arial" w:hAnsi="Arial"/>
                <w:sz w:val="18"/>
                <w:szCs w:val="18"/>
                <w:color w:val="auto"/>
                <w:w w:val="91"/>
              </w:rPr>
              <w:t>4.77</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GAAP)</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52525"/>
        </w:rPr>
        <w:t>three and six months ended</w:t>
      </w:r>
      <w:r>
        <w:rPr>
          <w:rFonts w:ascii="Arial" w:cs="Arial" w:eastAsia="Arial" w:hAnsi="Arial"/>
          <w:sz w:val="18"/>
          <w:szCs w:val="18"/>
          <w:color w:val="auto"/>
        </w:rPr>
        <w:t xml:space="preserve"> June 30, 2022, we recorded a tax benefit of $1.3 million and $10.2 million, respectively, associated with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8" w:name="page29"/>
    <w:bookmarkEnd w:id="2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252525"/>
        </w:rPr>
        <w:t xml:space="preserve">The following tables present a reconciliation from U.S. GAAP to non-U.S. GAAP financial measures for the three and six months ended </w:t>
      </w:r>
      <w:r>
        <w:rPr>
          <w:rFonts w:ascii="Arial" w:cs="Arial" w:eastAsia="Arial" w:hAnsi="Arial"/>
          <w:sz w:val="16"/>
          <w:szCs w:val="16"/>
          <w:color w:val="000000"/>
        </w:rPr>
        <w:t>June 30, 2021:</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17"/>
                <w:szCs w:val="17"/>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7"/>
                <w:szCs w:val="17"/>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7"/>
                <w:szCs w:val="17"/>
                <w:color w:val="auto"/>
              </w:rPr>
            </w:pP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29"/>
        </w:trPr>
        <w:tc>
          <w:tcPr>
            <w:tcW w:w="4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2021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and related charges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investment activity </w:t>
            </w:r>
            <w:r>
              <w:rPr>
                <w:rFonts w:ascii="Arial" w:cs="Arial" w:eastAsia="Arial" w:hAnsi="Arial"/>
                <w:sz w:val="23"/>
                <w:szCs w:val="23"/>
                <w:color w:val="auto"/>
                <w:vertAlign w:val="superscript"/>
              </w:rPr>
              <w:t>(5)</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law changes </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56"/>
        </w:trPr>
        <w:tc>
          <w:tcPr>
            <w:tcW w:w="4680" w:type="dxa"/>
            <w:vAlign w:val="bottom"/>
          </w:tcPr>
          <w:p>
            <w:pPr>
              <w:ind w:left="20"/>
              <w:spacing w:after="0" w:line="156" w:lineRule="exact"/>
              <w:rPr>
                <w:sz w:val="20"/>
                <w:szCs w:val="20"/>
                <w:color w:val="auto"/>
              </w:rPr>
            </w:pPr>
            <w:r>
              <w:rPr>
                <w:rFonts w:ascii="Arial" w:cs="Arial" w:eastAsia="Arial" w:hAnsi="Arial"/>
                <w:sz w:val="18"/>
                <w:szCs w:val="18"/>
                <w:color w:val="auto"/>
                <w:w w:val="90"/>
              </w:rPr>
              <w:t>Three months ended June 30, 2021 adjusted amounts (non-U.S.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8"/>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GAAP)</w:t>
            </w:r>
          </w:p>
        </w:tc>
        <w:tc>
          <w:tcPr>
            <w:tcW w:w="18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24"/>
                <w:szCs w:val="24"/>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24"/>
                <w:szCs w:val="24"/>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4"/>
                <w:szCs w:val="24"/>
                <w:color w:val="auto"/>
              </w:rPr>
            </w:pP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30"/>
        </w:trPr>
        <w:tc>
          <w:tcPr>
            <w:tcW w:w="4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 2021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and related charges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investment activity </w:t>
            </w:r>
            <w:r>
              <w:rPr>
                <w:rFonts w:ascii="Arial" w:cs="Arial" w:eastAsia="Arial" w:hAnsi="Arial"/>
                <w:sz w:val="23"/>
                <w:szCs w:val="23"/>
                <w:color w:val="auto"/>
                <w:vertAlign w:val="superscript"/>
              </w:rPr>
              <w:t>(5)</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law changes </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55"/>
        </w:trPr>
        <w:tc>
          <w:tcPr>
            <w:tcW w:w="4680" w:type="dxa"/>
            <w:vAlign w:val="bottom"/>
          </w:tcPr>
          <w:p>
            <w:pPr>
              <w:ind w:left="20"/>
              <w:spacing w:after="0" w:line="156" w:lineRule="exact"/>
              <w:rPr>
                <w:sz w:val="20"/>
                <w:szCs w:val="20"/>
                <w:color w:val="auto"/>
              </w:rPr>
            </w:pPr>
            <w:r>
              <w:rPr>
                <w:rFonts w:ascii="Arial" w:cs="Arial" w:eastAsia="Arial" w:hAnsi="Arial"/>
                <w:sz w:val="18"/>
                <w:szCs w:val="18"/>
                <w:color w:val="auto"/>
                <w:w w:val="94"/>
              </w:rPr>
              <w:t>Six months ended June 30, 2021 adjusted amounts (non-U.S.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390.4</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8"/>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GAAP)</w:t>
            </w:r>
          </w:p>
        </w:tc>
        <w:tc>
          <w:tcPr>
            <w:tcW w:w="18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52525"/>
        </w:rPr>
        <w:t>three and six months ended</w:t>
      </w:r>
      <w:r>
        <w:rPr>
          <w:rFonts w:ascii="Arial" w:cs="Arial" w:eastAsia="Arial" w:hAnsi="Arial"/>
          <w:sz w:val="18"/>
          <w:szCs w:val="18"/>
          <w:color w:val="auto"/>
        </w:rPr>
        <w:t xml:space="preserve"> June 30, 2021, we recorded a tax benefit of $7.4 million and $18.5 million, respectively, associated with stock-based compensation.</w:t>
      </w:r>
    </w:p>
    <w:p>
      <w:pPr>
        <w:spacing w:after="0" w:line="197" w:lineRule="exact"/>
        <w:rPr>
          <w:sz w:val="20"/>
          <w:szCs w:val="20"/>
          <w:color w:val="auto"/>
        </w:rPr>
      </w:pPr>
    </w:p>
    <w:p>
      <w:pPr>
        <w:ind w:left="660" w:right="20" w:hanging="328"/>
        <w:spacing w:after="0" w:line="255" w:lineRule="auto"/>
        <w:tabs>
          <w:tab w:leader="none" w:pos="654" w:val="left"/>
        </w:tabs>
        <w:numPr>
          <w:ilvl w:val="0"/>
          <w:numId w:val="7"/>
        </w:numPr>
        <w:rPr>
          <w:rFonts w:ascii="Arial" w:cs="Arial" w:eastAsia="Arial" w:hAnsi="Arial"/>
          <w:sz w:val="18"/>
          <w:szCs w:val="18"/>
          <w:color w:val="252525"/>
        </w:rPr>
      </w:pPr>
      <w:r>
        <w:rPr>
          <w:rFonts w:ascii="Arial" w:cs="Arial" w:eastAsia="Arial" w:hAnsi="Arial"/>
          <w:sz w:val="18"/>
          <w:szCs w:val="18"/>
          <w:color w:val="252525"/>
        </w:rPr>
        <w:t xml:space="preserve">During the three and six months ended </w:t>
      </w:r>
      <w:r>
        <w:rPr>
          <w:rFonts w:ascii="Arial" w:cs="Arial" w:eastAsia="Arial" w:hAnsi="Arial"/>
          <w:sz w:val="18"/>
          <w:szCs w:val="18"/>
          <w:color w:val="000000"/>
        </w:rPr>
        <w:t>June 30, 2022</w:t>
      </w:r>
      <w:r>
        <w:rPr>
          <w:rFonts w:ascii="Arial" w:cs="Arial" w:eastAsia="Arial" w:hAnsi="Arial"/>
          <w:sz w:val="18"/>
          <w:szCs w:val="18"/>
          <w:color w:val="252525"/>
        </w:rPr>
        <w:t xml:space="preserve">, the Company recorded a benefit of $1.6 million in restructuring and related costs in connection with its 2020 plan related to revised severance estimates. During the three and six months ended </w:t>
      </w:r>
      <w:r>
        <w:rPr>
          <w:rFonts w:ascii="Arial" w:cs="Arial" w:eastAsia="Arial" w:hAnsi="Arial"/>
          <w:sz w:val="18"/>
          <w:szCs w:val="18"/>
          <w:color w:val="000000"/>
        </w:rPr>
        <w:t>June 30, 2021, the Company recorded</w:t>
      </w:r>
      <w:r>
        <w:rPr>
          <w:rFonts w:ascii="Arial" w:cs="Arial" w:eastAsia="Arial" w:hAnsi="Arial"/>
          <w:sz w:val="18"/>
          <w:szCs w:val="18"/>
          <w:color w:val="252525"/>
        </w:rPr>
        <w:t xml:space="preserve"> </w:t>
      </w:r>
      <w:r>
        <w:rPr>
          <w:rFonts w:ascii="Arial" w:cs="Arial" w:eastAsia="Arial" w:hAnsi="Arial"/>
          <w:sz w:val="18"/>
          <w:szCs w:val="18"/>
          <w:color w:val="000000"/>
        </w:rPr>
        <w:t>$1.0 million and $2.2 million of restructuring and related costs.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252525"/>
        </w:rPr>
        <w:t>\</w:t>
      </w:r>
    </w:p>
    <w:p>
      <w:pPr>
        <w:spacing w:after="0" w:line="9" w:lineRule="exact"/>
        <w:rPr>
          <w:sz w:val="20"/>
          <w:szCs w:val="20"/>
          <w:color w:val="auto"/>
        </w:rPr>
      </w:pPr>
    </w:p>
    <w:p>
      <w:pPr>
        <w:ind w:left="660" w:right="200" w:hanging="328"/>
        <w:spacing w:after="0" w:line="260" w:lineRule="auto"/>
        <w:tabs>
          <w:tab w:leader="none" w:pos="654" w:val="left"/>
        </w:tabs>
        <w:numPr>
          <w:ilvl w:val="0"/>
          <w:numId w:val="8"/>
        </w:numPr>
        <w:rPr>
          <w:rFonts w:ascii="Arial" w:cs="Arial" w:eastAsia="Arial" w:hAnsi="Arial"/>
          <w:sz w:val="18"/>
          <w:szCs w:val="18"/>
          <w:color w:val="252525"/>
        </w:rPr>
      </w:pPr>
      <w:r>
        <w:rPr>
          <w:rFonts w:ascii="Arial" w:cs="Arial" w:eastAsia="Arial" w:hAnsi="Arial"/>
          <w:sz w:val="18"/>
          <w:szCs w:val="18"/>
          <w:color w:val="252525"/>
        </w:rPr>
        <w:t>The Company recorded a pension settlement charge within other nonoperating (income) expense, as it determined that normal-course lump-sum payments for our U.S. qualified defined benefit pension plan exceeded the threshold for settlement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9" w:name="page30"/>
    <w:bookmarkEnd w:id="2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right="100" w:hanging="328"/>
        <w:spacing w:after="0" w:line="286" w:lineRule="auto"/>
        <w:tabs>
          <w:tab w:leader="none" w:pos="654" w:val="left"/>
        </w:tabs>
        <w:numPr>
          <w:ilvl w:val="0"/>
          <w:numId w:val="9"/>
        </w:numPr>
        <w:rPr>
          <w:rFonts w:ascii="Arial" w:cs="Arial" w:eastAsia="Arial" w:hAnsi="Arial"/>
          <w:sz w:val="16"/>
          <w:szCs w:val="16"/>
          <w:color w:val="252525"/>
        </w:rPr>
      </w:pPr>
      <w:r>
        <w:rPr>
          <w:rFonts w:ascii="Arial" w:cs="Arial" w:eastAsia="Arial" w:hAnsi="Arial"/>
          <w:sz w:val="16"/>
          <w:szCs w:val="16"/>
          <w:color w:val="252525"/>
        </w:rPr>
        <w:t xml:space="preserve">During the three and six months ended </w:t>
      </w:r>
      <w:r>
        <w:rPr>
          <w:rFonts w:ascii="Arial" w:cs="Arial" w:eastAsia="Arial" w:hAnsi="Arial"/>
          <w:sz w:val="16"/>
          <w:szCs w:val="16"/>
          <w:color w:val="000000"/>
        </w:rPr>
        <w:t>June 30, 2022</w:t>
      </w:r>
      <w:r>
        <w:rPr>
          <w:rFonts w:ascii="Arial" w:cs="Arial" w:eastAsia="Arial" w:hAnsi="Arial"/>
          <w:sz w:val="16"/>
          <w:szCs w:val="16"/>
          <w:color w:val="252525"/>
        </w:rPr>
        <w:t xml:space="preserve">, the Company recorded $0.2 million and $0.4 million, respectively, of amortization expense within operating profit associated with an intangible asset acquired during the second quarter of </w:t>
      </w:r>
      <w:r>
        <w:rPr>
          <w:rFonts w:ascii="Arial" w:cs="Arial" w:eastAsia="Arial" w:hAnsi="Arial"/>
          <w:sz w:val="16"/>
          <w:szCs w:val="16"/>
          <w:color w:val="000000"/>
        </w:rPr>
        <w:t>2020. During the three and six months ended</w:t>
      </w:r>
      <w:r>
        <w:rPr>
          <w:rFonts w:ascii="Arial" w:cs="Arial" w:eastAsia="Arial" w:hAnsi="Arial"/>
          <w:sz w:val="16"/>
          <w:szCs w:val="16"/>
          <w:color w:val="252525"/>
        </w:rPr>
        <w:t xml:space="preserve"> </w:t>
      </w:r>
      <w:r>
        <w:rPr>
          <w:rFonts w:ascii="Arial" w:cs="Arial" w:eastAsia="Arial" w:hAnsi="Arial"/>
          <w:sz w:val="16"/>
          <w:szCs w:val="16"/>
          <w:color w:val="000000"/>
        </w:rPr>
        <w:t xml:space="preserve">June 30, 2022, the Company recorded $0.5 million and $1.0 million, respectively, of amortization expense </w:t>
      </w:r>
      <w:r>
        <w:rPr>
          <w:rFonts w:ascii="Arial" w:cs="Arial" w:eastAsia="Arial" w:hAnsi="Arial"/>
          <w:sz w:val="16"/>
          <w:szCs w:val="16"/>
          <w:color w:val="252525"/>
        </w:rPr>
        <w:t>in association with an acquisition of</w:t>
      </w:r>
      <w:r>
        <w:rPr>
          <w:rFonts w:ascii="Arial" w:cs="Arial" w:eastAsia="Arial" w:hAnsi="Arial"/>
          <w:sz w:val="16"/>
          <w:szCs w:val="16"/>
          <w:color w:val="000000"/>
        </w:rPr>
        <w:t xml:space="preserve"> </w:t>
      </w:r>
      <w:r>
        <w:rPr>
          <w:rFonts w:ascii="Arial" w:cs="Arial" w:eastAsia="Arial" w:hAnsi="Arial"/>
          <w:sz w:val="16"/>
          <w:szCs w:val="16"/>
          <w:color w:val="252525"/>
        </w:rPr>
        <w:t xml:space="preserve">increased ownership interest in Daikyo. During the three and six months ended </w:t>
      </w:r>
      <w:r>
        <w:rPr>
          <w:rFonts w:ascii="Arial" w:cs="Arial" w:eastAsia="Arial" w:hAnsi="Arial"/>
          <w:sz w:val="16"/>
          <w:szCs w:val="16"/>
          <w:color w:val="000000"/>
        </w:rPr>
        <w:t>June 30, 2021</w:t>
      </w:r>
      <w:r>
        <w:rPr>
          <w:rFonts w:ascii="Arial" w:cs="Arial" w:eastAsia="Arial" w:hAnsi="Arial"/>
          <w:sz w:val="16"/>
          <w:szCs w:val="16"/>
          <w:color w:val="252525"/>
        </w:rPr>
        <w:t xml:space="preserve"> the Company recorded $0.2 million and</w:t>
      </w:r>
    </w:p>
    <w:p>
      <w:pPr>
        <w:spacing w:after="0" w:line="1" w:lineRule="exact"/>
        <w:rPr>
          <w:rFonts w:ascii="Arial" w:cs="Arial" w:eastAsia="Arial" w:hAnsi="Arial"/>
          <w:sz w:val="16"/>
          <w:szCs w:val="16"/>
          <w:color w:val="252525"/>
        </w:rPr>
      </w:pPr>
    </w:p>
    <w:p>
      <w:pPr>
        <w:ind w:left="660"/>
        <w:spacing w:after="0" w:line="255" w:lineRule="auto"/>
        <w:rPr>
          <w:rFonts w:ascii="Arial" w:cs="Arial" w:eastAsia="Arial" w:hAnsi="Arial"/>
          <w:sz w:val="16"/>
          <w:szCs w:val="16"/>
          <w:color w:val="252525"/>
        </w:rPr>
      </w:pPr>
      <w:r>
        <w:rPr>
          <w:rFonts w:ascii="Arial" w:cs="Arial" w:eastAsia="Arial" w:hAnsi="Arial"/>
          <w:sz w:val="18"/>
          <w:szCs w:val="18"/>
          <w:color w:val="252525"/>
        </w:rPr>
        <w:t xml:space="preserve">$0.4 million, respectively, of amortization expense within operating profit associated with an intangible asset acquired during the second quarter of </w:t>
      </w:r>
      <w:r>
        <w:rPr>
          <w:rFonts w:ascii="Arial" w:cs="Arial" w:eastAsia="Arial" w:hAnsi="Arial"/>
          <w:sz w:val="18"/>
          <w:szCs w:val="18"/>
          <w:color w:val="000000"/>
        </w:rPr>
        <w:t xml:space="preserve">2020. During the three and six months ended June 30, 2021, the Company recorded $0.5 million and $1.0 million, respectively, of amortization expense </w:t>
      </w:r>
      <w:r>
        <w:rPr>
          <w:rFonts w:ascii="Arial" w:cs="Arial" w:eastAsia="Arial" w:hAnsi="Arial"/>
          <w:sz w:val="18"/>
          <w:szCs w:val="18"/>
          <w:color w:val="252525"/>
        </w:rPr>
        <w:t>in association with an acquisition of increased ownership interest in Daikyo.</w:t>
      </w:r>
    </w:p>
    <w:p>
      <w:pPr>
        <w:spacing w:after="0" w:line="216" w:lineRule="exact"/>
        <w:rPr>
          <w:rFonts w:ascii="Arial" w:cs="Arial" w:eastAsia="Arial" w:hAnsi="Arial"/>
          <w:sz w:val="16"/>
          <w:szCs w:val="16"/>
          <w:color w:val="252525"/>
        </w:rPr>
      </w:pPr>
    </w:p>
    <w:p>
      <w:pPr>
        <w:ind w:left="660" w:right="60" w:hanging="328"/>
        <w:spacing w:after="0" w:line="277" w:lineRule="auto"/>
        <w:tabs>
          <w:tab w:leader="none" w:pos="654" w:val="left"/>
        </w:tabs>
        <w:numPr>
          <w:ilvl w:val="0"/>
          <w:numId w:val="9"/>
        </w:numPr>
        <w:rPr>
          <w:rFonts w:ascii="Arial" w:cs="Arial" w:eastAsia="Arial" w:hAnsi="Arial"/>
          <w:sz w:val="18"/>
          <w:szCs w:val="18"/>
          <w:color w:val="252525"/>
        </w:rPr>
      </w:pPr>
      <w:r>
        <w:rPr>
          <w:rFonts w:ascii="Arial" w:cs="Arial" w:eastAsia="Arial" w:hAnsi="Arial"/>
          <w:sz w:val="18"/>
          <w:szCs w:val="18"/>
          <w:color w:val="252525"/>
        </w:rPr>
        <w:t xml:space="preserve">During the three and six months ended </w:t>
      </w:r>
      <w:r>
        <w:rPr>
          <w:rFonts w:ascii="Arial" w:cs="Arial" w:eastAsia="Arial" w:hAnsi="Arial"/>
          <w:sz w:val="18"/>
          <w:szCs w:val="18"/>
          <w:color w:val="000000"/>
        </w:rPr>
        <w:t>June 30, 2022</w:t>
      </w:r>
      <w:r>
        <w:rPr>
          <w:rFonts w:ascii="Arial" w:cs="Arial" w:eastAsia="Arial" w:hAnsi="Arial"/>
          <w:sz w:val="18"/>
          <w:szCs w:val="18"/>
          <w:color w:val="252525"/>
        </w:rPr>
        <w:t>, the Company increased its expected tax benefit related to the prepayment of future royalties from one of its subsidiaries by $1.3 million.</w:t>
      </w:r>
    </w:p>
    <w:p>
      <w:pPr>
        <w:spacing w:after="0" w:line="197" w:lineRule="exact"/>
        <w:rPr>
          <w:rFonts w:ascii="Arial" w:cs="Arial" w:eastAsia="Arial" w:hAnsi="Arial"/>
          <w:sz w:val="18"/>
          <w:szCs w:val="18"/>
          <w:color w:val="252525"/>
        </w:rPr>
      </w:pPr>
    </w:p>
    <w:p>
      <w:pPr>
        <w:ind w:left="660" w:right="40" w:hanging="328"/>
        <w:spacing w:after="0" w:line="263" w:lineRule="auto"/>
        <w:tabs>
          <w:tab w:leader="none" w:pos="654" w:val="left"/>
        </w:tabs>
        <w:numPr>
          <w:ilvl w:val="0"/>
          <w:numId w:val="9"/>
        </w:numPr>
        <w:rPr>
          <w:rFonts w:ascii="Arial" w:cs="Arial" w:eastAsia="Arial" w:hAnsi="Arial"/>
          <w:sz w:val="18"/>
          <w:szCs w:val="18"/>
          <w:color w:val="252525"/>
        </w:rPr>
      </w:pPr>
      <w:r>
        <w:rPr>
          <w:rFonts w:ascii="Arial" w:cs="Arial" w:eastAsia="Arial" w:hAnsi="Arial"/>
          <w:sz w:val="18"/>
          <w:szCs w:val="18"/>
          <w:color w:val="auto"/>
        </w:rPr>
        <w:t xml:space="preserve">During the three months ended June 30, 2021, we recorded a net gain on the sale of one of the Company's cost investments. </w:t>
      </w:r>
      <w:r>
        <w:rPr>
          <w:rFonts w:ascii="Arial" w:cs="Arial" w:eastAsia="Arial" w:hAnsi="Arial"/>
          <w:sz w:val="18"/>
          <w:szCs w:val="18"/>
          <w:color w:val="252525"/>
        </w:rPr>
        <w:t>During the</w:t>
      </w:r>
      <w:r>
        <w:rPr>
          <w:rFonts w:ascii="Arial" w:cs="Arial" w:eastAsia="Arial" w:hAnsi="Arial"/>
          <w:sz w:val="18"/>
          <w:szCs w:val="18"/>
          <w:color w:val="auto"/>
        </w:rPr>
        <w:t xml:space="preserve"> six months ended June 30, 2021, we recorded an impairment charge on one of our cost investments, partially offset by the gain on the sale of a cost investment.</w:t>
      </w:r>
    </w:p>
    <w:p>
      <w:pPr>
        <w:spacing w:after="0" w:line="210" w:lineRule="exact"/>
        <w:rPr>
          <w:rFonts w:ascii="Arial" w:cs="Arial" w:eastAsia="Arial" w:hAnsi="Arial"/>
          <w:sz w:val="18"/>
          <w:szCs w:val="18"/>
          <w:color w:val="252525"/>
        </w:rPr>
      </w:pPr>
    </w:p>
    <w:p>
      <w:pPr>
        <w:ind w:left="660" w:right="220" w:hanging="328"/>
        <w:spacing w:after="0" w:line="277" w:lineRule="auto"/>
        <w:tabs>
          <w:tab w:leader="none" w:pos="654" w:val="left"/>
        </w:tabs>
        <w:numPr>
          <w:ilvl w:val="0"/>
          <w:numId w:val="9"/>
        </w:numPr>
        <w:rPr>
          <w:rFonts w:ascii="Arial" w:cs="Arial" w:eastAsia="Arial" w:hAnsi="Arial"/>
          <w:sz w:val="18"/>
          <w:szCs w:val="18"/>
          <w:color w:val="252525"/>
        </w:rPr>
      </w:pPr>
      <w:r>
        <w:rPr>
          <w:rFonts w:ascii="Arial" w:cs="Arial" w:eastAsia="Arial" w:hAnsi="Arial"/>
          <w:sz w:val="18"/>
          <w:szCs w:val="18"/>
          <w:color w:val="auto"/>
        </w:rPr>
        <w:t xml:space="preserve">During the </w:t>
      </w:r>
      <w:r>
        <w:rPr>
          <w:rFonts w:ascii="Arial" w:cs="Arial" w:eastAsia="Arial" w:hAnsi="Arial"/>
          <w:sz w:val="18"/>
          <w:szCs w:val="18"/>
          <w:color w:val="252525"/>
        </w:rPr>
        <w:t>three and six months ended</w:t>
      </w:r>
      <w:r>
        <w:rPr>
          <w:rFonts w:ascii="Arial" w:cs="Arial" w:eastAsia="Arial" w:hAnsi="Arial"/>
          <w:sz w:val="18"/>
          <w:szCs w:val="18"/>
          <w:color w:val="auto"/>
        </w:rPr>
        <w:t xml:space="preserve"> June 30, 2021, the Company recorded a tax benefit of $1.4 million due to the impact of United Kingdom law changes enacted within that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Percentages in the following tables and throughout the Results of Operations section may reflect rounding adjustments.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consolidated and by reportable segment, for the three months ended June 30, 2022 and 2021:</w:t>
      </w:r>
    </w:p>
    <w:p>
      <w:pPr>
        <w:spacing w:after="0" w:line="3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Three Months Ended</w:t>
      </w:r>
    </w:p>
    <w:tbl>
      <w:tblPr>
        <w:tblLayout w:type="fixed"/>
        <w:tblInd w:w="0" w:type="dxa"/>
        <w:tblCellMar>
          <w:top w:w="0" w:type="dxa"/>
          <w:left w:w="0" w:type="dxa"/>
          <w:bottom w:w="0" w:type="dxa"/>
          <w:right w:w="0" w:type="dxa"/>
        </w:tblCellMar>
      </w:tblPr>
      <w:tr>
        <w:trPr>
          <w:trHeight w:val="214"/>
        </w:trPr>
        <w:tc>
          <w:tcPr>
            <w:tcW w:w="4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color w:val="auto"/>
              </w:rPr>
              <w:t>Percentage Change</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740" w:type="dxa"/>
            <w:vAlign w:val="bottom"/>
            <w:gridSpan w:val="2"/>
          </w:tcPr>
          <w:p>
            <w:pPr>
              <w:ind w:left="340"/>
              <w:spacing w:after="0"/>
              <w:rPr>
                <w:sz w:val="20"/>
                <w:szCs w:val="20"/>
                <w:color w:val="auto"/>
              </w:rPr>
            </w:pPr>
            <w:r>
              <w:rPr>
                <w:rFonts w:ascii="Arial" w:cs="Arial" w:eastAsia="Arial" w:hAnsi="Arial"/>
                <w:sz w:val="18"/>
                <w:szCs w:val="18"/>
                <w:color w:val="auto"/>
              </w:rPr>
              <w:t>As-Reported</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Organic</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sales elimination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771.3</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13.1 %</w:t>
            </w:r>
          </w:p>
        </w:tc>
      </w:tr>
      <w:tr>
        <w:trPr>
          <w:trHeight w:val="21"/>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Consolidated net sales increased by $47.7 million, or 6.6%, for the three months ended June 30, 2022, as compared to the same period in 2021, primarily due to increased volume and product mix of $71.7 million and sales price increases of $23.4 million, offset by an unfavorable foreign currency translation impact of $47.4 million. Excluding foreign currency translation effects, consolidated net sales for the three months ended June 30, 2022 increased by $95.1 million, or 13.1%, as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net sales increased by $66.4 million, or 11.3%, for the three months ended June 30, 2022, as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2021, including an unfavorable foreign currency translation impact of $41.0 million. Excluding foreign currency translation effects, net sales for the three months ended June 30, 2022 increased by $107.4 million, or 18.3%, as compared to the same period in 2021, primarily due to growth in our high-value product offerings, including our NovaPure® products.</w:t>
      </w:r>
    </w:p>
    <w:p>
      <w:pPr>
        <w:spacing w:after="0" w:line="20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net sales decreased by $18.6 million, or 13.6%, for the three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2022, as compared to the same period in 2021, including an unfavorable foreign currency translation impact of $6.4 million. Excluding foreign currency translation effects, net sales for the three months ended June 30, 2022 decreased by $12.2 million, or 8.9%, as compared to the same period in 2021, due to a decline of sales of components for diagnostic devices, offset by sales price increases.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consolidated and by reportable segment, for the six months ended June 30, 2022 and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500"/>
              <w:spacing w:after="0"/>
              <w:rPr>
                <w:sz w:val="20"/>
                <w:szCs w:val="20"/>
                <w:color w:val="auto"/>
              </w:rPr>
            </w:pPr>
            <w:r>
              <w:rPr>
                <w:rFonts w:ascii="Arial" w:cs="Arial" w:eastAsia="Arial" w:hAnsi="Arial"/>
                <w:sz w:val="18"/>
                <w:szCs w:val="18"/>
                <w:color w:val="auto"/>
              </w:rPr>
              <w:t>Six Months Ended</w:t>
            </w:r>
          </w:p>
        </w:tc>
        <w:tc>
          <w:tcPr>
            <w:tcW w:w="3300" w:type="dxa"/>
            <w:vAlign w:val="bottom"/>
            <w:gridSpan w:val="3"/>
            <w:vMerge w:val="restart"/>
          </w:tcPr>
          <w:p>
            <w:pPr>
              <w:jc w:val="right"/>
              <w:ind w:right="870"/>
              <w:spacing w:after="0"/>
              <w:rPr>
                <w:sz w:val="20"/>
                <w:szCs w:val="20"/>
                <w:color w:val="auto"/>
              </w:rPr>
            </w:pPr>
            <w:r>
              <w:rPr>
                <w:rFonts w:ascii="Arial" w:cs="Arial" w:eastAsia="Arial" w:hAnsi="Arial"/>
                <w:sz w:val="18"/>
                <w:szCs w:val="18"/>
                <w:color w:val="auto"/>
              </w:rPr>
              <w:t>Percentage Change</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100"/>
              <w:spacing w:after="0"/>
              <w:rPr>
                <w:sz w:val="20"/>
                <w:szCs w:val="20"/>
                <w:color w:val="auto"/>
              </w:rPr>
            </w:pPr>
            <w:r>
              <w:rPr>
                <w:rFonts w:ascii="Arial" w:cs="Arial" w:eastAsia="Arial" w:hAnsi="Arial"/>
                <w:sz w:val="18"/>
                <w:szCs w:val="18"/>
                <w:color w:val="auto"/>
              </w:rPr>
              <w:t>($ in millions)</w:t>
            </w:r>
          </w:p>
        </w:tc>
        <w:tc>
          <w:tcPr>
            <w:tcW w:w="34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700" w:type="dxa"/>
            <w:vAlign w:val="bottom"/>
            <w:gridSpan w:val="2"/>
          </w:tcPr>
          <w:p>
            <w:pPr>
              <w:ind w:left="340"/>
              <w:spacing w:after="0"/>
              <w:rPr>
                <w:sz w:val="20"/>
                <w:szCs w:val="20"/>
                <w:color w:val="auto"/>
              </w:rPr>
            </w:pPr>
            <w:r>
              <w:rPr>
                <w:rFonts w:ascii="Arial" w:cs="Arial" w:eastAsia="Arial" w:hAnsi="Arial"/>
                <w:sz w:val="18"/>
                <w:szCs w:val="18"/>
                <w:color w:val="auto"/>
              </w:rPr>
              <w:t>As-Reported</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Proprietary Products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1,131.0</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30"/>
        </w:trPr>
        <w:tc>
          <w:tcPr>
            <w:tcW w:w="4820" w:type="dxa"/>
            <w:vAlign w:val="bottom"/>
          </w:tcPr>
          <w:p>
            <w:pPr>
              <w:ind w:left="100"/>
              <w:spacing w:after="0"/>
              <w:rPr>
                <w:sz w:val="20"/>
                <w:szCs w:val="20"/>
                <w:color w:val="auto"/>
              </w:rPr>
            </w:pPr>
            <w:r>
              <w:rPr>
                <w:rFonts w:ascii="Arial" w:cs="Arial" w:eastAsia="Arial" w:hAnsi="Arial"/>
                <w:sz w:val="18"/>
                <w:szCs w:val="18"/>
                <w:color w:val="auto"/>
              </w:rPr>
              <w:t>Contract-Manufactured Products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263.5</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Intersegment sales elimination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100"/>
              <w:spacing w:after="0"/>
              <w:rPr>
                <w:sz w:val="20"/>
                <w:szCs w:val="20"/>
                <w:color w:val="auto"/>
              </w:rPr>
            </w:pPr>
            <w:r>
              <w:rPr>
                <w:rFonts w:ascii="Arial" w:cs="Arial" w:eastAsia="Arial" w:hAnsi="Arial"/>
                <w:sz w:val="18"/>
                <w:szCs w:val="18"/>
                <w:color w:val="auto"/>
              </w:rPr>
              <w:t>Consolidated net sales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1,394.3</w:t>
            </w:r>
          </w:p>
        </w:tc>
        <w:tc>
          <w:tcPr>
            <w:tcW w:w="1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Consolidated net sales increased by $97.0 million, or 7.0%, for the six months ended June 30, 2022, as compared to the same period in 2021, primarily due to increased volume and product mix of $121.6 million and sales price increases of $47.0 million, offset by an unfavorable foreign currency translation impact of $71.6 million. Excluding foreign currency translation effects, consolidated net sales for the six months ended June 30, 2022 increased by $168.6 million, or 12.1%, as compared to the same period in 2021.</w:t>
      </w:r>
    </w:p>
    <w:p>
      <w:pPr>
        <w:spacing w:after="0" w:line="210"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Proprietary Products </w:t>
      </w:r>
      <w:r>
        <w:rPr>
          <w:rFonts w:ascii="Arial" w:cs="Arial" w:eastAsia="Arial" w:hAnsi="Arial"/>
          <w:sz w:val="17"/>
          <w:szCs w:val="17"/>
          <w:color w:val="auto"/>
        </w:rPr>
        <w:t>– Proprietary Products net sales increased by $124.0 million, or 11.0%, for the six months ended June 30, 2022, as compared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period in 2021, including an unfavorable foreign currency translation impact of $61.6 million. Excluding foreign currency translation effects, net sales for the six months ended June 30, 2022 increased by $185.6 million, or 16.4%, as compared to the same period in 2021, primarily due to growth in our high-value product offerings, including our NovaPure® products and our Westar® components.</w:t>
      </w:r>
    </w:p>
    <w:p>
      <w:pPr>
        <w:spacing w:after="0" w:line="192" w:lineRule="exact"/>
        <w:rPr>
          <w:sz w:val="20"/>
          <w:szCs w:val="20"/>
          <w:color w:val="auto"/>
        </w:rPr>
      </w:pPr>
    </w:p>
    <w:p>
      <w:pPr>
        <w:jc w:val="both"/>
        <w:ind w:right="100"/>
        <w:spacing w:after="0" w:line="281" w:lineRule="auto"/>
        <w:rPr>
          <w:sz w:val="20"/>
          <w:szCs w:val="20"/>
          <w:color w:val="auto"/>
        </w:rPr>
      </w:pPr>
      <w:r>
        <w:rPr>
          <w:rFonts w:ascii="Arial" w:cs="Arial" w:eastAsia="Arial" w:hAnsi="Arial"/>
          <w:sz w:val="17"/>
          <w:szCs w:val="17"/>
          <w:b w:val="1"/>
          <w:bCs w:val="1"/>
          <w:color w:val="auto"/>
        </w:rPr>
        <w:t xml:space="preserve">Contract-Manufactured Products </w:t>
      </w:r>
      <w:r>
        <w:rPr>
          <w:rFonts w:ascii="Arial" w:cs="Arial" w:eastAsia="Arial" w:hAnsi="Arial"/>
          <w:sz w:val="17"/>
          <w:szCs w:val="17"/>
          <w:color w:val="auto"/>
        </w:rPr>
        <w:t>– Contract-Manufactured Products net sales decreased by $27.0 million, or 10.2%, for the six months ended June 30,</w:t>
      </w:r>
      <w:r>
        <w:rPr>
          <w:rFonts w:ascii="Arial" w:cs="Arial" w:eastAsia="Arial" w:hAnsi="Arial"/>
          <w:sz w:val="17"/>
          <w:szCs w:val="17"/>
          <w:b w:val="1"/>
          <w:bCs w:val="1"/>
          <w:color w:val="auto"/>
        </w:rPr>
        <w:t xml:space="preserve"> </w:t>
      </w:r>
      <w:r>
        <w:rPr>
          <w:rFonts w:ascii="Arial" w:cs="Arial" w:eastAsia="Arial" w:hAnsi="Arial"/>
          <w:sz w:val="17"/>
          <w:szCs w:val="17"/>
          <w:color w:val="auto"/>
        </w:rPr>
        <w:t>2022, as compared to the same period in 2021, including an unfavorable foreign currency translation impact of $10.0 million. Excluding foreign currency translation effects, net sales for the six months ended June 30, 2022 decreased by $17.0 million, or 6.5%, as compared to the same period in 2021, due to a decline of sales of components for diagnostic devices, offset by sales price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8500" w:type="dxa"/>
            <w:vAlign w:val="bottom"/>
            <w:gridSpan w:val="8"/>
          </w:tcPr>
          <w:p>
            <w:pPr>
              <w:spacing w:after="0"/>
              <w:rPr>
                <w:sz w:val="20"/>
                <w:szCs w:val="20"/>
                <w:color w:val="auto"/>
              </w:rPr>
            </w:pPr>
            <w:r>
              <w:rPr>
                <w:rFonts w:ascii="Arial" w:cs="Arial" w:eastAsia="Arial" w:hAnsi="Arial"/>
                <w:sz w:val="18"/>
                <w:szCs w:val="18"/>
                <w:color w:val="auto"/>
                <w:w w:val="93"/>
              </w:rPr>
              <w:t>The following table presents gross profit and related gross profit margins, consolidated and by reportable segment:</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40" w:type="dxa"/>
            <w:vAlign w:val="bottom"/>
            <w:gridSpan w:val="5"/>
          </w:tcPr>
          <w:p>
            <w:pPr>
              <w:ind w:left="560"/>
              <w:spacing w:after="0" w:line="202" w:lineRule="exact"/>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7"/>
                <w:szCs w:val="17"/>
                <w:color w:val="auto"/>
              </w:rPr>
            </w:pPr>
          </w:p>
        </w:tc>
        <w:tc>
          <w:tcPr>
            <w:tcW w:w="2740" w:type="dxa"/>
            <w:vAlign w:val="bottom"/>
            <w:gridSpan w:val="4"/>
          </w:tcPr>
          <w:p>
            <w:pPr>
              <w:jc w:val="right"/>
              <w:ind w:right="770"/>
              <w:spacing w:after="0" w:line="202" w:lineRule="exact"/>
              <w:rPr>
                <w:sz w:val="20"/>
                <w:szCs w:val="20"/>
                <w:color w:val="auto"/>
              </w:rPr>
            </w:pPr>
            <w:r>
              <w:rPr>
                <w:rFonts w:ascii="Arial" w:cs="Arial" w:eastAsia="Arial" w:hAnsi="Arial"/>
                <w:sz w:val="18"/>
                <w:szCs w:val="18"/>
                <w:color w:val="auto"/>
              </w:rPr>
              <w:t>Six Months Ended</w:t>
            </w:r>
          </w:p>
        </w:tc>
      </w:tr>
      <w:tr>
        <w:trPr>
          <w:trHeight w:val="229"/>
        </w:trPr>
        <w:tc>
          <w:tcPr>
            <w:tcW w:w="46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June 30,</w:t>
            </w: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80" w:type="dxa"/>
            <w:vAlign w:val="bottom"/>
            <w:tcBorders>
              <w:bottom w:val="single" w:sz="8" w:color="auto"/>
            </w:tcBorders>
          </w:tcPr>
          <w:p>
            <w:pPr>
              <w:spacing w:after="0"/>
              <w:rPr>
                <w:sz w:val="19"/>
                <w:szCs w:val="19"/>
                <w:color w:val="auto"/>
              </w:rPr>
            </w:pP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302.3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563.0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544.2</w:t>
            </w: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48.1 %</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42.8</w:t>
            </w:r>
          </w:p>
        </w:tc>
      </w:tr>
      <w:tr>
        <w:trPr>
          <w:trHeight w:val="229"/>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Gross profit margin</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16.3 %</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16.7 %</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18.2 %</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16.2 %</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gross profit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587.0</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Consolidated gross profit margin</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41.7 %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43.5 %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40.6 %</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42.1 %</w:t>
            </w: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Consolidated gross profit increased by $6.4 million, or 2.0%, for the three months ended June 30, 2022, as compared to the same period in 2021, including an unfavorable foreign currency translation impact of $19.0 million for the three months ended June 30, 2022, as compared to the same period in 2021. Consolidated gross profit margin decreased by 1.8 margin points for the three months ended June 30, 2022, as compared to the same period in 2021.</w:t>
      </w:r>
    </w:p>
    <w:p>
      <w:pPr>
        <w:spacing w:after="0" w:line="176"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Consolidated gross profit increased by $19.1 million, or 3.3% for the six months ended June 30, 2022, as compared to the same period in 2021, including an unfavorable foreign currency translation impact of $29.4 million for the six months ended June 30, 2022, as compared to the same period in 2021. Consolidated gross profit margin decreased by 1.5 margin points for the six months ended June 30, 2022, as compared to the same period in 2021.</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color w:val="auto"/>
        </w:rPr>
        <w:t xml:space="preserve">Proprietary Products - </w:t>
      </w:r>
      <w:r>
        <w:rPr>
          <w:rFonts w:ascii="Arial" w:cs="Arial" w:eastAsia="Arial" w:hAnsi="Arial"/>
          <w:sz w:val="16"/>
          <w:szCs w:val="16"/>
          <w:color w:val="auto"/>
        </w:rPr>
        <w:t>Proprietary Products gross profit increased by $10.0 million, or 3.4%, for the three months ended June 30, 2022,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period in 2021, including an unfavorable foreign currency translation impact of $17.8 million. Proprietary Products gross profit margin decreased by 3.6 margin points for the three months ended June 30, 2022, as compared to the same periods in 2021, due to increased plant spend to meet ongoing product demand increases, increased labor and overhead costs, primarily within transportation and compensation, that were driven by inflation, and higher allocation of functional spend from Selling, General and Administrative expense. This was offset by favorable sales mix and approximately $11 million, net, in one-time fees received due to COVID-19 supply agreements during the three months ended June 30, 2022 as compared to the same period in 2021.</w:t>
      </w:r>
    </w:p>
    <w:p>
      <w:pPr>
        <w:spacing w:after="0" w:line="19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Proprietary Products gross profit increased by $18.8 million, or 3.5%, for the six months ended June 30, 2022, as compared to the same period in 2021, including an unfavorable foreign currency translation impact of $27.4 million. Proprietary Products gross profit margin decreased by 3.2 margin points for the six months ended June 30, 2022, as compared to the same period in 2021, due to increased plant spend to meet ongoing product demand increases, increased labor and overhead costs, primarily within transportation and compensation, that were driven by inflation, and higher allocation of functional spend from Selling, General and Administrative expense. This was offset by favorable sales mix in the six months ended June 30, 2022 as compared to the same period in 2021.</w:t>
      </w:r>
    </w:p>
    <w:p>
      <w:pPr>
        <w:spacing w:after="0" w:line="21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gross profit decreased by $3.6 million, or 15.8%,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2022, as compared to the same period in 2021, including an unfavorable foreign currency translation impact of $1.2 million. Contract-Manufactured Products gross profit margin decreased by 0.4 margin points for the three months ended June 30, 2022, as compared to the same period in 2021, due to an unfavorable mix of products sold, offset by price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Contract-Manufactured Products gross profit increased by $0.3 million, or 0.7%, for the six months ended June 30, 2022, as compared to the same period in 2021, including an unfavorable foreign currency translation impact of $2.0 million. Contract-Manufactured Products gross profit margin increased by 2.0 margin points for the six months ended June 30, 2022, as compared to the same period in 2021, due to sales price increases and production efficiencies, partially offset by increased overhead costs that were driven by inflation and an unfavorable mix of products sold.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R&amp;D costs, consolidated and by reportable segment: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2740" w:type="dxa"/>
            <w:vAlign w:val="bottom"/>
            <w:gridSpan w:val="4"/>
          </w:tcPr>
          <w:p>
            <w:pPr>
              <w:jc w:val="right"/>
              <w:ind w:right="27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30"/>
        </w:trPr>
        <w:tc>
          <w:tcPr>
            <w:tcW w:w="50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June 30,</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19"/>
                <w:szCs w:val="19"/>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R&amp;D costs</w:t>
            </w: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Consolidated R&amp;D costs increased by $0.6 million, or 4.3%, and $3.0 million, or 11.5% for the three and six months ended June 30, 2022, respectively, as compared to the same period in 2021, due to additional research performed to identify new product opportunities. Efforts remain focused on the continued investment in elastomeric packaging components, formulation development, drug containment systems, self-injection systems and drug administration consumables.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(“SG&amp;A”) Costs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7480" w:type="dxa"/>
            <w:vAlign w:val="bottom"/>
            <w:gridSpan w:val="5"/>
          </w:tcPr>
          <w:p>
            <w:pPr>
              <w:spacing w:after="0"/>
              <w:rPr>
                <w:sz w:val="20"/>
                <w:szCs w:val="20"/>
                <w:color w:val="auto"/>
              </w:rPr>
            </w:pPr>
            <w:r>
              <w:rPr>
                <w:rFonts w:ascii="Arial" w:cs="Arial" w:eastAsia="Arial" w:hAnsi="Arial"/>
                <w:sz w:val="18"/>
                <w:szCs w:val="18"/>
                <w:color w:val="auto"/>
                <w:w w:val="95"/>
              </w:rPr>
              <w:t>The following table presents SG&amp;A costs, consolidated and by reportable segment and corporate: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4700" w:type="dxa"/>
            <w:vAlign w:val="bottom"/>
          </w:tcPr>
          <w:p>
            <w:pPr>
              <w:spacing w:after="0"/>
              <w:rPr>
                <w:sz w:val="17"/>
                <w:szCs w:val="17"/>
                <w:color w:val="auto"/>
              </w:rPr>
            </w:pPr>
          </w:p>
        </w:tc>
        <w:tc>
          <w:tcPr>
            <w:tcW w:w="2780" w:type="dxa"/>
            <w:vAlign w:val="bottom"/>
            <w:gridSpan w:val="4"/>
          </w:tcPr>
          <w:p>
            <w:pPr>
              <w:jc w:val="right"/>
              <w:ind w:right="250"/>
              <w:spacing w:after="0" w:line="202" w:lineRule="exact"/>
              <w:rPr>
                <w:sz w:val="20"/>
                <w:szCs w:val="20"/>
                <w:color w:val="auto"/>
              </w:rPr>
            </w:pPr>
            <w:r>
              <w:rPr>
                <w:rFonts w:ascii="Arial" w:cs="Arial" w:eastAsia="Arial" w:hAnsi="Arial"/>
                <w:sz w:val="18"/>
                <w:szCs w:val="18"/>
                <w:color w:val="auto"/>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4"/>
          </w:tcPr>
          <w:p>
            <w:pPr>
              <w:jc w:val="right"/>
              <w:ind w:right="770"/>
              <w:spacing w:after="0" w:line="202" w:lineRule="exact"/>
              <w:rPr>
                <w:sz w:val="20"/>
                <w:szCs w:val="20"/>
                <w:color w:val="auto"/>
              </w:rPr>
            </w:pPr>
            <w:r>
              <w:rPr>
                <w:rFonts w:ascii="Arial" w:cs="Arial" w:eastAsia="Arial" w:hAnsi="Arial"/>
                <w:sz w:val="18"/>
                <w:szCs w:val="18"/>
                <w:color w:val="auto"/>
              </w:rPr>
              <w:t>Six Months Ended</w:t>
            </w:r>
          </w:p>
        </w:tc>
      </w:tr>
      <w:tr>
        <w:trPr>
          <w:trHeight w:val="230"/>
        </w:trPr>
        <w:tc>
          <w:tcPr>
            <w:tcW w:w="47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80" w:type="dxa"/>
            <w:vAlign w:val="bottom"/>
            <w:tcBorders>
              <w:bottom w:val="single" w:sz="8" w:color="auto"/>
            </w:tcBorders>
          </w:tcPr>
          <w:p>
            <w:pPr>
              <w:spacing w:after="0"/>
              <w:rPr>
                <w:sz w:val="19"/>
                <w:szCs w:val="19"/>
                <w:color w:val="auto"/>
              </w:rPr>
            </w:pPr>
          </w:p>
        </w:tc>
      </w:tr>
      <w:tr>
        <w:trPr>
          <w:trHeight w:val="22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6"/>
              </w:rPr>
              <w:t>65.0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121.5</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2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7.5</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23.9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43.9</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Consolidated SG&amp;A costs</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6"/>
              </w:rPr>
              <w:t>92.7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164.9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172.9</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SG&amp;A as a % of net sales</w:t>
            </w:r>
          </w:p>
        </w:tc>
        <w:tc>
          <w:tcPr>
            <w:tcW w:w="10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10.6 %</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6"/>
              </w:rPr>
              <w:t>12.8 %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11.1 %</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12.4 %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Consolidated SG&amp;A costs decreased by $11.2 million, or 12.1%, for the three months ended June 30, 2022, as compared to the same period in 2021, due to lower incentive compensation, favorable foreign currency translation impact of $2.5 million and a higher allocation of functional spend to Cost of Goods Sold.</w:t>
      </w:r>
    </w:p>
    <w:p>
      <w:pPr>
        <w:spacing w:after="0" w:line="21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Consolidated SG&amp;A costs decreased by $8.0 million, or 4.6%, for the six months ended June 30, 2022, as compared to the same period in 2021, due to lower incentive compensation, higher allocation of functional spend to Cost of Goods Sold and a favorable foreign currency translation impact of $4.4 million, offset by an increase in selling expenses and professional fees.</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SG&amp;A costs decreased by $9.6 million, or 14.8%, for the three months ended June 30, 2022,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2021. Proprietary Products SG&amp;A costs decreased primarily due to lower incentive compensation, favorable foreign currency translation impact of $2.3 million and a higher allocation of functional spend to Cost of Goods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Proprietary Products SG&amp;A costs decreased by $10.2 million, or 8.4%, for the six months ended June 30, 2022, as compared to the same period in 2021. Proprietary Products SG&amp;A costs decreased primarily due to a decline in incentive compensation, higher allocation of functional spend to Cost of Goods Sold and a favorable foreign currency translation impact of $3.8 million, offset by an increase in selling expenses and professional fees.</w:t>
      </w:r>
    </w:p>
    <w:p>
      <w:pPr>
        <w:spacing w:after="0" w:line="17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SG&amp;A costs increased by $1.1 million, or 28.9%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2022, as compared to the same period in 2021, and increased by $2.2 million, or 29.3% for the six months ended June 30, 2022, as compared to the same period in 2021.</w:t>
      </w:r>
    </w:p>
    <w:p>
      <w:pPr>
        <w:spacing w:after="0" w:line="20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Corporate - </w:t>
      </w:r>
      <w:r>
        <w:rPr>
          <w:rFonts w:ascii="Arial" w:cs="Arial" w:eastAsia="Arial" w:hAnsi="Arial"/>
          <w:sz w:val="18"/>
          <w:szCs w:val="18"/>
          <w:color w:val="auto"/>
        </w:rPr>
        <w:t>Corporate SG&amp;A costs decreased by $2.7 million, or 11.3%, for the three months ended June 30, 2022, as compared to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2021, primarily due to lower incentive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Corporate SG&amp;A costs did not change for the six months ended June 30, 2022, as compared to the same period in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other income and expense items, consolidated and by reportable segment, corporate and unallocated items: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vMerge w:val="restart"/>
          </w:tcPr>
          <w:p>
            <w:pPr>
              <w:ind w:left="20"/>
              <w:spacing w:after="0"/>
              <w:rPr>
                <w:sz w:val="20"/>
                <w:szCs w:val="20"/>
                <w:color w:val="auto"/>
              </w:rPr>
            </w:pPr>
            <w:r>
              <w:rPr>
                <w:rFonts w:ascii="Arial" w:cs="Arial" w:eastAsia="Arial" w:hAnsi="Arial"/>
                <w:sz w:val="18"/>
                <w:szCs w:val="18"/>
                <w:color w:val="auto"/>
              </w:rPr>
              <w:t>(Income) Expense</w:t>
            </w:r>
          </w:p>
        </w:tc>
        <w:tc>
          <w:tcPr>
            <w:tcW w:w="2740" w:type="dxa"/>
            <w:vAlign w:val="bottom"/>
            <w:gridSpan w:val="4"/>
          </w:tcPr>
          <w:p>
            <w:pPr>
              <w:jc w:val="right"/>
              <w:ind w:right="27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9"/>
        </w:trPr>
        <w:tc>
          <w:tcPr>
            <w:tcW w:w="5000" w:type="dxa"/>
            <w:vAlign w:val="bottom"/>
            <w:vMerge w:val="continue"/>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June 30,</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(2.7)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1"/>
              </w:rPr>
              <w:t>(4.6)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7"/>
              </w:rPr>
              <w:t>(2.1)</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80" w:type="dxa"/>
            <w:vAlign w:val="bottom"/>
          </w:tcPr>
          <w:p>
            <w:pPr>
              <w:spacing w:after="0"/>
              <w:rPr>
                <w:sz w:val="19"/>
                <w:szCs w:val="19"/>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center"/>
              <w:ind w:left="50"/>
              <w:spacing w:after="0"/>
              <w:rPr>
                <w:sz w:val="20"/>
                <w:szCs w:val="20"/>
                <w:color w:val="auto"/>
              </w:rPr>
            </w:pPr>
            <w:r>
              <w:rPr>
                <w:rFonts w:ascii="Arial" w:cs="Arial" w:eastAsia="Arial" w:hAnsi="Arial"/>
                <w:sz w:val="18"/>
                <w:szCs w:val="18"/>
                <w:color w:val="auto"/>
                <w:w w:val="87"/>
              </w:rPr>
              <w:t>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left="630"/>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center"/>
              <w:ind w:left="530"/>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(0.3)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1"/>
              </w:rPr>
              <w:t>(1.4)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Consolidated other (income) expense</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(2.8)</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(2.7)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1"/>
              </w:rPr>
              <w:t>(5.9)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Other income and expense items, consisting of foreign exchange transaction gains and losses, gains and losses on the sale of fixed assets, contingent consideration, fixed asset impairments and miscellaneous income and charges, are generally recorded within segment results.</w:t>
      </w:r>
    </w:p>
    <w:p>
      <w:pPr>
        <w:spacing w:after="0" w:line="173"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Consolidated other (income) expense changed by $0.1 million for the three months ended June 30, 2022, as compared to the same period in 2021, and changed by $7.1 million for the six months ended June 30, 2022, as compared to the same period in 2021, due to the factors described below.</w:t>
      </w:r>
    </w:p>
    <w:p>
      <w:pPr>
        <w:spacing w:after="0" w:line="147"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other (income) expense changed by $1.3 million for the three months ended June 30, 2022,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2021, primarily due to decreased gains on foreign exchange transactions in the three months ended June 30, 2022, as compared to the same period in 2021.</w:t>
      </w:r>
    </w:p>
    <w:p>
      <w:pPr>
        <w:spacing w:after="0" w:line="20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Proprietary Products other (income) expense changed by $2.5 million for the six months ended June 30, 2022, as compared to the same period in 2021, primarily due to $3.1 million of gains related to oil hedges being recorded during the six months ended June 30, 2022, as compared to $1.1 million of gains related to oil hedges being recorded over the same period in 2021.</w:t>
      </w:r>
    </w:p>
    <w:p>
      <w:pPr>
        <w:spacing w:after="0" w:line="20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other (income) expense changed by $0.2 million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2022, as compared to the same period in 2021.</w:t>
      </w:r>
    </w:p>
    <w:p>
      <w:pPr>
        <w:spacing w:after="0" w:line="17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Contract-Manufactured Products other (income) expense changed by $0.1 million for the six months ended June 30, 2022, as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Corporate and unallocated items - </w:t>
      </w:r>
      <w:r>
        <w:rPr>
          <w:rFonts w:ascii="Arial" w:cs="Arial" w:eastAsia="Arial" w:hAnsi="Arial"/>
          <w:sz w:val="18"/>
          <w:szCs w:val="18"/>
          <w:color w:val="auto"/>
        </w:rPr>
        <w:t>Corporate and unallocated items changed by $1.2 million for the three months ended June 30, 2022,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2021, primarily due to the Company recording a benefit of $1.6 million in restructuring and related costs in connection with its 2020 plan related to revised severance estimates in the three months ended June 30, 2022, while the Company recorded expense of $1.0 million of restructuring and related costs in the same period in 2021. This was offset by the recording of a gain on the sale of one of the Company's cost investments of $1.3 million in the three months ended June 30, 2021 that did not recur in 2022.</w:t>
      </w:r>
    </w:p>
    <w:p>
      <w:pPr>
        <w:spacing w:after="0" w:line="21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Corporate and unallocated items changed by $4.5 million for the six months ended June 30, 2022, as compared to the same period in 2021, primarily due to the Company recording a benefit of $1.6 million in restructuring and related costs in connection with its 2020 plan related to revised severance estimates in the six months ended June 30, 2022, while the Company recorded expense of $2.2 million of restructuring and related costs in the same period in 2021. Additionally, a loss of $0.9 million related to cost investment activity was recorded in the six months ended June 30, 2021 that did not recur in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760" w:type="dxa"/>
            <w:vAlign w:val="bottom"/>
            <w:gridSpan w:val="10"/>
          </w:tcPr>
          <w:p>
            <w:pPr>
              <w:spacing w:after="0"/>
              <w:rPr>
                <w:sz w:val="20"/>
                <w:szCs w:val="20"/>
                <w:color w:val="auto"/>
              </w:rPr>
            </w:pPr>
            <w:r>
              <w:rPr>
                <w:rFonts w:ascii="Arial" w:cs="Arial" w:eastAsia="Arial" w:hAnsi="Arial"/>
                <w:sz w:val="18"/>
                <w:szCs w:val="18"/>
                <w:color w:val="auto"/>
                <w:w w:val="95"/>
              </w:rPr>
              <w:t>The following table presents adjusted operating profit, consolidated and by reportable segment, corporate and unallocated items: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2740" w:type="dxa"/>
            <w:vAlign w:val="bottom"/>
            <w:gridSpan w:val="4"/>
          </w:tcPr>
          <w:p>
            <w:pPr>
              <w:jc w:val="right"/>
              <w:ind w:right="210"/>
              <w:spacing w:after="0" w:line="202" w:lineRule="exact"/>
              <w:rPr>
                <w:sz w:val="20"/>
                <w:szCs w:val="20"/>
                <w:color w:val="auto"/>
              </w:rPr>
            </w:pPr>
            <w:r>
              <w:rPr>
                <w:rFonts w:ascii="Arial" w:cs="Arial" w:eastAsia="Arial" w:hAnsi="Arial"/>
                <w:sz w:val="18"/>
                <w:szCs w:val="18"/>
                <w:color w:val="auto"/>
              </w:rPr>
              <w:t>Three Months Ended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4"/>
          </w:tcPr>
          <w:p>
            <w:pPr>
              <w:ind w:left="540"/>
              <w:spacing w:after="0" w:line="202" w:lineRule="exact"/>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June 30,</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4"/>
              </w:rPr>
              <w:t>233.9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216.2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(21.1)</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(23.7)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Adjusted consolidated operating profit</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4"/>
              </w:rPr>
              <w:t>227.0</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211.2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416.9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consolidated operating profit margin</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Unallocated items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Borders>
              <w:bottom w:val="single" w:sz="8" w:color="CCEEFF"/>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operating profit</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4"/>
              </w:rPr>
              <w:t>228.4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8"/>
              </w:rPr>
              <w:t>211.3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Consolidated operating profit margin</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29.6 %</w:t>
            </w:r>
          </w:p>
        </w:tc>
        <w:tc>
          <w:tcPr>
            <w:tcW w:w="1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29.2 %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28.0 %</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Consolidated operating profit increased by $17.1 million, or 8.1%, for the three months ended June 30, 2022, as compared to the same period in 2021, including an unfavorable foreign currency translation impact of $16.2 million for the three months ended June 30, 2022, as compared to the same period in 2021.</w:t>
      </w:r>
    </w:p>
    <w:p>
      <w:pPr>
        <w:spacing w:after="0" w:line="21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Consolidated operating profit increased by $31.2 million, or 8.1%, for the six months ended June 30, 2022, as compared to the same period in 2021, including an unfavorable foreign currency translation impact of $24.7 million for the six months ended June 30, 2022, as compared to the same period in 2021.</w:t>
      </w:r>
    </w:p>
    <w:p>
      <w:pPr>
        <w:spacing w:after="0" w:line="207"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operating profit increased by $17.7 million, or 8.2%, for the three months ended June 30, 2022, as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same period in 2021, including an unfavorable foreign currency translation impact of $15.3 million, due to the factors described above, most notably the sales increase in our high-value product offerings.</w:t>
      </w:r>
    </w:p>
    <w:p>
      <w:pPr>
        <w:spacing w:after="0" w:line="20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Proprietary Products operating profit increased by $28.5 million, or 7.1%, for the six months ended June 30, 2022, as compared to the same period in 2021, including a unfavorable foreign currency translation impact of $23.1 million, due to the factors described above, most notably due to the sales increase in our high-value product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operating profit decreased by $4.5 million, or 24.1%,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2022, as compared to the same period in 2021, including an unfavorable foreign currency translation impact of $0.9 million, due to the factors described above, most notably due to the unfavorable mix of products sold.</w:t>
      </w:r>
    </w:p>
    <w:p>
      <w:pPr>
        <w:spacing w:after="0" w:line="20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Contract-Manufactured Products operating profit decreased by $1.8 million, or 5.1%, for the six months ended June 30, 2022, as compared to the same period in 2021, including an unfavorable foreign currency translation impact of $1.6 million, due to the factors described above.</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costs decreased by $2.6 million, or 11.0%, for the three months ended June 30, 2022, as compared to the same period in 2021,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factors described above.</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Corporate costs increased by $0.2 million, or 0.5%, for the six months ended June 30, 2022, as compared to the same period in 2021, due to the factors described above.</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Unallocated items – </w:t>
      </w:r>
      <w:r>
        <w:rPr>
          <w:rFonts w:ascii="Arial" w:cs="Arial" w:eastAsia="Arial" w:hAnsi="Arial"/>
          <w:sz w:val="17"/>
          <w:szCs w:val="17"/>
          <w:color w:val="auto"/>
        </w:rPr>
        <w:t>Other unallocated items during the three months ended June 30, 2022 consisted of a benefit of $1.6 million in restructuring and</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costs in connection with its 2020 plan related to revised severance estimates and $0.2 million of amortization expense associated with an acquisition of an intangible asset during the second quarter of 2020. Other unallocated items during the three months ended June 30, 2021 consisted of $1.0 million in restructuring and related costs, $0.2 million of amortization expense associated with an acquisition of an intangible asset during the second quarter of 2020, and a net gain of $1.3 million on the sale of one of the Company's cost investments.</w:t>
      </w:r>
    </w:p>
    <w:p>
      <w:pPr>
        <w:spacing w:after="0" w:line="19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Other unallocated items during the six months ended June 30, 2022 consisted of a benefit of $1.6 million in restructuring and related costs in connection with its 2020 plan related to revised severance estimates and $0.4 million of amortization expense associated with an acquisition of an intangible asset during the second quarter of 2020. Other unallocated items during the six months ended June 30, 2021 consisted of $2.2 million in restructuring and related costs, $0.4 million of amortization expense associated with an acquisition of an intangible asset during the second quarter of 2020, and a net loss in our cost investment activity of $0.9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 and Interest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interest expense, net, and interest income by significant component: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2760" w:type="dxa"/>
            <w:vAlign w:val="bottom"/>
            <w:gridSpan w:val="4"/>
          </w:tcPr>
          <w:p>
            <w:pPr>
              <w:jc w:val="right"/>
              <w:ind w:right="29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30"/>
        </w:trPr>
        <w:tc>
          <w:tcPr>
            <w:tcW w:w="49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June 30,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20" w:type="dxa"/>
            <w:vAlign w:val="bottom"/>
            <w:tcBorders>
              <w:bottom w:val="single" w:sz="8" w:color="auto"/>
            </w:tcBorders>
          </w:tcPr>
          <w:p>
            <w:pPr>
              <w:spacing w:after="0"/>
              <w:rPr>
                <w:sz w:val="19"/>
                <w:szCs w:val="19"/>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2.9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7"/>
              </w:rPr>
              <w:t>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7"/>
              </w:rPr>
              <w:t>4.9</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interest</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(1.1)</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1"/>
              </w:rPr>
              <w:t>(1.6)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7"/>
              </w:rPr>
              <w:t>(1.1)</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5"/>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7"/>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7"/>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7"/>
              </w:rPr>
              <w:t>3.8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4980" w:type="dxa"/>
            <w:vAlign w:val="bottom"/>
            <w:tcBorders>
              <w:bottom w:val="single" w:sz="8" w:color="CCEEFF"/>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1"/>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97"/>
              </w:rPr>
              <w:t>(0.3)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expense, net, decreased by $0.1 million, or 5.3%, for the three months ended June 30, 2022, as compared to the same period in 2021, and increased by $0.2 million, or 5.3%, for the six months ended June 30, 2022, as compared to the same period in 2021.</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Interest income increased by $0.2 million for the three months ended June 30, 2022, as compared to the same period in 2021, and increased by $0.4 million for the six months ended June 30, 2022, as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Expense</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nonoperating (income) expense changed by $1.2 million for the three months ended June 30, 2022, as compared to the same period in 2021, primarily due to an increase in pension settlement charge and a reduction in pension income related to our U.S. qualified defined benefit pension plan. In each three month period, we determined that normal-course lump-sum payments for our U.S. qualified defined benefit pension plan exceeded the threshold for settlement accounting under U.S. GAAP for the year.</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Other nonoperating (income) expense changed by $2.3 million for the six months ended June 30, 2022, as compared to the same period in 2021, primarily due to an increase in pension settlement charge and a reduction in pension income related to our U.S. qualified defined benefit pension plan. In each six month period, we determined that normal-course lump-sum payments for our U.S. qualified defined benefit pension plan exceeded the threshold for settlement accounting under U.S. GAAP for the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provision for income taxes was $44.2 million and $32.3 million for the three months ended June 30, 2022 and 2021, respectively, and the effective tax rate was 19.5% and 15.3%, respectively. The increase in the effective tax rate is primarily due to a decrease in stock-based compensation deduction for the three months ended June 30, 2022 as compared to the same period in 2021.</w:t>
      </w:r>
    </w:p>
    <w:p>
      <w:pPr>
        <w:spacing w:after="0" w:line="2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provision for income taxes was $65.4 million and $61.0 million for the six months ended June 30, 2022 and 2021, respectively, and the effective tax rate was 15.8% and 15.8%,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Affiliated Companies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Equity in net income of affiliated companies decreased by $3.1 million for the three months ended June 30, 2022, as compared to the same period in 2021, due to the impact of foreign currency translation from the operating results of Daikyo.</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Equity in net income of affiliated companies decreased by $0.9 million for the six months ended June 30, 2022, as compared to the same period in 2021, due to the impact of foreign currency translation from the operating results of Daikyo.</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FINANCIAL CONDITION, LIQUIDITY AND CAPITAL RESOURCES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cash flow data for the six months ended June 30:</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8"/>
              </w:rPr>
              <w:t>324.3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8"/>
              </w:rPr>
              <w:t>233.1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530"/>
              <w:spacing w:after="0"/>
              <w:rPr>
                <w:sz w:val="20"/>
                <w:szCs w:val="20"/>
                <w:color w:val="auto"/>
              </w:rPr>
            </w:pPr>
            <w:r>
              <w:rPr>
                <w:rFonts w:ascii="Arial" w:cs="Arial" w:eastAsia="Arial" w:hAnsi="Arial"/>
                <w:sz w:val="18"/>
                <w:szCs w:val="18"/>
                <w:color w:val="auto"/>
                <w:w w:val="91"/>
              </w:rPr>
              <w:t>(134.3)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center"/>
              <w:ind w:left="570"/>
              <w:spacing w:after="0"/>
              <w:rPr>
                <w:sz w:val="20"/>
                <w:szCs w:val="20"/>
                <w:color w:val="auto"/>
              </w:rPr>
            </w:pPr>
            <w:r>
              <w:rPr>
                <w:rFonts w:ascii="Arial" w:cs="Arial" w:eastAsia="Arial" w:hAnsi="Arial"/>
                <w:sz w:val="18"/>
                <w:szCs w:val="18"/>
                <w:color w:val="auto"/>
                <w:w w:val="91"/>
              </w:rPr>
              <w:t>(110.4)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1"/>
              </w:rPr>
              <w:t>(208.9)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4"/>
              </w:rPr>
              <w:t>(156.1)</w:t>
            </w:r>
          </w:p>
        </w:tc>
      </w:tr>
    </w:tbl>
    <w:p>
      <w:pPr>
        <w:spacing w:after="0" w:line="31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Net Cash Provided by Operating Activities – </w:t>
      </w:r>
      <w:r>
        <w:rPr>
          <w:rFonts w:ascii="Arial" w:cs="Arial" w:eastAsia="Arial" w:hAnsi="Arial"/>
          <w:sz w:val="18"/>
          <w:szCs w:val="18"/>
          <w:color w:val="auto"/>
        </w:rPr>
        <w:t>Net cash provided by operating activities increased by $91.2 million for the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2022, as compared to the same period in 2021, primarily due to improved operating results, decreases in the change of working capital and decreases in tax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Net Cash Used in Investing Activities – </w:t>
      </w:r>
      <w:r>
        <w:rPr>
          <w:rFonts w:ascii="Arial" w:cs="Arial" w:eastAsia="Arial" w:hAnsi="Arial"/>
          <w:sz w:val="18"/>
          <w:szCs w:val="18"/>
          <w:color w:val="auto"/>
        </w:rPr>
        <w:t>Net cash used in investing activities increased by $23.9 million for the six months ended June 30, 2022,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2021, due to the increase in capital expenditures in 2022.</w:t>
      </w:r>
    </w:p>
    <w:p>
      <w:pPr>
        <w:spacing w:after="0" w:line="189" w:lineRule="exact"/>
        <w:rPr>
          <w:sz w:val="20"/>
          <w:szCs w:val="20"/>
          <w:color w:val="auto"/>
        </w:rPr>
      </w:pPr>
    </w:p>
    <w:p>
      <w:pPr>
        <w:ind w:right="460"/>
        <w:spacing w:after="0" w:line="312" w:lineRule="auto"/>
        <w:rPr>
          <w:sz w:val="20"/>
          <w:szCs w:val="20"/>
          <w:color w:val="auto"/>
        </w:rPr>
      </w:pPr>
      <w:r>
        <w:rPr>
          <w:rFonts w:ascii="Arial" w:cs="Arial" w:eastAsia="Arial" w:hAnsi="Arial"/>
          <w:sz w:val="17"/>
          <w:szCs w:val="17"/>
          <w:b w:val="1"/>
          <w:bCs w:val="1"/>
          <w:color w:val="auto"/>
        </w:rPr>
        <w:t xml:space="preserve">Net Cash Used in Financing Activities – </w:t>
      </w:r>
      <w:r>
        <w:rPr>
          <w:rFonts w:ascii="Arial" w:cs="Arial" w:eastAsia="Arial" w:hAnsi="Arial"/>
          <w:sz w:val="17"/>
          <w:szCs w:val="17"/>
          <w:color w:val="auto"/>
        </w:rPr>
        <w:t>Net cash used in financing activities increased by $52.8 million for the six months ended June 30, 2022, as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same period in 2021, primarily due to increases in purchases under our share repurchase program in 2022.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table below presents selected liquidity and capital measures:</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Pr>
          <w:p>
            <w:pPr>
              <w:spacing w:after="0"/>
              <w:rPr>
                <w:sz w:val="17"/>
                <w:szCs w:val="17"/>
                <w:color w:val="auto"/>
              </w:rPr>
            </w:pPr>
          </w:p>
        </w:tc>
        <w:tc>
          <w:tcPr>
            <w:tcW w:w="1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17"/>
                <w:szCs w:val="17"/>
                <w:color w:val="auto"/>
              </w:rPr>
            </w:pP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528.4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2,424.4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2,335.4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1,147.9</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include all instruments that have maturities of ninety days or less when purchased. Working capital is defined as current assets less current liabilities.</w:t>
      </w:r>
    </w:p>
    <w:p>
      <w:pPr>
        <w:spacing w:after="0" w:line="193"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 xml:space="preserve">Cash and cash equivalents – </w:t>
      </w:r>
      <w:r>
        <w:rPr>
          <w:rFonts w:ascii="Arial" w:cs="Arial" w:eastAsia="Arial" w:hAnsi="Arial"/>
          <w:sz w:val="16"/>
          <w:szCs w:val="16"/>
          <w:color w:val="auto"/>
        </w:rPr>
        <w:t>Our cash and cash equivalents balance at June 30, 2022 consisted of cash held in depository accounts with banks around the</w:t>
      </w:r>
      <w:r>
        <w:rPr>
          <w:rFonts w:ascii="Arial" w:cs="Arial" w:eastAsia="Arial" w:hAnsi="Arial"/>
          <w:sz w:val="16"/>
          <w:szCs w:val="16"/>
          <w:b w:val="1"/>
          <w:bCs w:val="1"/>
          <w:color w:val="auto"/>
        </w:rPr>
        <w:t xml:space="preserve"> </w:t>
      </w:r>
      <w:r>
        <w:rPr>
          <w:rFonts w:ascii="Arial" w:cs="Arial" w:eastAsia="Arial" w:hAnsi="Arial"/>
          <w:sz w:val="16"/>
          <w:szCs w:val="16"/>
          <w:color w:val="auto"/>
        </w:rPr>
        <w:t>world and cash invested in high-quality, short-term investments. The cash and cash equivalents balance at June 30, 2022 included $269.2 million of cash held by subsidiaries within the U.S., and $449.3 million of cash held by subsidiaries outside of the U.S. During the six months ended June 30, 2022, we purchased 476,667 shares of our common stock under the share repurchase program at a cost of $175.7 million, or an average price of $368.54 per share.</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Working capital – </w:t>
      </w:r>
      <w:r>
        <w:rPr>
          <w:rFonts w:ascii="Arial" w:cs="Arial" w:eastAsia="Arial" w:hAnsi="Arial"/>
          <w:sz w:val="18"/>
          <w:szCs w:val="18"/>
          <w:color w:val="auto"/>
        </w:rPr>
        <w:t>Working capital at June 30, 2022 increased by $58.1 million, or 5.1%, as compared to December 31, 2021, which includes an</w:t>
      </w:r>
      <w:r>
        <w:rPr>
          <w:rFonts w:ascii="Arial" w:cs="Arial" w:eastAsia="Arial" w:hAnsi="Arial"/>
          <w:sz w:val="18"/>
          <w:szCs w:val="18"/>
          <w:b w:val="1"/>
          <w:bCs w:val="1"/>
          <w:color w:val="auto"/>
        </w:rPr>
        <w:t xml:space="preserve"> </w:t>
      </w:r>
      <w:r>
        <w:rPr>
          <w:rFonts w:ascii="Arial" w:cs="Arial" w:eastAsia="Arial" w:hAnsi="Arial"/>
          <w:sz w:val="18"/>
          <w:szCs w:val="18"/>
          <w:color w:val="auto"/>
        </w:rPr>
        <w:t>unfavorable foreign currently translation impact $32.3 million. Excluding the impact of currency exchange rates, accounts receivable and inventories increased by $60.0 million and $50.2 million, respectively, while cash and cash equivalents and total current liabilities decreased by $18.9 million and $10.4 million, respectively. The increase in accounts receivable was due to increased sales activity. The increase in inventories was to ensure we have sufficient inventory on hand to support the needs of our customers. The decrease in cash and cash equivalents was due to share repurchases and payment of annual incentive compensation during the six months ended June 30, 2022. The decrease in total current liabilities was caused by the decline in accrued salaries, wages and benefits.</w:t>
      </w:r>
    </w:p>
    <w:p>
      <w:pPr>
        <w:spacing w:after="0" w:line="216" w:lineRule="exact"/>
        <w:rPr>
          <w:sz w:val="20"/>
          <w:szCs w:val="20"/>
          <w:color w:val="auto"/>
        </w:rPr>
      </w:pPr>
    </w:p>
    <w:p>
      <w:pPr>
        <w:jc w:val="both"/>
        <w:ind w:right="260"/>
        <w:spacing w:after="0" w:line="282" w:lineRule="auto"/>
        <w:rPr>
          <w:sz w:val="20"/>
          <w:szCs w:val="20"/>
          <w:color w:val="auto"/>
        </w:rPr>
      </w:pPr>
      <w:r>
        <w:rPr>
          <w:rFonts w:ascii="Arial" w:cs="Arial" w:eastAsia="Arial" w:hAnsi="Arial"/>
          <w:sz w:val="18"/>
          <w:szCs w:val="18"/>
          <w:b w:val="1"/>
          <w:bCs w:val="1"/>
          <w:color w:val="auto"/>
        </w:rPr>
        <w:t xml:space="preserve">Debt and credit facilities – </w:t>
      </w:r>
      <w:r>
        <w:rPr>
          <w:rFonts w:ascii="Arial" w:cs="Arial" w:eastAsia="Arial" w:hAnsi="Arial"/>
          <w:sz w:val="18"/>
          <w:szCs w:val="18"/>
          <w:color w:val="auto"/>
        </w:rPr>
        <w:t>The $1.0 million decrease in total debt at June 30, 2022, as compared to December 31, 2021, resulted from debt repayments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Term Loan.</w:t>
      </w:r>
    </w:p>
    <w:p>
      <w:pPr>
        <w:spacing w:after="0" w:line="19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sources of liquidity include our Credit Facility. At June 30, 2022, we had no outstanding borrowings under the Credit Facility. At June 30, 2022, the borrowing capacity available under the Credit Facility, including outstanding letters of credit of $2.4 million, was $497.6 million. We do not expect any significant limitations on our ability to access this source of funds.</w:t>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5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 table summarizing the amounts and estimated timing of future cash payments resulting from commitments and contractual obligations was provided in our 2021 Annual Report. During the three months ended June 30, 2022, there were no material changes outside of the ordinary course of business to our commitments and contractual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June 30, 2022, we had no off-balance sheet financing arrangements other than unconditional purchase obligations incurred in the ordinary course of business and outstanding letters of credit related to various insurance programs, as noted in our 2021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to the Critical Accounting Policies and Estimates disclosed in Part II, Item 7 of our 2021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ind w:right="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information on new accounting standards that were issued but not yet adopted, during the three months ended June 30, 2022, and the impact, if any, on our financial position or results of operations, see Note 2, </w:t>
      </w:r>
      <w:hyperlink w:anchor="page7">
        <w:r>
          <w:rPr>
            <w:rFonts w:ascii="Arial" w:cs="Arial" w:eastAsia="Arial" w:hAnsi="Arial"/>
            <w:sz w:val="18"/>
            <w:szCs w:val="18"/>
            <w:i w:val="1"/>
            <w:iCs w:val="1"/>
            <w:u w:val="single" w:color="auto"/>
            <w:color w:val="0000FF"/>
          </w:rPr>
          <w:t>New Accounting Standards</w:t>
        </w:r>
      </w:hyperlink>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20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some important factors that could cause our actual results to differ from our expectations in any forward-looking statements:</w:t>
      </w:r>
    </w:p>
    <w:p>
      <w:pPr>
        <w:spacing w:after="0" w:line="183"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demand and our ability to meet that demand;</w:t>
      </w:r>
    </w:p>
    <w:p>
      <w:pPr>
        <w:spacing w:after="0" w:line="171"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from other providers in our businesses, including customers’ in-house operations, and from lower-cost producers in emerging markets, which can impact unit volume, price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9" w:name="page40"/>
    <w:bookmarkEnd w:id="3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right="2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customers’ changing inventory requirements and manufacturing plans that alter existing orders or ordering patterns for the products we supply to them;</w:t>
      </w:r>
    </w:p>
    <w:p>
      <w:pPr>
        <w:spacing w:after="0" w:line="116" w:lineRule="exact"/>
        <w:rPr>
          <w:rFonts w:ascii="Arial" w:cs="Arial" w:eastAsia="Arial" w:hAnsi="Arial"/>
          <w:sz w:val="18"/>
          <w:szCs w:val="18"/>
          <w:color w:val="auto"/>
        </w:rPr>
      </w:pPr>
    </w:p>
    <w:p>
      <w:pPr>
        <w:ind w:left="980" w:hanging="324"/>
        <w:spacing w:after="0" w:line="311" w:lineRule="auto"/>
        <w:tabs>
          <w:tab w:leader="none" w:pos="9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spacing w:after="0" w:line="94"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regulatory approval and commercial success of customer products that incorporate our products and systems;</w:t>
      </w:r>
    </w:p>
    <w:p>
      <w:pPr>
        <w:spacing w:after="0" w:line="171" w:lineRule="exact"/>
        <w:rPr>
          <w:rFonts w:ascii="Arial" w:cs="Arial" w:eastAsia="Arial" w:hAnsi="Arial"/>
          <w:sz w:val="18"/>
          <w:szCs w:val="18"/>
          <w:color w:val="auto"/>
        </w:rPr>
      </w:pPr>
    </w:p>
    <w:p>
      <w:pPr>
        <w:ind w:left="980" w:right="20" w:hanging="324"/>
        <w:spacing w:after="0" w:line="259"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132" w:lineRule="exact"/>
        <w:rPr>
          <w:rFonts w:ascii="Arial" w:cs="Arial" w:eastAsia="Arial" w:hAnsi="Arial"/>
          <w:sz w:val="18"/>
          <w:szCs w:val="18"/>
          <w:color w:val="auto"/>
        </w:rPr>
      </w:pPr>
    </w:p>
    <w:p>
      <w:pPr>
        <w:ind w:left="980" w:right="62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116"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profitability, or mix, of the products sold in any reporting period, including lower-than-expected sales growth of our high-value proprietary product offerings;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or improving production efficiencies and overhead absorption;</w:t>
      </w:r>
    </w:p>
    <w:p>
      <w:pPr>
        <w:spacing w:after="0" w:line="171"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dependence on third-party suppliers and partners, some of which are single-source suppliers of critical materials and products, including our Japanese partner and affiliate, Daikyo;</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key personnel or highly-skilled employees;</w:t>
      </w:r>
    </w:p>
    <w:p>
      <w:pPr>
        <w:spacing w:after="0" w:line="171" w:lineRule="exact"/>
        <w:rPr>
          <w:rFonts w:ascii="Arial" w:cs="Arial" w:eastAsia="Arial" w:hAnsi="Arial"/>
          <w:sz w:val="18"/>
          <w:szCs w:val="18"/>
          <w:color w:val="auto"/>
        </w:rPr>
      </w:pPr>
    </w:p>
    <w:p>
      <w:pPr>
        <w:ind w:left="980" w:right="72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and cost of skilled employees required to meet increased production, managerial, research and other needs, including professional employees and persons employed under collective bargaining agreements;</w:t>
      </w:r>
    </w:p>
    <w:p>
      <w:pPr>
        <w:spacing w:after="0" w:line="116" w:lineRule="exact"/>
        <w:rPr>
          <w:rFonts w:ascii="Arial" w:cs="Arial" w:eastAsia="Arial" w:hAnsi="Arial"/>
          <w:sz w:val="18"/>
          <w:szCs w:val="18"/>
          <w:color w:val="auto"/>
        </w:rPr>
      </w:pPr>
    </w:p>
    <w:p>
      <w:pPr>
        <w:ind w:left="980" w:right="66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successful and timely implementation of price increases necessary to offset rising production costs, including raw material prices, particularly petroleum-based raw materials;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progress of development, regulatory approval and marketing of new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maintain licenses in any jurisdiction in which we do business;</w:t>
      </w:r>
    </w:p>
    <w:p>
      <w:pPr>
        <w:spacing w:after="0" w:line="171"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relative strength of USD in relation to other currencies, particularly the Euro, SGD, the Danish Krone, Yen, Colombian Peso, Brazilian Real, and the South Korean Won;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adverse effects of global healthcare legislation on customer demand, product pricing and profitability.</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2021 Annual Report as well as Part II, section 1A of this quarterly report.</w:t>
      </w:r>
    </w:p>
    <w:p>
      <w:pPr>
        <w:spacing w:after="0" w:line="21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Except as required by law or regulation, we undertake no obligation to publicly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exposure to market risk or the information provided in Part II, Item 7A of our 2021 Annual Report.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 Our disclosure controls include some, but not all, components of our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June 30, 2022, our disclosure controls and procedures are effective.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7"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During the quarter ended June 30, 2022, there have been no changes to our internal control over financial reporting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to the risk factors disclosed in Part I, Item 1A of our 2021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information with respect to purchases of our common stock made during the three months ended June 30, 2022 by us or any of our “affiliated purchasers” as defined in Rule 10b-18(a)(3) under the Exchange Act: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 number of shares</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Maximum number of shares</w:t>
            </w: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Total number of shares</w:t>
            </w:r>
          </w:p>
        </w:tc>
        <w:tc>
          <w:tcPr>
            <w:tcW w:w="2260" w:type="dxa"/>
            <w:vAlign w:val="bottom"/>
            <w:gridSpan w:val="3"/>
            <w:vMerge w:val="restart"/>
          </w:tcPr>
          <w:p>
            <w:pPr>
              <w:ind w:left="60"/>
              <w:spacing w:after="0"/>
              <w:rPr>
                <w:sz w:val="20"/>
                <w:szCs w:val="20"/>
                <w:color w:val="auto"/>
              </w:rPr>
            </w:pPr>
            <w:r>
              <w:rPr>
                <w:rFonts w:ascii="Arial" w:cs="Arial" w:eastAsia="Arial" w:hAnsi="Arial"/>
                <w:sz w:val="18"/>
                <w:szCs w:val="18"/>
                <w:color w:val="auto"/>
                <w:w w:val="94"/>
              </w:rPr>
              <w:t>Average price paid per share</w:t>
            </w:r>
          </w:p>
        </w:tc>
        <w:tc>
          <w:tcPr>
            <w:tcW w:w="228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0"/>
              </w:rPr>
              <w:t>purchased as part of publicly</w:t>
            </w: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88"/>
              </w:rPr>
              <w:t>that may yet be purchased</w:t>
            </w:r>
          </w:p>
        </w:tc>
        <w:tc>
          <w:tcPr>
            <w:tcW w:w="0" w:type="dxa"/>
            <w:vAlign w:val="bottom"/>
          </w:tcPr>
          <w:p>
            <w:pPr>
              <w:spacing w:after="0"/>
              <w:rPr>
                <w:sz w:val="1"/>
                <w:szCs w:val="1"/>
                <w:color w:val="auto"/>
              </w:rPr>
            </w:pPr>
          </w:p>
        </w:tc>
      </w:tr>
      <w:tr>
        <w:trPr>
          <w:trHeight w:val="175"/>
        </w:trPr>
        <w:tc>
          <w:tcPr>
            <w:tcW w:w="2240" w:type="dxa"/>
            <w:vAlign w:val="bottom"/>
            <w:gridSpan w:val="2"/>
            <w:vMerge w:val="restart"/>
          </w:tcPr>
          <w:p>
            <w:pPr>
              <w:ind w:left="20"/>
              <w:spacing w:after="0"/>
              <w:rPr>
                <w:sz w:val="20"/>
                <w:szCs w:val="20"/>
                <w:color w:val="auto"/>
              </w:rPr>
            </w:pPr>
            <w:r>
              <w:rPr>
                <w:rFonts w:ascii="Arial" w:cs="Arial" w:eastAsia="Arial" w:hAnsi="Arial"/>
                <w:sz w:val="18"/>
                <w:szCs w:val="18"/>
                <w:color w:val="auto"/>
              </w:rPr>
              <w:t>Period</w:t>
            </w:r>
          </w:p>
        </w:tc>
        <w:tc>
          <w:tcPr>
            <w:tcW w:w="2280" w:type="dxa"/>
            <w:vAlign w:val="bottom"/>
            <w:gridSpan w:val="2"/>
            <w:vMerge w:val="continue"/>
          </w:tcPr>
          <w:p>
            <w:pPr>
              <w:spacing w:after="0"/>
              <w:rPr>
                <w:sz w:val="15"/>
                <w:szCs w:val="15"/>
                <w:color w:val="auto"/>
              </w:rPr>
            </w:pPr>
          </w:p>
        </w:tc>
        <w:tc>
          <w:tcPr>
            <w:tcW w:w="2260" w:type="dxa"/>
            <w:vAlign w:val="bottom"/>
            <w:gridSpan w:val="3"/>
            <w:vMerge w:val="continue"/>
          </w:tcPr>
          <w:p>
            <w:pPr>
              <w:spacing w:after="0"/>
              <w:rPr>
                <w:sz w:val="15"/>
                <w:szCs w:val="15"/>
                <w:color w:val="auto"/>
              </w:rPr>
            </w:pPr>
          </w:p>
        </w:tc>
        <w:tc>
          <w:tcPr>
            <w:tcW w:w="22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announced plans or programs</w:t>
            </w: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89"/>
              </w:rPr>
              <w:t>under the plans or programs</w:t>
            </w:r>
          </w:p>
        </w:tc>
        <w:tc>
          <w:tcPr>
            <w:tcW w:w="0" w:type="dxa"/>
            <w:vAlign w:val="bottom"/>
          </w:tcPr>
          <w:p>
            <w:pPr>
              <w:spacing w:after="0"/>
              <w:rPr>
                <w:sz w:val="1"/>
                <w:szCs w:val="1"/>
                <w:color w:val="auto"/>
              </w:rPr>
            </w:pPr>
          </w:p>
        </w:tc>
      </w:tr>
      <w:tr>
        <w:trPr>
          <w:trHeight w:val="230"/>
        </w:trPr>
        <w:tc>
          <w:tcPr>
            <w:tcW w:w="2240" w:type="dxa"/>
            <w:vAlign w:val="bottom"/>
            <w:gridSpan w:val="2"/>
            <w:vMerge w:val="continue"/>
          </w:tcPr>
          <w:p>
            <w:pPr>
              <w:spacing w:after="0"/>
              <w:rPr>
                <w:sz w:val="19"/>
                <w:szCs w:val="19"/>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purchased (1)</w:t>
            </w:r>
          </w:p>
        </w:tc>
        <w:tc>
          <w:tcPr>
            <w:tcW w:w="540" w:type="dxa"/>
            <w:vAlign w:val="bottom"/>
          </w:tcPr>
          <w:p>
            <w:pPr>
              <w:spacing w:after="0"/>
              <w:rPr>
                <w:sz w:val="19"/>
                <w:szCs w:val="19"/>
                <w:color w:val="auto"/>
              </w:rPr>
            </w:pPr>
          </w:p>
        </w:tc>
        <w:tc>
          <w:tcPr>
            <w:tcW w:w="1640" w:type="dxa"/>
            <w:vAlign w:val="bottom"/>
          </w:tcPr>
          <w:p>
            <w:pPr>
              <w:jc w:val="right"/>
              <w:ind w:right="91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1 - 30, 2022</w:t>
            </w:r>
          </w:p>
        </w:tc>
        <w:tc>
          <w:tcPr>
            <w:tcW w:w="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377.55</w:t>
            </w:r>
          </w:p>
        </w:tc>
        <w:tc>
          <w:tcPr>
            <w:tcW w:w="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28,889</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231,111</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May 1 - 31, 2022</w:t>
            </w:r>
          </w:p>
        </w:tc>
        <w:tc>
          <w:tcPr>
            <w:tcW w:w="2180" w:type="dxa"/>
            <w:vAlign w:val="bottom"/>
          </w:tcPr>
          <w:p>
            <w:pPr>
              <w:jc w:val="right"/>
              <w:spacing w:after="0"/>
              <w:rPr>
                <w:sz w:val="20"/>
                <w:szCs w:val="20"/>
                <w:color w:val="auto"/>
              </w:rPr>
            </w:pPr>
            <w:r>
              <w:rPr>
                <w:rFonts w:ascii="Arial" w:cs="Arial" w:eastAsia="Arial" w:hAnsi="Arial"/>
                <w:sz w:val="18"/>
                <w:szCs w:val="18"/>
                <w:color w:val="auto"/>
              </w:rPr>
              <w:t>28,889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303.90</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28,889</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202,222</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1 - 30, 2022</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306.76</w:t>
            </w:r>
          </w:p>
        </w:tc>
        <w:tc>
          <w:tcPr>
            <w:tcW w:w="80" w:type="dxa"/>
            <w:vAlign w:val="bottom"/>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28,889</w:t>
            </w:r>
          </w:p>
        </w:tc>
        <w:tc>
          <w:tcPr>
            <w:tcW w:w="100" w:type="dxa"/>
            <w:vAlign w:val="bottom"/>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173,333</w:t>
            </w:r>
          </w:p>
        </w:tc>
        <w:tc>
          <w:tcPr>
            <w:tcW w:w="0" w:type="dxa"/>
            <w:vAlign w:val="bottom"/>
          </w:tcPr>
          <w:p>
            <w:pPr>
              <w:spacing w:after="0"/>
              <w:rPr>
                <w:sz w:val="1"/>
                <w:szCs w:val="1"/>
                <w:color w:val="auto"/>
              </w:rPr>
            </w:pPr>
          </w:p>
        </w:tc>
      </w:tr>
      <w:tr>
        <w:trPr>
          <w:trHeight w:val="223"/>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86,667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329.40</w:t>
            </w:r>
          </w:p>
        </w:tc>
        <w:tc>
          <w:tcPr>
            <w:tcW w:w="8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86,667</w:t>
            </w: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173,333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340" w:right="240" w:hanging="332"/>
        <w:spacing w:after="0" w:line="241" w:lineRule="auto"/>
        <w:tabs>
          <w:tab w:leader="none" w:pos="335"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 December 2021, our Board of Directors approved a share repurchase program for calendar-year 2022 authorizing the repurchase of up to 650,000 shares of our common stock from time to time on the open market as permitted under Exchange Act Rule 10b-18 or in privately-negotiated transactions. The number of shares to be repurchased and the timing of such transactions will depend on a variety of factors, including market conditions. This share repurchase program is expected to be completed by December 31, 2022.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list of exhibits in the Exhibit Index to this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West Pharmaceutical Services, Inc.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and Operations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July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30" w:right="699" w:bottom="1440" w:gutter="0" w:footer="0" w:header="0"/>
        </w:sectPr>
      </w:pPr>
    </w:p>
    <w:bookmarkStart w:id="43" w:name="page44"/>
    <w:bookmarkEnd w:id="4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80" w:type="dxa"/>
            <w:vAlign w:val="bottom"/>
            <w:gridSpan w:val="20"/>
          </w:tcPr>
          <w:p>
            <w:pPr>
              <w:ind w:left="2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80" w:type="dxa"/>
            <w:vAlign w:val="bottom"/>
            <w:gridSpan w:val="25"/>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64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88"/>
              </w:rPr>
              <w:t>Number</w:t>
            </w:r>
          </w:p>
        </w:tc>
        <w:tc>
          <w:tcPr>
            <w:tcW w:w="420" w:type="dxa"/>
            <w:vAlign w:val="bottom"/>
          </w:tcPr>
          <w:p>
            <w:pPr>
              <w:spacing w:after="0"/>
              <w:rPr>
                <w:sz w:val="13"/>
                <w:szCs w:val="13"/>
                <w:color w:val="auto"/>
              </w:rPr>
            </w:pPr>
          </w:p>
        </w:tc>
        <w:tc>
          <w:tcPr>
            <w:tcW w:w="10180" w:type="dxa"/>
            <w:vAlign w:val="bottom"/>
            <w:gridSpan w:val="2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8"/>
                <w:szCs w:val="18"/>
                <w:color w:val="auto"/>
              </w:rPr>
            </w:pPr>
          </w:p>
        </w:tc>
        <w:tc>
          <w:tcPr>
            <w:tcW w:w="10180" w:type="dxa"/>
            <w:vAlign w:val="bottom"/>
            <w:gridSpan w:val="25"/>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Our Amended and Restated Articles of Incorporation (incorporated by reference to Exhibit 3.1 to the Company's Form 10-Q report for the</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54">
              <w:r>
                <w:rPr>
                  <w:rFonts w:ascii="Arial" w:cs="Arial" w:eastAsia="Arial" w:hAnsi="Arial"/>
                  <w:sz w:val="18"/>
                  <w:szCs w:val="18"/>
                  <w:color w:val="0000FF"/>
                  <w:w w:val="89"/>
                </w:rPr>
                <w:t>quarter ended June 30, 2020, filed July 24, 2020).</w:t>
              </w:r>
            </w:hyperlink>
          </w:p>
        </w:tc>
        <w:tc>
          <w:tcPr>
            <w:tcW w:w="63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10180" w:type="dxa"/>
            <w:vAlign w:val="bottom"/>
            <w:gridSpan w:val="25"/>
          </w:tcPr>
          <w:p>
            <w:pPr>
              <w:spacing w:after="0"/>
              <w:rPr>
                <w:rFonts w:ascii="Arial" w:cs="Arial" w:eastAsia="Arial" w:hAnsi="Arial"/>
                <w:sz w:val="18"/>
                <w:szCs w:val="18"/>
                <w:color w:val="0000FF"/>
              </w:rPr>
            </w:pPr>
            <w:hyperlink r:id="rId55">
              <w:r>
                <w:rPr>
                  <w:rFonts w:ascii="Arial" w:cs="Arial" w:eastAsia="Arial" w:hAnsi="Arial"/>
                  <w:sz w:val="18"/>
                  <w:szCs w:val="18"/>
                  <w:color w:val="0000FF"/>
                </w:rPr>
                <w:t>Our Bylaws, as amended through February 23, 2021 (incorporated by reference from our Form 8-k, filed March 1, 2021).</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10040" w:type="dxa"/>
            <w:vAlign w:val="bottom"/>
            <w:tcBorders>
              <w:bottom w:val="single" w:sz="8" w:color="0000FF"/>
            </w:tcBorders>
            <w:gridSpan w:val="21"/>
          </w:tcPr>
          <w:p>
            <w:pPr>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Form of stock certificate for common stock (incorporated by reference to Exhibit 4 to the Company's 1998 Form 10-K, filed May 6, 1999).</w:t>
              </w:r>
            </w:hyperlink>
          </w:p>
        </w:tc>
        <w:tc>
          <w:tcPr>
            <w:tcW w:w="1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10180" w:type="dxa"/>
            <w:vAlign w:val="bottom"/>
            <w:gridSpan w:val="25"/>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Article 5, 6, 8(c) and 9 of our Amended and Restated Articles of Incorporation (incorporated by reference to Exhibit 3.1 to the Company's</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9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Form 10-Q report for the quarter ended June 30, 2020, filed July 24,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18"/>
                <w:szCs w:val="18"/>
                <w:color w:val="auto"/>
              </w:rPr>
            </w:pPr>
          </w:p>
        </w:tc>
        <w:tc>
          <w:tcPr>
            <w:tcW w:w="10040" w:type="dxa"/>
            <w:vAlign w:val="bottom"/>
            <w:tcBorders>
              <w:bottom w:val="single" w:sz="8" w:color="0000FF"/>
            </w:tcBorders>
            <w:gridSpan w:val="21"/>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Article I and V of our Bylaws, as amended through February 23, 2021 (incorporated by reference from our Form 8-k, filed March 1, 2021).</w:t>
              </w:r>
            </w:hyperlink>
          </w:p>
        </w:tc>
        <w:tc>
          <w:tcPr>
            <w:tcW w:w="1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0" w:type="dxa"/>
            <w:vAlign w:val="bottom"/>
          </w:tcPr>
          <w:p>
            <w:pPr>
              <w:spacing w:after="0" w:line="250" w:lineRule="exact"/>
              <w:rPr>
                <w:sz w:val="20"/>
                <w:szCs w:val="20"/>
                <w:color w:val="auto"/>
              </w:rPr>
            </w:pPr>
            <w:r>
              <w:rPr>
                <w:rFonts w:ascii="Arial" w:cs="Arial" w:eastAsia="Arial" w:hAnsi="Arial"/>
                <w:sz w:val="18"/>
                <w:szCs w:val="18"/>
                <w:color w:val="auto"/>
              </w:rPr>
              <w:t xml:space="preserve">4.4 </w:t>
            </w:r>
            <w:r>
              <w:rPr>
                <w:rFonts w:ascii="Arial" w:cs="Arial" w:eastAsia="Arial" w:hAnsi="Arial"/>
                <w:sz w:val="23"/>
                <w:szCs w:val="23"/>
                <w:color w:val="auto"/>
                <w:vertAlign w:val="superscript"/>
              </w:rPr>
              <w:t>(1)</w:t>
            </w:r>
          </w:p>
        </w:tc>
        <w:tc>
          <w:tcPr>
            <w:tcW w:w="420" w:type="dxa"/>
            <w:vAlign w:val="bottom"/>
          </w:tcPr>
          <w:p>
            <w:pPr>
              <w:spacing w:after="0"/>
              <w:rPr>
                <w:sz w:val="21"/>
                <w:szCs w:val="21"/>
                <w:color w:val="auto"/>
              </w:rPr>
            </w:pPr>
          </w:p>
        </w:tc>
        <w:tc>
          <w:tcPr>
            <w:tcW w:w="10180" w:type="dxa"/>
            <w:vAlign w:val="bottom"/>
            <w:gridSpan w:val="25"/>
          </w:tcPr>
          <w:p>
            <w:pPr>
              <w:spacing w:after="0"/>
              <w:rPr>
                <w:sz w:val="20"/>
                <w:szCs w:val="20"/>
                <w:color w:val="auto"/>
              </w:rPr>
            </w:pPr>
            <w:r>
              <w:rPr>
                <w:rFonts w:ascii="Arial" w:cs="Arial" w:eastAsia="Arial" w:hAnsi="Arial"/>
                <w:sz w:val="18"/>
                <w:szCs w:val="18"/>
                <w:color w:val="auto"/>
              </w:rPr>
              <w:t>Instruments defining the rights of holders of long-term debt securities of West and its subsidiaries have been omitted.</w:t>
            </w:r>
          </w:p>
        </w:tc>
        <w:tc>
          <w:tcPr>
            <w:tcW w:w="0" w:type="dxa"/>
            <w:vAlign w:val="bottom"/>
          </w:tcPr>
          <w:p>
            <w:pPr>
              <w:spacing w:after="0"/>
              <w:rPr>
                <w:sz w:val="1"/>
                <w:szCs w:val="1"/>
                <w:color w:val="auto"/>
              </w:rPr>
            </w:pPr>
          </w:p>
        </w:tc>
      </w:tr>
      <w:tr>
        <w:trPr>
          <w:trHeight w:val="190"/>
        </w:trPr>
        <w:tc>
          <w:tcPr>
            <w:tcW w:w="64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420" w:type="dxa"/>
            <w:vAlign w:val="bottom"/>
          </w:tcPr>
          <w:p>
            <w:pPr>
              <w:spacing w:after="0"/>
              <w:rPr>
                <w:sz w:val="16"/>
                <w:szCs w:val="16"/>
                <w:color w:val="auto"/>
              </w:rPr>
            </w:pPr>
          </w:p>
        </w:tc>
        <w:tc>
          <w:tcPr>
            <w:tcW w:w="10180" w:type="dxa"/>
            <w:vAlign w:val="bottom"/>
            <w:gridSpan w:val="25"/>
          </w:tcPr>
          <w:p>
            <w:pPr>
              <w:spacing w:after="0" w:line="190"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Credit Agreement, dated as of March 28, 2019, between West, certain of its subsidiaries, the lenders party thereto from time to time, Bank of</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140" w:type="dxa"/>
            <w:vAlign w:val="bottom"/>
            <w:tcBorders>
              <w:top w:val="single" w:sz="8" w:color="0000FF"/>
            </w:tcBorders>
            <w:gridSpan w:val="23"/>
          </w:tcPr>
          <w:p>
            <w:pPr>
              <w:spacing w:after="0" w:line="156" w:lineRule="exact"/>
              <w:rPr>
                <w:rFonts w:ascii="Arial" w:cs="Arial" w:eastAsia="Arial" w:hAnsi="Arial"/>
                <w:sz w:val="18"/>
                <w:szCs w:val="18"/>
                <w:color w:val="0000FF"/>
                <w:w w:val="94"/>
              </w:rPr>
            </w:pPr>
            <w:hyperlink r:id="rId57">
              <w:r>
                <w:rPr>
                  <w:rFonts w:ascii="Arial" w:cs="Arial" w:eastAsia="Arial" w:hAnsi="Arial"/>
                  <w:sz w:val="18"/>
                  <w:szCs w:val="18"/>
                  <w:color w:val="0000FF"/>
                  <w:w w:val="94"/>
                </w:rPr>
                <w:t>America, N.A., as Administrative Agent, Swing Line Lender and an Issuing Lender; Merrill Lynch, Pierce, Fenner &amp; Smith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92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Wells Fargo Securities, LLC, MUFG Bank, Ltd., and JPMorgan Chase Bank, N.A., as Joint Lead Arrangers and Joint Bookrunners, and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78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Wells Fargo Bank, National Association, MUFG Bank, Ltd., and JPMorgan Chase Bank, N.A., as Co-Syndication Agents (incorporated</w:t>
              </w:r>
            </w:hyperlink>
          </w:p>
        </w:tc>
        <w:tc>
          <w:tcPr>
            <w:tcW w:w="400" w:type="dxa"/>
            <w:vAlign w:val="bottom"/>
            <w:gridSpan w:val="13"/>
          </w:tcPr>
          <w:p>
            <w:pPr>
              <w:ind w:left="40"/>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by</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reference from our Form 8-k, filed April 1,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18"/>
                <w:szCs w:val="18"/>
                <w:color w:val="auto"/>
              </w:rPr>
            </w:pPr>
          </w:p>
        </w:tc>
        <w:tc>
          <w:tcPr>
            <w:tcW w:w="10180" w:type="dxa"/>
            <w:vAlign w:val="bottom"/>
            <w:gridSpan w:val="25"/>
          </w:tcPr>
          <w:p>
            <w:pPr>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LIBOR Transition Amendment to the Credit Agreement, dated as of March 28, 2019, between West, each of the lenders party thereto from</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42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180" w:type="dxa"/>
            <w:vAlign w:val="bottom"/>
            <w:gridSpan w:val="25"/>
          </w:tcPr>
          <w:p>
            <w:pPr>
              <w:spacing w:after="0" w:line="15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time to time, and Bank of America, N.A (incorporated by reference to Exhibit 10.1 to the Company's Form 10-Q report for the quarter ended</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1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September 30, 2021, filed October 28,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8"/>
                <w:szCs w:val="18"/>
                <w:color w:val="auto"/>
              </w:rPr>
            </w:pPr>
          </w:p>
        </w:tc>
        <w:tc>
          <w:tcPr>
            <w:tcW w:w="10180" w:type="dxa"/>
            <w:vAlign w:val="bottom"/>
            <w:gridSpan w:val="25"/>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Credit Agreement Second Amendment and Joinder and Assumption Agreement, dated as of March 31, 2022, between West, certain of its</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subsidiaries, the lenders party thereto from time-to-time, Bank of America, N.A., as Administrative Agent, Swing Line Lender and an</w:t>
              </w:r>
            </w:hyperlink>
          </w:p>
        </w:tc>
        <w:tc>
          <w:tcPr>
            <w:tcW w:w="240" w:type="dxa"/>
            <w:vAlign w:val="bottom"/>
            <w:tcBorders>
              <w:top w:val="single" w:sz="8" w:color="0000FF"/>
            </w:tcBorders>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180" w:type="dxa"/>
            <w:vAlign w:val="bottom"/>
            <w:gridSpan w:val="25"/>
          </w:tcPr>
          <w:p>
            <w:pPr>
              <w:spacing w:after="0" w:line="15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Issuing Lender; BOFA Securities, Inc., Wells Fargo Securities, LLC, U.S. Bank National Association, and JPMorgan Chase Bank, N.A., as</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4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Joint Lead Arrangers and Joint Bookrunners, and Wells Fargo Bank, National Association, U.S. Bank National Association, and JPMorgan</w:t>
              </w:r>
            </w:hyperlink>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Chase Bank, N.A., as Co-Syndication Agents (incorporated by reference from our Form 8-k, filed April 1, 2022).</w:t>
              </w:r>
            </w:hyperlink>
          </w:p>
        </w:tc>
        <w:tc>
          <w:tcPr>
            <w:tcW w:w="1860" w:type="dxa"/>
            <w:vAlign w:val="bottom"/>
            <w:tcBorders>
              <w:top w:val="single" w:sz="8" w:color="0000FF"/>
            </w:tcBorders>
            <w:gridSpan w:val="10"/>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8"/>
                <w:szCs w:val="18"/>
                <w:color w:val="auto"/>
              </w:rPr>
            </w:pPr>
          </w:p>
        </w:tc>
        <w:tc>
          <w:tcPr>
            <w:tcW w:w="754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Certification by the Chief Executive Officer Pursuant to Section 302 of the Sarbanes-Oxley Act of 2002.</w:t>
              </w:r>
            </w:hyperlink>
          </w:p>
        </w:tc>
        <w:tc>
          <w:tcPr>
            <w:tcW w:w="264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18"/>
                <w:szCs w:val="18"/>
                <w:color w:val="auto"/>
              </w:rPr>
            </w:pPr>
          </w:p>
        </w:tc>
        <w:tc>
          <w:tcPr>
            <w:tcW w:w="10180" w:type="dxa"/>
            <w:vAlign w:val="bottom"/>
            <w:gridSpan w:val="25"/>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 by the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580" w:type="dxa"/>
            <w:vAlign w:val="bottom"/>
            <w:gridSpan w:val="5"/>
            <w:shd w:val="clear" w:color="auto" w:fill="0000FF"/>
          </w:tcPr>
          <w:p>
            <w:pPr>
              <w:spacing w:after="0" w:line="20" w:lineRule="exact"/>
              <w:rPr>
                <w:sz w:val="1"/>
                <w:szCs w:val="1"/>
                <w:color w:val="auto"/>
              </w:rPr>
            </w:pPr>
          </w:p>
        </w:tc>
        <w:tc>
          <w:tcPr>
            <w:tcW w:w="256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18"/>
                <w:szCs w:val="18"/>
                <w:color w:val="auto"/>
              </w:rPr>
            </w:pPr>
          </w:p>
        </w:tc>
        <w:tc>
          <w:tcPr>
            <w:tcW w:w="10180" w:type="dxa"/>
            <w:vAlign w:val="bottom"/>
            <w:gridSpan w:val="25"/>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by the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47">
              <w:r>
                <w:rPr>
                  <w:rFonts w:ascii="Arial" w:cs="Arial" w:eastAsia="Arial" w:hAnsi="Arial"/>
                  <w:sz w:val="18"/>
                  <w:szCs w:val="18"/>
                  <w:color w:val="0000FF"/>
                </w:rPr>
                <w:t>Act of 2002.</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140" w:type="dxa"/>
            <w:vAlign w:val="bottom"/>
            <w:gridSpan w:val="1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18"/>
                <w:szCs w:val="18"/>
                <w:color w:val="auto"/>
              </w:rPr>
            </w:pPr>
          </w:p>
        </w:tc>
        <w:tc>
          <w:tcPr>
            <w:tcW w:w="10180" w:type="dxa"/>
            <w:vAlign w:val="bottom"/>
            <w:gridSpan w:val="25"/>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Certification by the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Act of 2002.</w:t>
              </w:r>
            </w:hyperlink>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28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80" w:type="dxa"/>
            <w:vAlign w:val="bottom"/>
            <w:gridSpan w:val="25"/>
          </w:tcPr>
          <w:p>
            <w:pPr>
              <w:spacing w:after="0"/>
              <w:rPr>
                <w:sz w:val="20"/>
                <w:szCs w:val="20"/>
                <w:color w:val="auto"/>
              </w:rPr>
            </w:pPr>
            <w:r>
              <w:rPr>
                <w:rFonts w:ascii="Arial" w:cs="Arial" w:eastAsia="Arial" w:hAnsi="Arial"/>
                <w:sz w:val="18"/>
                <w:szCs w:val="18"/>
                <w:color w:val="auto"/>
                <w:w w:val="92"/>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2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2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2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2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2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080" w:hanging="1054"/>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the Exhibit 101 Inline XBRL Document Set.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right="40" w:firstLine="8"/>
        <w:spacing w:after="0" w:line="584" w:lineRule="auto"/>
        <w:tabs>
          <w:tab w:leader="none" w:pos="181"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We agree to furnish to the SEC, upon request, a copy of each instrument with respect to issuances of long-term debt of the Company and its subsidiaries.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-1024890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20" w:top="130"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Chair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2022</w:t>
      </w:r>
    </w:p>
    <w:p>
      <w:pPr>
        <w:sectPr>
          <w:pgSz w:w="11900" w:h="16838" w:orient="portrait"/>
          <w:cols w:equalWidth="0" w:num="1">
            <w:col w:w="11240"/>
          </w:cols>
          <w:pgMar w:left="320" w:top="141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Bernard J. Birkett, certify that:</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and Operations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2022</w:t>
      </w:r>
    </w:p>
    <w:p>
      <w:pPr>
        <w:sectPr>
          <w:pgSz w:w="11900" w:h="16838" w:orient="portrait"/>
          <w:cols w:equalWidth="0" w:num="1">
            <w:col w:w="11240"/>
          </w:cols>
          <w:pgMar w:left="320" w:top="141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on Form 10-Q of West Pharmaceutical Services, Inc. (the “Company”) for the period ended June 30, 2022, as filed with the Securities and Exchange Commission on the date hereof (the “Report”), I, Eric M. Green, President and Chief Executive Officer, Chair of the Board of Directors of the Company, certify, pursuant to 18 U.S.C. Section 1350, as adopted pursuant to Section 906 of the Sarbanes-Oxley Act of 2002, that:</w:t>
      </w:r>
    </w:p>
    <w:p>
      <w:pPr>
        <w:spacing w:after="0" w:line="214"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Chair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2022</w:t>
      </w:r>
    </w:p>
    <w:p>
      <w:pPr>
        <w:sectPr>
          <w:pgSz w:w="11900" w:h="16838" w:orient="portrait"/>
          <w:cols w:equalWidth="0" w:num="1">
            <w:col w:w="11240"/>
          </w:cols>
          <w:pgMar w:left="320" w:top="141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on Form 10-Q of West Pharmaceutical Services, Inc. (the “Company”) for the period ended June 30, 2022, as filed with the Securities and Exchange Commission on the date hereof (the “Report”), I, Bernard J. Birkett, Senior Vice President, Chief Financial and Operations Officer of the Company, certify, pursuant to 18 U.S.C. Section 1350, as adopted pursuant to Section 906 of the Sarbanes-Oxley Act of 2002, that:</w:t>
      </w:r>
    </w:p>
    <w:p>
      <w:pPr>
        <w:spacing w:after="0" w:line="214"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and Operations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2022</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2"/>
    </w:lvl>
  </w:abstractNum>
  <w:abstractNum w:abstractNumId="8">
    <w:nsid w:val="109CF92E"/>
    <w:multiLevelType w:val="hybridMultilevel"/>
    <w:lvl w:ilvl="0">
      <w:lvlJc w:val="left"/>
      <w:lvlText w:val="(%1)"/>
      <w:numFmt w:val="decimal"/>
      <w:start w:val="3"/>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lvl w:ilvl="1">
      <w:lvlJc w:val="left"/>
      <w:lvlText w:val="%2"/>
      <w:numFmt w:val="decimal"/>
      <w:start w:val="104"/>
    </w:lvl>
  </w:abstractNum>
  <w:abstractNum w:abstractNumId="13">
    <w:nsid w:val="6B68079A"/>
    <w:multiLevelType w:val="hybridMultilevel"/>
    <w:lvl w:ilvl="0">
      <w:lvlJc w:val="left"/>
      <w:lvlText w:val="(%1)"/>
      <w:numFmt w:val="decimal"/>
      <w:start w:val="1"/>
    </w:lvl>
    <w:lvl w:ilvl="1">
      <w:lvlJc w:val="left"/>
      <w:lvlText w:val="%2"/>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60" Type="http://schemas.openxmlformats.org/officeDocument/2006/relationships/image" Target="media/image46.png"/><Relationship Id="rId16" Type="http://schemas.openxmlformats.org/officeDocument/2006/relationships/hyperlink" Target="https://www.sec.gov/ix?doc=/Archives/edgar/data/105770/000162828022003342/wst-20211231.htm" TargetMode="External"/><Relationship Id="rId54" Type="http://schemas.openxmlformats.org/officeDocument/2006/relationships/hyperlink" Target="https://www.sec.gov/Archives/edgar/data/105770/000010577020000045/ex31articlesofincorpor.htm" TargetMode="External"/><Relationship Id="rId55" Type="http://schemas.openxmlformats.org/officeDocument/2006/relationships/hyperlink" Target="https://www.sec.gov/Archives/edgar/data/105770/000010577021000014/wpsbylawamendmentsfinalfeb.htm" TargetMode="External"/><Relationship Id="rId56" Type="http://schemas.openxmlformats.org/officeDocument/2006/relationships/hyperlink" Target="http://www.sec.gov/Archives/edgar/data/105770/0000105770-99-000016-index.html" TargetMode="External"/><Relationship Id="rId57" Type="http://schemas.openxmlformats.org/officeDocument/2006/relationships/hyperlink" Target="https://www.sec.gov/Archives/edgar/data/105770/000010577019000016/exh101march282019creditagr.htm" TargetMode="External"/><Relationship Id="rId58" Type="http://schemas.openxmlformats.org/officeDocument/2006/relationships/hyperlink" Target="https://www.sec.gov/Archives/edgar/data/105770/000010577021000083/char1-1826719v3xlibortrans.htm" TargetMode="External"/><Relationship Id="rId59" Type="http://schemas.openxmlformats.org/officeDocument/2006/relationships/hyperlink" Target="https://www.sec.gov/Archives/edgar/data/105770/000010577022000010/compiledsecondamendment-w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2022-07-28T15:20:02Z</dcterms:created>
  <dcterms:modified xsi:type="dcterms:W3CDTF">2022-07-28T15:20:02Z</dcterms:modified>
</cp:coreProperties>
</file>