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641350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-121285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1" w:lineRule="exact"/>
        <w:rPr>
          <w:sz w:val="24"/>
          <w:szCs w:val="24"/>
          <w:color w:val="auto"/>
        </w:rPr>
      </w:pPr>
    </w:p>
    <w:p>
      <w:pPr>
        <w:ind w:left="480" w:hanging="31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or</w:t>
      </w:r>
    </w:p>
    <w:p>
      <w:pPr>
        <w:ind w:left="480" w:hanging="311"/>
        <w:spacing w:after="0" w:line="193" w:lineRule="auto"/>
        <w:tabs>
          <w:tab w:leader="none" w:pos="480" w:val="left"/>
        </w:tabs>
        <w:numPr>
          <w:ilvl w:val="0"/>
          <w:numId w:val="2"/>
        </w:numPr>
        <w:rPr>
          <w:rFonts w:ascii="MS PGothic" w:cs="MS PGothic" w:eastAsia="MS PGothic" w:hAnsi="MS PGothic"/>
          <w:sz w:val="4"/>
          <w:szCs w:val="4"/>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w:t>
      </w:r>
    </w:p>
    <w:p>
      <w:pPr>
        <w:spacing w:after="0" w:line="221" w:lineRule="exact"/>
        <w:rPr>
          <w:sz w:val="24"/>
          <w:szCs w:val="24"/>
          <w:color w:val="auto"/>
        </w:rPr>
      </w:pPr>
    </w:p>
    <w:p>
      <w:pPr>
        <w:ind w:left="44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Commission File Number 1-8036</w:t>
      </w:r>
    </w:p>
    <w:p>
      <w:pPr>
        <w:spacing w:after="0" w:line="2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WEST PHARMACEUTICAL SERVICES, INC.</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120"/>
          </w:cols>
          <w:pgMar w:left="300" w:top="1038" w:right="479" w:bottom="1440" w:gutter="0" w:footer="0" w:header="0"/>
        </w:sectPr>
      </w:pPr>
    </w:p>
    <w:p>
      <w:pPr>
        <w:spacing w:after="0" w:line="2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Pennsylvania</w:t>
      </w:r>
    </w:p>
    <w:p>
      <w:pPr>
        <w:spacing w:after="0" w:line="2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23-1210010</w:t>
      </w:r>
    </w:p>
    <w:p>
      <w:pPr>
        <w:spacing w:after="0" w:line="25"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41" w:lineRule="exact"/>
        <w:rPr>
          <w:sz w:val="24"/>
          <w:szCs w:val="24"/>
          <w:color w:val="auto"/>
        </w:rPr>
      </w:pPr>
    </w:p>
    <w:p>
      <w:pPr>
        <w:sectPr>
          <w:pgSz w:w="11900" w:h="16838" w:orient="portrait"/>
          <w:cols w:equalWidth="0" w:num="2">
            <w:col w:w="6640" w:space="720"/>
            <w:col w:w="3760"/>
          </w:cols>
          <w:pgMar w:left="300" w:top="1038" w:right="47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b w:val="1"/>
          <w:bCs w:val="1"/>
          <w:color w:val="auto"/>
        </w:rPr>
        <w:t>530 Herman O. West Drive, Exton, PA</w:t>
      </w:r>
    </w:p>
    <w:p>
      <w:pPr>
        <w:spacing w:after="0" w:line="25"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19341-1147</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460" w:space="720"/>
            <w:col w:w="2940"/>
          </w:cols>
          <w:pgMar w:left="300" w:top="1038" w:right="479" w:bottom="1440" w:gutter="0" w:footer="0" w:header="0"/>
          <w:type w:val="continuous"/>
        </w:sectPr>
      </w:pP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610-594-2900</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120"/>
          </w:cols>
          <w:pgMar w:left="300" w:top="1038" w:right="479" w:bottom="1440" w:gutter="0" w:footer="0" w:header="0"/>
          <w:type w:val="continuous"/>
        </w:sectPr>
      </w:pPr>
    </w:p>
    <w:p>
      <w:pPr>
        <w:spacing w:after="0" w:line="39"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5"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4"/>
          <w:szCs w:val="14"/>
          <w:color w:val="auto"/>
        </w:rPr>
        <w:t>Common Stock, par value $0.25 per share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WST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164" w:lineRule="exact"/>
        <w:rPr>
          <w:sz w:val="24"/>
          <w:szCs w:val="24"/>
          <w:color w:val="auto"/>
        </w:rPr>
      </w:pPr>
    </w:p>
    <w:p>
      <w:pPr>
        <w:sectPr>
          <w:pgSz w:w="11900" w:h="16838" w:orient="portrait"/>
          <w:cols w:equalWidth="0" w:num="3">
            <w:col w:w="4420" w:space="720"/>
            <w:col w:w="1760" w:space="720"/>
            <w:col w:w="3500"/>
          </w:cols>
          <w:pgMar w:left="300" w:top="103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20" w:lineRule="exact"/>
        <w:rPr>
          <w:sz w:val="24"/>
          <w:szCs w:val="24"/>
          <w:color w:val="auto"/>
        </w:rPr>
      </w:pPr>
    </w:p>
    <w:p>
      <w:pPr>
        <w:spacing w:after="0" w:line="161" w:lineRule="exact"/>
        <w:tabs>
          <w:tab w:leader="none" w:pos="8220" w:val="left"/>
          <w:tab w:leader="none" w:pos="8740" w:val="left"/>
        </w:tabs>
        <w:rPr>
          <w:sz w:val="20"/>
          <w:szCs w:val="20"/>
          <w:color w:val="auto"/>
        </w:rPr>
      </w:pPr>
      <w:r>
        <w:rPr>
          <w:rFonts w:ascii="Times New Roman" w:cs="Times New Roman" w:eastAsia="Times New Roman" w:hAnsi="Times New Roman"/>
          <w:sz w:val="14"/>
          <w:szCs w:val="14"/>
          <w:color w:val="auto"/>
        </w:rPr>
        <w:t>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20" w:lineRule="exact"/>
        <w:rPr>
          <w:sz w:val="24"/>
          <w:szCs w:val="24"/>
          <w:color w:val="auto"/>
        </w:rPr>
      </w:pPr>
    </w:p>
    <w:p>
      <w:pPr>
        <w:spacing w:after="0" w:line="161" w:lineRule="exact"/>
        <w:tabs>
          <w:tab w:leader="none" w:pos="7080" w:val="left"/>
          <w:tab w:leader="none" w:pos="760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3" w:lineRule="exact"/>
        <w:rPr>
          <w:sz w:val="24"/>
          <w:szCs w:val="24"/>
          <w:color w:val="auto"/>
        </w:rPr>
      </w:pPr>
    </w:p>
    <w:p>
      <w:pPr>
        <w:ind w:right="46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167"/>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w:t>
      </w:r>
    </w:p>
    <w:p>
      <w:pPr>
        <w:spacing w:after="0" w:line="20" w:lineRule="exact"/>
        <w:rPr>
          <w:sz w:val="24"/>
          <w:szCs w:val="24"/>
          <w:color w:val="auto"/>
        </w:rPr>
      </w:pPr>
    </w:p>
    <w:p>
      <w:pPr>
        <w:spacing w:after="0" w:line="161" w:lineRule="exact"/>
        <w:tabs>
          <w:tab w:leader="none" w:pos="5080" w:val="left"/>
        </w:tabs>
        <w:rPr>
          <w:sz w:val="20"/>
          <w:szCs w:val="20"/>
          <w:color w:val="auto"/>
        </w:rPr>
      </w:pPr>
      <w:r>
        <w:rPr>
          <w:rFonts w:ascii="Times New Roman" w:cs="Times New Roman" w:eastAsia="Times New Roman" w:hAnsi="Times New Roman"/>
          <w:sz w:val="14"/>
          <w:szCs w:val="14"/>
          <w:color w:val="auto"/>
        </w:rPr>
        <w:t>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p>
    <w:p>
      <w:pPr>
        <w:ind w:left="6120"/>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18, 2024, there were 72,843,157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379730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03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258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180" w:type="dxa"/>
            <w:vAlign w:val="bottom"/>
          </w:tcPr>
          <w:p>
            <w:pPr>
              <w:spacing w:after="0"/>
              <w:rPr>
                <w:sz w:val="13"/>
                <w:szCs w:val="13"/>
                <w:color w:val="auto"/>
              </w:rPr>
            </w:pP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FINANCIAL STATEMENTS (UNAUDITED)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Income for the Three Months ended March 31, 2024 and 2023</w:t>
            </w:r>
          </w:p>
        </w:tc>
        <w:tc>
          <w:tcPr>
            <w:tcW w:w="1680" w:type="dxa"/>
            <w:vAlign w:val="bottom"/>
            <w:gridSpan w:val="3"/>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Comprehensive Income for the Three Months ended March 31, 2024 and 2023</w:t>
            </w:r>
          </w:p>
        </w:tc>
        <w:tc>
          <w:tcPr>
            <w:tcW w:w="700" w:type="dxa"/>
            <w:vAlign w:val="bottom"/>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Balance Sheets at March 31, 2024 and December 31, 2023</w:t>
            </w:r>
          </w:p>
        </w:tc>
        <w:tc>
          <w:tcPr>
            <w:tcW w:w="210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Cash Flows for the Three Months ended March 31, 2024 and 2023</w:t>
            </w: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6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FF"/>
              </w:rPr>
              <w:t>Notes to Condensed Consolidated Financial Statements</w:t>
            </w:r>
          </w:p>
        </w:tc>
        <w:tc>
          <w:tcPr>
            <w:tcW w:w="1440" w:type="dxa"/>
            <w:vAlign w:val="bottom"/>
            <w:gridSpan w:val="2"/>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w:t>
            </w: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23</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top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b w:val="1"/>
                <w:bCs w:val="1"/>
                <w:color w:val="0000FF"/>
              </w:rPr>
              <w:t>OPERATIONS</w:t>
            </w:r>
          </w:p>
        </w:tc>
        <w:tc>
          <w:tcPr>
            <w:tcW w:w="5320" w:type="dxa"/>
            <w:vAlign w:val="bottom"/>
            <w:tcBorders>
              <w:top w:val="single" w:sz="8" w:color="0000FF"/>
            </w:tcBorders>
            <w:gridSpan w:val="9"/>
          </w:tcPr>
          <w:p>
            <w:pPr>
              <w:spacing w:after="0"/>
              <w:rPr>
                <w:sz w:val="10"/>
                <w:szCs w:val="10"/>
                <w:color w:val="auto"/>
              </w:rPr>
            </w:pPr>
          </w:p>
        </w:tc>
        <w:tc>
          <w:tcPr>
            <w:tcW w:w="1440" w:type="dxa"/>
            <w:vAlign w:val="bottom"/>
            <w:gridSpan w:val="2"/>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w w:val="98"/>
              </w:rPr>
              <w:t>QUANTITATIVE AND QUALITATIVE DISCLOSURES ABOUT MARKET RISK</w:t>
            </w:r>
          </w:p>
        </w:tc>
        <w:tc>
          <w:tcPr>
            <w:tcW w:w="2780" w:type="dxa"/>
            <w:vAlign w:val="bottom"/>
            <w:gridSpan w:val="4"/>
          </w:tcPr>
          <w:p>
            <w:pPr>
              <w:spacing w:after="0"/>
              <w:rPr>
                <w:sz w:val="14"/>
                <w:szCs w:val="1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CONTROLS AND PROCEDURES</w:t>
            </w:r>
          </w:p>
        </w:tc>
        <w:tc>
          <w:tcPr>
            <w:tcW w:w="2780" w:type="dxa"/>
            <w:vAlign w:val="bottom"/>
            <w:gridSpan w:val="4"/>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34</w:t>
            </w:r>
          </w:p>
        </w:tc>
        <w:tc>
          <w:tcPr>
            <w:tcW w:w="0" w:type="dxa"/>
            <w:vAlign w:val="bottom"/>
          </w:tcPr>
          <w:p>
            <w:pPr>
              <w:spacing w:after="0"/>
              <w:rPr>
                <w:sz w:val="1"/>
                <w:szCs w:val="1"/>
                <w:color w:val="auto"/>
              </w:rPr>
            </w:pPr>
          </w:p>
        </w:tc>
      </w:tr>
      <w:tr>
        <w:trPr>
          <w:trHeight w:val="341"/>
        </w:trPr>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400" w:type="dxa"/>
            <w:vAlign w:val="bottom"/>
            <w:gridSpan w:val="2"/>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RISK FACTORS</w:t>
            </w:r>
          </w:p>
        </w:tc>
        <w:tc>
          <w:tcPr>
            <w:tcW w:w="6240" w:type="dxa"/>
            <w:vAlign w:val="bottom"/>
            <w:gridSpan w:val="10"/>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UNREGISTERED SALES OF EQUITY SECURITIES AND USE OF PROCEEDS</w:t>
            </w:r>
          </w:p>
        </w:tc>
        <w:tc>
          <w:tcPr>
            <w:tcW w:w="2780" w:type="dxa"/>
            <w:vAlign w:val="bottom"/>
            <w:gridSpan w:val="4"/>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2780" w:type="dxa"/>
            <w:vAlign w:val="bottom"/>
            <w:gridSpan w:val="4"/>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1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EXHIBITS</w:t>
            </w:r>
          </w:p>
        </w:tc>
        <w:tc>
          <w:tcPr>
            <w:tcW w:w="6220" w:type="dxa"/>
            <w:vAlign w:val="bottom"/>
            <w:gridSpan w:val="9"/>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SIGNATURE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38</w:t>
            </w: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127" w:right="8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38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w:t>
            </w: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w:t>
            </w:r>
          </w:p>
        </w:tc>
      </w:tr>
      <w:tr>
        <w:trPr>
          <w:trHeight w:val="171"/>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bl>
    <w:p>
      <w:pPr>
        <w:spacing w:after="0" w:line="1" w:lineRule="exact"/>
        <w:rPr>
          <w:sz w:val="20"/>
          <w:szCs w:val="20"/>
          <w:color w:val="auto"/>
        </w:rPr>
      </w:pPr>
    </w:p>
    <w:p>
      <w:pPr>
        <w:sectPr>
          <w:pgSz w:w="11900" w:h="16838" w:orient="portrait"/>
          <w:cols w:equalWidth="0" w:num="1">
            <w:col w:w="11280"/>
          </w:cols>
          <w:pgMar w:left="300" w:top="127"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Other expense (income)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Operating profit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20" w:right="3040" w:firstLine="255"/>
        <w:spacing w:after="0" w:line="271" w:lineRule="auto"/>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15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Equity in net income of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Net income</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1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Diluted</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1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80"/>
        </w:trPr>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84"/>
        </w:trPr>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67"/>
        </w:trPr>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r>
      <w:tr>
        <w:trPr>
          <w:trHeight w:val="180"/>
        </w:trPr>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4"/>
        </w:trPr>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7"/>
        </w:trPr>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r>
      <w:tr>
        <w:trPr>
          <w:trHeight w:val="180"/>
        </w:trPr>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4"/>
        </w:trPr>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34"/>
        </w:trPr>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34"/>
        </w:trPr>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80"/>
          </w:cols>
          <w:pgMar w:left="300" w:top="127" w:right="31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 net of tax of $1.0 and $0.2</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Defined benefit pension and other postretirement plan adjustments, net of tax of $0.0 and $(0.2)</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on equity affiliate accumulated other comprehensive income, net of tax of $0.0 and $0.0</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loss on derivatives, net of tax of $(0.7) and $(0.1)</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 Pharmaceutical Services, Inc. and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1,936.4</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2,738.0</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1,324.7</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1,413.3</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in affiliated companies</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9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08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3,602.3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3,829.5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8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 AND EQUITY</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and other current debt</w:t>
            </w: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salaries, wages and benefits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Pension and other postretirement benefits</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benefits</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948.5</w:t>
            </w:r>
          </w:p>
        </w:tc>
        <w:tc>
          <w:tcPr>
            <w:tcW w:w="0" w:type="dxa"/>
            <w:vAlign w:val="bottom"/>
          </w:tcPr>
          <w:p>
            <w:pPr>
              <w:spacing w:after="0"/>
              <w:rPr>
                <w:sz w:val="1"/>
                <w:szCs w:val="1"/>
                <w:color w:val="auto"/>
              </w:rPr>
            </w:pPr>
          </w:p>
        </w:tc>
      </w:tr>
      <w:tr>
        <w:trPr>
          <w:trHeight w:val="100"/>
        </w:trPr>
        <w:tc>
          <w:tcPr>
            <w:tcW w:w="80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0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3.0 million shares authorized; 0 shares issued and outstanding</w:t>
            </w:r>
          </w:p>
        </w:tc>
        <w:tc>
          <w:tcPr>
            <w:tcW w:w="10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804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auto"/>
              </w:rPr>
              <w:t>Common stock, par value $0.25 per share; 200.0 million shares authorized; shares issued: 75.3 million as of March 31, 2024 and December 31,</w:t>
            </w:r>
          </w:p>
        </w:tc>
        <w:tc>
          <w:tcPr>
            <w:tcW w:w="10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7"/>
        </w:trPr>
        <w:tc>
          <w:tcPr>
            <w:tcW w:w="80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2023, respectively; shares outstanding: 73.0 million and 73.5 million as of March 31, 2024 and December 31, 2023, respectively</w:t>
            </w:r>
          </w:p>
        </w:tc>
        <w:tc>
          <w:tcPr>
            <w:tcW w:w="10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3,523.4</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Treasury stock, at cost (2.3 million and 1.8 million shares)</w:t>
            </w: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(637.6)</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2,680.6</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2,881.0</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0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3,602.3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Amortization</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on disposal of plant</w:t>
            </w:r>
          </w:p>
        </w:tc>
        <w:tc>
          <w:tcPr>
            <w:tcW w:w="10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 impairments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non-cash items, net</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65"/>
        </w:trPr>
        <w:tc>
          <w:tcPr>
            <w:tcW w:w="8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65"/>
        </w:trPr>
        <w:tc>
          <w:tcPr>
            <w:tcW w:w="8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 payments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stock-based compensation awards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 contributions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repurchased for employee tax withholdings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27"/>
        </w:trPr>
        <w:tc>
          <w:tcPr>
            <w:tcW w:w="8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beginning of period</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end of period</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886.3</w:t>
            </w:r>
          </w:p>
        </w:tc>
      </w:tr>
      <w:tr>
        <w:trPr>
          <w:trHeight w:val="20"/>
        </w:trPr>
        <w:tc>
          <w:tcPr>
            <w:tcW w:w="8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 and Summary of Significant Accounting Policies</w:t>
      </w:r>
    </w:p>
    <w:p>
      <w:pPr>
        <w:spacing w:after="0" w:line="200" w:lineRule="exact"/>
        <w:rPr>
          <w:sz w:val="20"/>
          <w:szCs w:val="20"/>
          <w:color w:val="auto"/>
        </w:rPr>
      </w:pPr>
    </w:p>
    <w:p>
      <w:pPr>
        <w:spacing w:after="0" w:line="258" w:lineRule="auto"/>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b w:val="1"/>
          <w:bCs w:val="1"/>
          <w:color w:val="auto"/>
        </w:rPr>
        <w:t>Basis of Presentation</w:t>
      </w:r>
      <w:r>
        <w:rPr>
          <w:rFonts w:ascii="Times New Roman" w:cs="Times New Roman" w:eastAsia="Times New Roman" w:hAnsi="Times New Roman"/>
          <w:sz w:val="14"/>
          <w:szCs w:val="14"/>
          <w:color w:val="auto"/>
        </w:rPr>
        <w:t>: The condensed consolidated financial statements included in this report are unaudited and have been prepared in accordance with United States (“U.S.”) generally accepted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2024, should be read in conjunction with the consolidated financial statements and notes thereto of West Pharmaceutical Services, Inc. and its majority-owned </w:t>
      </w:r>
      <w:hyperlink r:id="rId25">
        <w:r>
          <w:rPr>
            <w:rFonts w:ascii="Times New Roman" w:cs="Times New Roman" w:eastAsia="Times New Roman" w:hAnsi="Times New Roman"/>
            <w:sz w:val="14"/>
            <w:szCs w:val="14"/>
            <w:color w:val="auto"/>
          </w:rPr>
          <w:t>subsidiaries (which may be referred to as “West,” the “Company,” “we,” “us” or “our”) appearing in our Annual Report on Form 10-K for the year ended December 31, 2023 (the “</w:t>
        </w:r>
        <w:r>
          <w:rPr>
            <w:rFonts w:ascii="Times New Roman" w:cs="Times New Roman" w:eastAsia="Times New Roman" w:hAnsi="Times New Roman"/>
            <w:sz w:val="14"/>
            <w:szCs w:val="14"/>
            <w:u w:val="single" w:color="auto"/>
            <w:color w:val="0000FF"/>
          </w:rPr>
          <w:t>2023 Annual</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FF"/>
          </w:rPr>
          <w:t>Report</w:t>
        </w:r>
        <w:r>
          <w:rPr>
            <w:rFonts w:ascii="Times New Roman" w:cs="Times New Roman" w:eastAsia="Times New Roman" w:hAnsi="Times New Roman"/>
            <w:sz w:val="14"/>
            <w:szCs w:val="14"/>
            <w:color w:val="000000"/>
          </w:rPr>
          <w:t>”). The results of operations for any interim period are not necessarily indicative of results for the full year.</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Standards Issued Not Yet Adopted</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guidance that seeks to improve reportable segment disclosure requirements, primarily through enhanced disclosures about significant segment expenses. The amendment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guidance is effective for fiscal years beginning after December 15, 2023 and interim periods beginning after December 15, 2024. We are currently evaluating the impact of this guidance on our financial statements and disclosures. The Company does not expect such adoption to cause a material impact to the consolidated financial statements and disclosures.</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expect adoption will cause a significant impact to our Income Taxes footnote disclosure.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23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market group:</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40" w:type="dxa"/>
            <w:vAlign w:val="bottom"/>
          </w:tcPr>
          <w:p>
            <w:pPr>
              <w:spacing w:after="0"/>
              <w:rPr>
                <w:sz w:val="13"/>
                <w:szCs w:val="13"/>
                <w:color w:val="auto"/>
              </w:rPr>
            </w:pPr>
          </w:p>
        </w:tc>
        <w:tc>
          <w:tcPr>
            <w:tcW w:w="2260" w:type="dxa"/>
            <w:vAlign w:val="bottom"/>
            <w:gridSpan w:val="3"/>
          </w:tcPr>
          <w:p>
            <w:pPr>
              <w:jc w:val="center"/>
              <w:ind w:left="90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2260" w:type="dxa"/>
            <w:vAlign w:val="bottom"/>
            <w:tcBorders>
              <w:bottom w:val="single" w:sz="8" w:color="auto"/>
            </w:tcBorders>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Biologics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Generics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product category:</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0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040" w:type="dxa"/>
            <w:vAlign w:val="bottom"/>
          </w:tcPr>
          <w:p>
            <w:pPr>
              <w:spacing w:after="0"/>
              <w:rPr>
                <w:sz w:val="14"/>
                <w:szCs w:val="14"/>
                <w:color w:val="auto"/>
              </w:rPr>
            </w:pPr>
          </w:p>
        </w:tc>
        <w:tc>
          <w:tcPr>
            <w:tcW w:w="226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2260" w:type="dxa"/>
            <w:vAlign w:val="bottom"/>
            <w:tcBorders>
              <w:bottom w:val="single" w:sz="8" w:color="auto"/>
            </w:tcBorders>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4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High-Value Product Components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High-Value Product Delivery Devices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Packaging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Due to the Company's reassessment of product categories, beginning in the second quarter of 2023, certain product types have been moved from High-Value Product Components to High-Value Product Delivery Devices. No adjustments were made to the product categorization prior to the second quarter of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geographic location:</w:t>
      </w:r>
    </w:p>
    <w:p>
      <w:pPr>
        <w:spacing w:after="0" w:line="4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804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93"/>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excluding amounts included in accounts receivable, net:</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97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in millions)</w:t>
            </w:r>
          </w:p>
        </w:tc>
      </w:tr>
      <w:tr>
        <w:trPr>
          <w:trHeight w:val="17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 December 31, 2023</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 March 31, 2024</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 - (decrease) increase</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December 31, 2023</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March 31, 2024</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 (increase) decrease</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Contract assets are included within other current assets and deferred income is included within other current liabilities and other long-term liabilities. During the three months ended March 31, 2024, $15.5 million of revenue was recognized that was included in deferred income at the beginning of the year.</w:t>
      </w:r>
    </w:p>
    <w:p>
      <w:pPr>
        <w:spacing w:after="0" w:line="16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platform within a specific therapeutic area. As of March 31, 2024, there was $1.9 million of deferred income related to this payment, of which $0.9 million was included in other current liabilities and $1.0 million was included in other long-term liabilities. The deferred income is being recognized as income on a straight-line basis over the remaining term of the agreement. The agreement does not include a future minimum purchase commitment from the customer.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Net Income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shares used in the calculation of basic net income per share to those used for diluted net income per share: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assuming dilution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and 2023, there were 0.2 million and 0.3 million shares, respectively, from stock-based compensation plans not included in the computation of diluted net income per share because their impact was antidilutive.</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we purchased 729,679 shares of our common stock under the program at a cost of $267.0 million, or an average price of $365.87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2023, we purchased 183,360 shares of our common stock under the program at a cost of $60.1 million, or an average price of $327.90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are valued at the lower of cost (on a first-in, first-out basis) or net realizable value. Inventory balances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March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62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6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6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r>
      <w:tr>
        <w:trPr>
          <w:trHeight w:val="171"/>
        </w:trPr>
        <w:tc>
          <w:tcPr>
            <w:tcW w:w="6700" w:type="dxa"/>
            <w:vAlign w:val="bottom"/>
          </w:tcPr>
          <w:p>
            <w:pPr>
              <w:spacing w:after="0"/>
              <w:rPr>
                <w:sz w:val="14"/>
                <w:szCs w:val="14"/>
                <w:color w:val="auto"/>
              </w:rPr>
            </w:pP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20"/>
        </w:trPr>
        <w:tc>
          <w:tcPr>
            <w:tcW w:w="6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3"/>
          </w:tcPr>
          <w:p>
            <w:pPr>
              <w:ind w:left="720"/>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400" w:type="dxa"/>
            <w:vAlign w:val="bottom"/>
          </w:tcPr>
          <w:p>
            <w:pPr>
              <w:spacing w:after="0"/>
              <w:rPr>
                <w:sz w:val="15"/>
                <w:szCs w:val="15"/>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5"/>
                <w:szCs w:val="15"/>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and December 31, 2023, the weighted average remaining lease term for operating leases was 9.4 years and 9.8 years,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and December 31, 2023, the weighted average discount rate was 3.55% and 3.55%,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operating lease liabilities were as follows: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7"/>
                <w:szCs w:val="17"/>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(remaining period as of)</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71"/>
        </w:trPr>
        <w:tc>
          <w:tcPr>
            <w:tcW w:w="8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lease interest</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Affiliated Companies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At March 31, 2024 and December 31, 2023, the aggregate carrying amount of our investment in affiliated companies that are accounted for under the equity method was $195.9 million and $203.2 million, respectively, and the aggregate carrying amount of our investment in affiliated companies that are not accounted for under the equity method was $6.6 million and $6.8 million at March 31, 2024 and December 31, 2023,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6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Our purchases from, and royalty payments made to, affiliates totaled $28.6 million for the three months ended March 31, 2024, as compared to $44.2 million for the same period in 2023. As of March 31, 2024 and December 31, 2023, the payable balance due to affiliates was $26.7 million and $25.9 million, respectively. The majority of these transactions related to a distributorship agreement with Daikyo Seiko, LTD ("Daikyo") that allows us to purchase and re-sell Daikyo products.</w:t>
      </w:r>
    </w:p>
    <w:p>
      <w:pPr>
        <w:spacing w:after="0" w:line="15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Sales to affiliates were $3.2 million for the three months ended March 31, 2024, as compared to $3.3 million for the same period in 2023. As of March 31, 2024 and December 31, 2023, the receivable balance due from affiliates was $2.1 million and $1.6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long-term debt obligations, net of unamortized debt issuance costs and current maturities. The interest rates shown in parentheses are as of March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March 31,</w:t>
            </w:r>
          </w:p>
        </w:tc>
        <w:tc>
          <w:tcPr>
            <w:tcW w:w="240" w:type="dxa"/>
            <w:vAlign w:val="bottom"/>
          </w:tcPr>
          <w:p>
            <w:pPr>
              <w:spacing w:after="0"/>
              <w:rPr>
                <w:sz w:val="13"/>
                <w:szCs w:val="13"/>
                <w:color w:val="auto"/>
              </w:rPr>
            </w:pPr>
          </w:p>
        </w:tc>
        <w:tc>
          <w:tcPr>
            <w:tcW w:w="13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December 31, 2024 (6.28%)</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notes, due July 5, 2024 (3.82%)</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 notes, due July 5, 2027 (4.02%)</w:t>
            </w: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71"/>
        </w:trPr>
        <w:tc>
          <w:tcPr>
            <w:tcW w:w="79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for Term Loan and Series Notes</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17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2024, the borrowing capacity available under our $500.0 million multi-currency revolving credit facility, including outstanding letters of credit of $2.4 million, was $497.6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200"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color w:val="auto"/>
        </w:rPr>
        <w:t xml:space="preserve">At March 31, 2024, we had $80.4 million in borrowings under the Term Loan, of which $80.4 million was classified as current. Please refer to Note 9,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a discussion of the foreign currency hedge associated with the Term Loan.</w:t>
      </w:r>
    </w:p>
    <w:p>
      <w:pPr>
        <w:spacing w:after="0" w:line="14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March 31, 2024, we were in compliance with all of our debt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Derivative Financial Instruments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Rate Risk</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entered into forward exchange contracts, designated as fair value hedges, to manage our exposure to fluctuating foreign exchange rates on cross-currency intercompany loans. As of both March 31, 2024 and December 31, 2023, the total amount of these forward exchange contracts was Singapore Dollar ("SGD") 601.5 million and $13.4 million. We have also entered into forward exchange contracts, designated as fair value hedges, to manage our exposure to fluctuating foreign exchange rates on cross-currency intercompany demand notes which were executed in June 2023. As of both March 31, 2024 and December 31, 2023, the total amount of these forward exchange contracts was Euro ("EUR") 278.6 million and SGD 94.0 million. We have also entered into a forward exchange contract, designated as a fair value hedge, to manage our exposure to fluctuating foreign exchange rates on a cross-currency intercompany demand note which was executed in February 2024. As of March 31, 2024, the total amount of this forward exchange contract was $175.0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March 31, 2024, we had outstanding foreign currency contracts to purchase and sell certain pairs of currencies,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Sell</w:t>
            </w:r>
          </w:p>
        </w:tc>
        <w:tc>
          <w:tcPr>
            <w:tcW w:w="1900" w:type="dxa"/>
            <w:vAlign w:val="bottom"/>
            <w:tcBorders>
              <w:bottom w:val="single" w:sz="8" w:color="auto"/>
            </w:tcBorders>
          </w:tcPr>
          <w:p>
            <w:pPr>
              <w:spacing w:after="0"/>
              <w:rPr>
                <w:sz w:val="16"/>
                <w:szCs w:val="16"/>
                <w:color w:val="auto"/>
              </w:rPr>
            </w:pPr>
          </w:p>
        </w:tc>
      </w:tr>
      <w:tr>
        <w:trPr>
          <w:trHeight w:val="171"/>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Currency</w:t>
            </w:r>
          </w:p>
        </w:tc>
        <w:tc>
          <w:tcPr>
            <w:tcW w:w="17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Purchase</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90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rPr>
              <w:t>USD</w:t>
            </w:r>
          </w:p>
        </w:tc>
        <w:tc>
          <w:tcPr>
            <w:tcW w:w="2400" w:type="dxa"/>
            <w:vAlign w:val="bottom"/>
            <w:tcBorders>
              <w:bottom w:val="single" w:sz="8" w:color="auto"/>
            </w:tcBorders>
          </w:tcPr>
          <w:p>
            <w:pPr>
              <w:jc w:val="right"/>
              <w:ind w:right="1489"/>
              <w:spacing w:after="0"/>
              <w:rPr>
                <w:sz w:val="20"/>
                <w:szCs w:val="20"/>
                <w:color w:val="auto"/>
              </w:rPr>
            </w:pPr>
            <w:r>
              <w:rPr>
                <w:rFonts w:ascii="Times New Roman" w:cs="Times New Roman" w:eastAsia="Times New Roman" w:hAnsi="Times New Roman"/>
                <w:sz w:val="14"/>
                <w:szCs w:val="14"/>
                <w:color w:val="auto"/>
              </w:rPr>
              <w:t>EUR</w:t>
            </w:r>
          </w:p>
        </w:tc>
        <w:tc>
          <w:tcPr>
            <w:tcW w:w="190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SGD</w:t>
            </w:r>
          </w:p>
        </w:tc>
      </w:tr>
      <w:tr>
        <w:trPr>
          <w:trHeight w:val="17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w:t>
            </w:r>
          </w:p>
        </w:tc>
        <w:tc>
          <w:tcPr>
            <w:tcW w:w="17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4"/>
                <w:szCs w:val="14"/>
                <w:color w:val="auto"/>
              </w:rPr>
            </w:pPr>
          </w:p>
        </w:tc>
        <w:tc>
          <w:tcPr>
            <w:tcW w:w="29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28.6</w:t>
            </w:r>
          </w:p>
        </w:tc>
        <w:tc>
          <w:tcPr>
            <w:tcW w:w="240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Yen</w:t>
            </w:r>
          </w:p>
        </w:tc>
        <w:tc>
          <w:tcPr>
            <w:tcW w:w="17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6,006.8</w:t>
            </w:r>
          </w:p>
        </w:tc>
        <w:tc>
          <w:tcPr>
            <w:tcW w:w="100" w:type="dxa"/>
            <w:vAlign w:val="bottom"/>
          </w:tcPr>
          <w:p>
            <w:pPr>
              <w:spacing w:after="0"/>
              <w:rPr>
                <w:sz w:val="15"/>
                <w:szCs w:val="15"/>
                <w:color w:val="auto"/>
              </w:rPr>
            </w:pPr>
          </w:p>
        </w:tc>
        <w:tc>
          <w:tcPr>
            <w:tcW w:w="29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28.8</w:t>
            </w:r>
          </w:p>
        </w:tc>
        <w:tc>
          <w:tcPr>
            <w:tcW w:w="24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13.0</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SGD</w:t>
            </w:r>
          </w:p>
        </w:tc>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5"/>
                <w:szCs w:val="15"/>
                <w:color w:val="auto"/>
              </w:rPr>
            </w:pPr>
          </w:p>
        </w:tc>
        <w:tc>
          <w:tcPr>
            <w:tcW w:w="29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14.7</w:t>
            </w:r>
          </w:p>
        </w:tc>
        <w:tc>
          <w:tcPr>
            <w:tcW w:w="240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14.2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December 2019, we entered into a cross-currency swap for $90 million, which we designated as a hedge of our net investment in Daikyo. As of March 31, 2024, the notional amount of the cross-currency swap was ¥8.8 billion ($80.4 million) and the swap termination date is December 31, 2024.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payments of USD in return for paying fixed principal payments of Yen.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5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From November 2017 through March 2024, we purchased several series of call options for a total of 1,062,239 barrels of crude oil to mitigate our exposure to such oil-based surcharges and protect operating cash flows with regards to a portion of our forecasted elastomer purchases.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we had outstanding contracts to purchase 229,501 barrels of crude oil from March 2024 to September 2025, at a weighted-average strike price of $87.00 per barrel.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Derivative Instruments on Financial Position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10,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the balance sheet location and fair values of our derivative instruments as of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designated as fair value hedges on the condensed consolidated statements of income:</w:t>
      </w:r>
    </w:p>
    <w:p>
      <w:pPr>
        <w:spacing w:after="0" w:line="34" w:lineRule="exact"/>
        <w:rPr>
          <w:sz w:val="20"/>
          <w:szCs w:val="20"/>
          <w:color w:val="auto"/>
        </w:rPr>
      </w:pPr>
    </w:p>
    <w:p>
      <w:pPr>
        <w:jc w:val="center"/>
        <w:ind w:left="2860"/>
        <w:spacing w:after="0"/>
        <w:rPr>
          <w:sz w:val="20"/>
          <w:szCs w:val="20"/>
          <w:color w:val="auto"/>
        </w:rPr>
      </w:pPr>
      <w:r>
        <w:rPr>
          <w:rFonts w:ascii="Times New Roman" w:cs="Times New Roman" w:eastAsia="Times New Roman" w:hAnsi="Times New Roman"/>
          <w:sz w:val="14"/>
          <w:szCs w:val="14"/>
          <w:color w:val="auto"/>
        </w:rPr>
        <w:t>Amount of Gain (Loss) Recognized in</w:t>
      </w:r>
    </w:p>
    <w:p>
      <w:pPr>
        <w:jc w:val="center"/>
        <w:ind w:left="2860"/>
        <w:spacing w:after="0"/>
        <w:rPr>
          <w:sz w:val="20"/>
          <w:szCs w:val="20"/>
          <w:color w:val="auto"/>
        </w:rPr>
      </w:pPr>
      <w:r>
        <w:rPr>
          <w:rFonts w:ascii="Times New Roman" w:cs="Times New Roman" w:eastAsia="Times New Roman" w:hAnsi="Times New Roman"/>
          <w:sz w:val="14"/>
          <w:szCs w:val="14"/>
          <w:color w:val="auto"/>
        </w:rPr>
        <w:t>Income for the</w:t>
      </w:r>
    </w:p>
    <w:tbl>
      <w:tblPr>
        <w:tblLayout w:type="fixed"/>
        <w:tblInd w:w="0" w:type="dxa"/>
        <w:tblCellMar>
          <w:top w:w="0" w:type="dxa"/>
          <w:left w:w="0" w:type="dxa"/>
          <w:bottom w:w="0" w:type="dxa"/>
          <w:right w:w="0" w:type="dxa"/>
        </w:tblCellMar>
      </w:tblPr>
      <w:tr>
        <w:trPr>
          <w:trHeight w:val="156"/>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jc w:val="right"/>
              <w:ind w:right="589"/>
              <w:spacing w:after="0" w:line="156" w:lineRule="exact"/>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91"/>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Location on Statement of Income</w:t>
            </w:r>
          </w:p>
        </w:tc>
      </w:tr>
      <w:tr>
        <w:trPr>
          <w:trHeight w:val="171"/>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r>
      <w:tr>
        <w:trPr>
          <w:trHeight w:val="16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Hedges: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Hedged item (intercompany loan)</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1"/>
              </w:rPr>
              <w:t>2.5</w:t>
            </w:r>
          </w:p>
        </w:tc>
        <w:tc>
          <w:tcPr>
            <w:tcW w:w="1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designated as hedging instrument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6"/>
              </w:rPr>
              <w:t>(7.5)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w w:val="96"/>
              </w:rPr>
              <w:t>(2.5)</w:t>
            </w:r>
          </w:p>
        </w:tc>
        <w:tc>
          <w:tcPr>
            <w:tcW w:w="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 excluded from effectiveness testing</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6"/>
              </w:rPr>
              <w:t>(1.8)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w w:val="91"/>
              </w:rPr>
              <w:t>1.2</w:t>
            </w:r>
          </w:p>
        </w:tc>
        <w:tc>
          <w:tcPr>
            <w:tcW w:w="12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6"/>
              </w:rPr>
              <w:t>(1.8)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1"/>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recognize in earnings the initial value of forward point components on a straight-line basis over the life of the fair value hedge. The expense recognized in earnings, pre-tax, for forward point components for the three months ended March 31, 2024 was $1.8 million. The income recognized in earnings, pre-tax, for forward point components for the three months ended March 31, 2023 was $1.2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designated as fair value, cash flow, and net investment hedges on other comprehensive income (“OCI”) and earnings, net of tax:</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Amount of Gain (Loss) Recognized in OCI</w:t>
            </w:r>
          </w:p>
        </w:tc>
        <w:tc>
          <w:tcPr>
            <w:tcW w:w="80" w:type="dxa"/>
            <w:vAlign w:val="bottom"/>
          </w:tcPr>
          <w:p>
            <w:pPr>
              <w:spacing w:after="0"/>
              <w:rPr>
                <w:sz w:val="13"/>
                <w:szCs w:val="13"/>
                <w:color w:val="auto"/>
              </w:rPr>
            </w:pPr>
          </w:p>
        </w:tc>
        <w:tc>
          <w:tcPr>
            <w:tcW w:w="2480" w:type="dxa"/>
            <w:vAlign w:val="bottom"/>
            <w:gridSpan w:val="4"/>
          </w:tcPr>
          <w:p>
            <w:pPr>
              <w:jc w:val="center"/>
              <w:ind w:right="9"/>
              <w:spacing w:after="0"/>
              <w:rPr>
                <w:sz w:val="20"/>
                <w:szCs w:val="20"/>
                <w:color w:val="auto"/>
              </w:rPr>
            </w:pPr>
            <w:r>
              <w:rPr>
                <w:rFonts w:ascii="Times New Roman" w:cs="Times New Roman" w:eastAsia="Times New Roman" w:hAnsi="Times New Roman"/>
                <w:sz w:val="14"/>
                <w:szCs w:val="14"/>
                <w:color w:val="auto"/>
              </w:rPr>
              <w:t>Amount of (Gain) Loss Reclassified from</w:t>
            </w: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for the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jc w:val="center"/>
              <w:ind w:right="9"/>
              <w:spacing w:after="0"/>
              <w:rPr>
                <w:sz w:val="20"/>
                <w:szCs w:val="20"/>
                <w:color w:val="auto"/>
              </w:rPr>
            </w:pPr>
            <w:r>
              <w:rPr>
                <w:rFonts w:ascii="Times New Roman" w:cs="Times New Roman" w:eastAsia="Times New Roman" w:hAnsi="Times New Roman"/>
                <w:sz w:val="14"/>
                <w:szCs w:val="14"/>
                <w:color w:val="auto"/>
              </w:rPr>
              <w:t>Accumulated OCI into Income for the</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80" w:type="dxa"/>
            <w:vAlign w:val="bottom"/>
          </w:tcPr>
          <w:p>
            <w:pPr>
              <w:spacing w:after="0"/>
              <w:rPr>
                <w:sz w:val="13"/>
                <w:szCs w:val="13"/>
                <w:color w:val="auto"/>
              </w:rPr>
            </w:pPr>
          </w:p>
        </w:tc>
        <w:tc>
          <w:tcPr>
            <w:tcW w:w="2120" w:type="dxa"/>
            <w:vAlign w:val="bottom"/>
            <w:gridSpan w:val="3"/>
          </w:tcPr>
          <w:p>
            <w:pPr>
              <w:jc w:val="center"/>
              <w:ind w:left="209"/>
              <w:spacing w:after="0" w:line="155" w:lineRule="exact"/>
              <w:rPr>
                <w:sz w:val="20"/>
                <w:szCs w:val="20"/>
                <w:color w:val="auto"/>
              </w:rPr>
            </w:pPr>
            <w:r>
              <w:rPr>
                <w:rFonts w:ascii="Times New Roman" w:cs="Times New Roman" w:eastAsia="Times New Roman" w:hAnsi="Times New Roman"/>
                <w:sz w:val="14"/>
                <w:szCs w:val="14"/>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Location of (Gain) Loss Reclassified from</w:t>
            </w: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189"/>
              <w:spacing w:after="0"/>
              <w:rPr>
                <w:sz w:val="20"/>
                <w:szCs w:val="20"/>
                <w:color w:val="auto"/>
              </w:rPr>
            </w:pPr>
            <w:r>
              <w:rPr>
                <w:rFonts w:ascii="Times New Roman" w:cs="Times New Roman" w:eastAsia="Times New Roman" w:hAnsi="Times New Roman"/>
                <w:sz w:val="14"/>
                <w:szCs w:val="14"/>
                <w:color w:val="auto"/>
              </w:rPr>
              <w:t>March 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Accumulated OCI into Income</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Hedges: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treasury locks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Hedges: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Refer to the above table which summarizes the effects of derivative instruments designated as fair value hedges within the other expense (income) line in our condensed consolidated statements of income for the three months ended March 31, 2024 and 2023. The following table summarizes the effects of derivative instruments designated as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44"/>
        </w:trPr>
        <w:tc>
          <w:tcPr>
            <w:tcW w:w="8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3"/>
          </w:tcPr>
          <w:p>
            <w:pPr>
              <w:ind w:left="660"/>
              <w:spacing w:after="0" w:line="144"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2"/>
                <w:szCs w:val="12"/>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r>
      <w:tr>
        <w:trPr>
          <w:trHeight w:val="17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96"/>
              </w:rPr>
              <w:t>(0.1)</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360" w:type="dxa"/>
            <w:vAlign w:val="bottom"/>
          </w:tcPr>
          <w:p>
            <w:pPr>
              <w:spacing w:after="0"/>
              <w:rPr>
                <w:sz w:val="15"/>
                <w:szCs w:val="15"/>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not designated as hedges on the condensed consolidated statements of income:</w:t>
      </w:r>
    </w:p>
    <w:p>
      <w:pPr>
        <w:spacing w:after="0" w:line="34"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4"/>
          <w:szCs w:val="14"/>
          <w:color w:val="auto"/>
        </w:rPr>
        <w:t>Amount of Gain (Loss) Recognized in</w:t>
      </w:r>
    </w:p>
    <w:p>
      <w:pPr>
        <w:jc w:val="center"/>
        <w:ind w:left="1420"/>
        <w:spacing w:after="0"/>
        <w:rPr>
          <w:sz w:val="20"/>
          <w:szCs w:val="20"/>
          <w:color w:val="auto"/>
        </w:rPr>
      </w:pPr>
      <w:r>
        <w:rPr>
          <w:rFonts w:ascii="Times New Roman" w:cs="Times New Roman" w:eastAsia="Times New Roman" w:hAnsi="Times New Roman"/>
          <w:sz w:val="14"/>
          <w:szCs w:val="14"/>
          <w:color w:val="auto"/>
        </w:rPr>
        <w:t>Income for the</w:t>
      </w:r>
    </w:p>
    <w:tbl>
      <w:tblPr>
        <w:tblLayout w:type="fixed"/>
        <w:tblInd w:w="0" w:type="dxa"/>
        <w:tblCellMar>
          <w:top w:w="0" w:type="dxa"/>
          <w:left w:w="0" w:type="dxa"/>
          <w:bottom w:w="0" w:type="dxa"/>
          <w:right w:w="0" w:type="dxa"/>
        </w:tblCellMar>
      </w:tblPr>
      <w:tr>
        <w:trPr>
          <w:trHeight w:val="156"/>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380"/>
              <w:spacing w:after="0" w:line="156" w:lineRule="exact"/>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191"/>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Location on Statement of Income</w:t>
            </w:r>
          </w:p>
        </w:tc>
      </w:tr>
      <w:tr>
        <w:trPr>
          <w:trHeight w:val="17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4"/>
                <w:szCs w:val="14"/>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9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shd w:val="clear" w:color="auto" w:fill="CCEEFF"/>
          </w:tcPr>
          <w:p>
            <w:pPr>
              <w:spacing w:after="0"/>
              <w:rPr>
                <w:sz w:val="16"/>
                <w:szCs w:val="16"/>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2024 and 2023, there was no material ineffectiveness related to our hedges.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Fair Value Measurements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45"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Unadjusted quoted prices in active markets for identical assets or liabilities.</w:t>
      </w:r>
    </w:p>
    <w:p>
      <w:pPr>
        <w:spacing w:after="0" w:line="93" w:lineRule="exact"/>
        <w:rPr>
          <w:rFonts w:ascii="Times New Roman" w:cs="Times New Roman" w:eastAsia="Times New Roman" w:hAnsi="Times New Roman"/>
          <w:sz w:val="14"/>
          <w:szCs w:val="14"/>
          <w:color w:val="auto"/>
        </w:rPr>
      </w:pPr>
    </w:p>
    <w:p>
      <w:pPr>
        <w:ind w:left="760" w:right="3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Unobservable inputs that reflect the reporting entity’s own assumptions.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assets and liabilities recorded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8"/>
              </w:rPr>
              <w:t>Balance at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69"/>
              <w:spacing w:after="0"/>
              <w:rPr>
                <w:sz w:val="20"/>
                <w:szCs w:val="20"/>
                <w:color w:val="auto"/>
              </w:rPr>
            </w:pPr>
            <w:r>
              <w:rPr>
                <w:rFonts w:ascii="Times New Roman" w:cs="Times New Roman" w:eastAsia="Times New Roman" w:hAnsi="Times New Roman"/>
                <w:sz w:val="14"/>
                <w:szCs w:val="14"/>
                <w:color w:val="auto"/>
              </w:rPr>
              <w:t>Basis of Fair Value Measurements</w:t>
            </w:r>
          </w:p>
        </w:tc>
        <w:tc>
          <w:tcPr>
            <w:tcW w:w="1240" w:type="dxa"/>
            <w:vAlign w:val="bottom"/>
            <w:tcBorders>
              <w:bottom w:val="single" w:sz="8" w:color="auto"/>
            </w:tcBorders>
          </w:tcPr>
          <w:p>
            <w:pPr>
              <w:spacing w:after="0"/>
              <w:rPr>
                <w:sz w:val="16"/>
                <w:szCs w:val="16"/>
                <w:color w:val="auto"/>
              </w:rPr>
            </w:pPr>
          </w:p>
        </w:tc>
      </w:tr>
      <w:tr>
        <w:trPr>
          <w:trHeight w:val="118"/>
        </w:trPr>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20" w:type="dxa"/>
            <w:vAlign w:val="bottom"/>
          </w:tcPr>
          <w:p>
            <w:pPr>
              <w:jc w:val="center"/>
              <w:ind w:left="290"/>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91"/>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6"/>
                <w:szCs w:val="16"/>
                <w:color w:val="auto"/>
              </w:rPr>
            </w:pPr>
          </w:p>
        </w:tc>
        <w:tc>
          <w:tcPr>
            <w:tcW w:w="12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r>
      <w:tr>
        <w:trPr>
          <w:trHeight w:val="139"/>
        </w:trPr>
        <w:tc>
          <w:tcPr>
            <w:tcW w:w="4680" w:type="dxa"/>
            <w:vAlign w:val="bottom"/>
            <w:tcBorders>
              <w:top w:val="single" w:sz="8" w:color="CCEEFF"/>
              <w:left w:val="single" w:sz="8" w:color="CCEEFF"/>
            </w:tcBorders>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r>
      <w:tr>
        <w:trPr>
          <w:trHeight w:val="32"/>
        </w:trPr>
        <w:tc>
          <w:tcPr>
            <w:tcW w:w="420" w:type="dxa"/>
            <w:vAlign w:val="bottom"/>
            <w:tcBorders>
              <w:lef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3"/>
        </w:trPr>
        <w:tc>
          <w:tcPr>
            <w:tcW w:w="640" w:type="dxa"/>
            <w:vAlign w:val="bottom"/>
            <w:tcBorders>
              <w:left w:val="single" w:sz="8" w:color="CCEEFF"/>
              <w:bottom w:val="single" w:sz="8" w:color="auto"/>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w w:val="98"/>
              </w:rPr>
              <w:t>Liabilities:</w:t>
            </w:r>
          </w:p>
        </w:tc>
        <w:tc>
          <w:tcPr>
            <w:tcW w:w="40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8"/>
              </w:rPr>
              <w:t>Balance at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69"/>
              <w:spacing w:after="0"/>
              <w:rPr>
                <w:sz w:val="20"/>
                <w:szCs w:val="20"/>
                <w:color w:val="auto"/>
              </w:rPr>
            </w:pPr>
            <w:r>
              <w:rPr>
                <w:rFonts w:ascii="Times New Roman" w:cs="Times New Roman" w:eastAsia="Times New Roman" w:hAnsi="Times New Roman"/>
                <w:sz w:val="14"/>
                <w:szCs w:val="14"/>
                <w:color w:val="auto"/>
              </w:rPr>
              <w:t>Basis of Fair Value Measurements</w:t>
            </w:r>
          </w:p>
        </w:tc>
        <w:tc>
          <w:tcPr>
            <w:tcW w:w="1240" w:type="dxa"/>
            <w:vAlign w:val="bottom"/>
            <w:tcBorders>
              <w:bottom w:val="single" w:sz="8" w:color="auto"/>
            </w:tcBorders>
          </w:tcPr>
          <w:p>
            <w:pPr>
              <w:spacing w:after="0"/>
              <w:rPr>
                <w:sz w:val="24"/>
                <w:szCs w:val="24"/>
                <w:color w:val="auto"/>
              </w:rPr>
            </w:pPr>
          </w:p>
        </w:tc>
      </w:tr>
      <w:tr>
        <w:trPr>
          <w:trHeight w:val="118"/>
        </w:trPr>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20" w:type="dxa"/>
            <w:vAlign w:val="bottom"/>
          </w:tcPr>
          <w:p>
            <w:pPr>
              <w:jc w:val="center"/>
              <w:ind w:left="29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91"/>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6"/>
                <w:szCs w:val="16"/>
                <w:color w:val="auto"/>
              </w:rPr>
            </w:pPr>
          </w:p>
        </w:tc>
        <w:tc>
          <w:tcPr>
            <w:tcW w:w="12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r>
      <w:tr>
        <w:trPr>
          <w:trHeight w:val="139"/>
        </w:trPr>
        <w:tc>
          <w:tcPr>
            <w:tcW w:w="4680" w:type="dxa"/>
            <w:vAlign w:val="bottom"/>
            <w:tcBorders>
              <w:top w:val="single" w:sz="8" w:color="CCEEFF"/>
              <w:left w:val="single" w:sz="8" w:color="CCEEFF"/>
            </w:tcBorders>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r>
      <w:tr>
        <w:trPr>
          <w:trHeight w:val="32"/>
        </w:trPr>
        <w:tc>
          <w:tcPr>
            <w:tcW w:w="420" w:type="dxa"/>
            <w:vAlign w:val="bottom"/>
            <w:tcBorders>
              <w:lef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3"/>
        </w:trPr>
        <w:tc>
          <w:tcPr>
            <w:tcW w:w="640" w:type="dxa"/>
            <w:vAlign w:val="bottom"/>
            <w:tcBorders>
              <w:left w:val="single" w:sz="8" w:color="CCEEFF"/>
              <w:bottom w:val="single" w:sz="8" w:color="auto"/>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w w:val="98"/>
              </w:rPr>
              <w:t>Liabilities:</w:t>
            </w:r>
          </w:p>
        </w:tc>
        <w:tc>
          <w:tcPr>
            <w:tcW w:w="40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platform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estimated fair value of long-term debt is based on quoted market prices for debt issuances with similar terms and maturities and is classified as Level 2 within the fair value hierarchy. At March 31, 2024, the estimated fair value of long-term debt was $70.3 million compared to a carrying amount of $72.8 million. At December 31, 2023, the estimated fair value of long-term debt was $70.8 million and the carrying amount was $72.8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Accumulated Other Comprehensive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income ("AOCI") (loss), net of tax, for the three months ended March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Equity affiliate investment</w:t>
            </w:r>
          </w:p>
        </w:tc>
        <w:tc>
          <w:tcPr>
            <w:tcW w:w="17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Defined benefit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40" w:type="dxa"/>
            <w:vAlign w:val="bottom"/>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pension and 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14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AOCI</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postretirement plans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18"/>
        </w:trPr>
        <w:tc>
          <w:tcPr>
            <w:tcW w:w="32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(loss) income before</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Amounts reclassified out from accumulated other</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income ("AOCI") (loss), net of tax, for the three months ended March 31,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Equity affiliate investment</w:t>
            </w:r>
          </w:p>
        </w:tc>
        <w:tc>
          <w:tcPr>
            <w:tcW w:w="17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Defined benefit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80" w:type="dxa"/>
            <w:vAlign w:val="bottom"/>
          </w:tcPr>
          <w:p>
            <w:pPr>
              <w:jc w:val="right"/>
              <w:ind w:right="129"/>
              <w:spacing w:after="0" w:line="138" w:lineRule="exact"/>
              <w:rPr>
                <w:sz w:val="20"/>
                <w:szCs w:val="20"/>
                <w:color w:val="auto"/>
              </w:rPr>
            </w:pPr>
            <w:r>
              <w:rPr>
                <w:rFonts w:ascii="Times New Roman" w:cs="Times New Roman" w:eastAsia="Times New Roman" w:hAnsi="Times New Roman"/>
                <w:sz w:val="14"/>
                <w:szCs w:val="14"/>
                <w:color w:val="auto"/>
              </w:rPr>
              <w:t>pension and 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14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AOCI</w:t>
            </w:r>
          </w:p>
        </w:tc>
        <w:tc>
          <w:tcPr>
            <w:tcW w:w="1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postretirement plans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bottom w:val="single" w:sz="8" w:color="auto"/>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118"/>
        </w:trPr>
        <w:tc>
          <w:tcPr>
            <w:tcW w:w="32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income (loss) before</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Amounts reclassified out from accumulated other</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7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reclassifications out of accumulated other comprehensive loss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color w:val="auto"/>
              </w:rPr>
              <w:t>March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gridSpan w:val="2"/>
          </w:tcPr>
          <w:p>
            <w:pPr>
              <w:ind w:left="2080"/>
              <w:spacing w:after="0"/>
              <w:rPr>
                <w:sz w:val="20"/>
                <w:szCs w:val="20"/>
                <w:color w:val="auto"/>
              </w:rPr>
            </w:pPr>
            <w:r>
              <w:rPr>
                <w:rFonts w:ascii="Times New Roman" w:cs="Times New Roman" w:eastAsia="Times New Roman" w:hAnsi="Times New Roman"/>
                <w:sz w:val="14"/>
                <w:szCs w:val="14"/>
                <w:color w:val="auto"/>
              </w:rPr>
              <w:t>Detail of components</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Location on Statement of Income</w:t>
            </w:r>
          </w:p>
        </w:tc>
        <w:tc>
          <w:tcPr>
            <w:tcW w:w="0" w:type="dxa"/>
            <w:vAlign w:val="bottom"/>
          </w:tcPr>
          <w:p>
            <w:pPr>
              <w:spacing w:after="0"/>
              <w:rPr>
                <w:sz w:val="1"/>
                <w:szCs w:val="1"/>
                <w:color w:val="auto"/>
              </w:rPr>
            </w:pPr>
          </w:p>
        </w:tc>
      </w:tr>
      <w:tr>
        <w:trPr>
          <w:trHeight w:val="171"/>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gains on derivatives:</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5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Forward treasury locks</w:t>
            </w: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(0.1)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(1.2)</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Amortization of defined benefit pension and other postretirement plans: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48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gains</w:t>
            </w:r>
          </w:p>
        </w:tc>
        <w:tc>
          <w:tcPr>
            <w:tcW w:w="8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7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840" w:type="dxa"/>
            <w:vAlign w:val="bottom"/>
          </w:tcPr>
          <w:p>
            <w:pPr>
              <w:spacing w:after="0"/>
              <w:rPr>
                <w:sz w:val="14"/>
                <w:szCs w:val="14"/>
                <w:color w:val="auto"/>
              </w:rPr>
            </w:pPr>
          </w:p>
        </w:tc>
        <w:tc>
          <w:tcPr>
            <w:tcW w:w="3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8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(0.1)</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 net of tax</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These components are included in the computation of net periodic benefit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Shareholders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6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shareholders’ equity for the three months ended March 31, 2024: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94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24"/>
                <w:szCs w:val="24"/>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 in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Number of</w:t>
            </w: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rPr>
                <w:sz w:val="11"/>
                <w:szCs w:val="11"/>
                <w:color w:val="auto"/>
              </w:rPr>
            </w:pPr>
          </w:p>
        </w:tc>
        <w:tc>
          <w:tcPr>
            <w:tcW w:w="84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Excess of Par</w:t>
            </w:r>
          </w:p>
        </w:tc>
        <w:tc>
          <w:tcPr>
            <w:tcW w:w="9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6"/>
              </w:rPr>
              <w:t>Treasury</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Value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tcPr>
          <w:p>
            <w:pPr>
              <w:spacing w:after="0"/>
              <w:rPr>
                <w:sz w:val="16"/>
                <w:szCs w:val="16"/>
                <w:color w:val="auto"/>
              </w:rPr>
            </w:pP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3,523.4</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shareholders’ equity for the three months ended 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 in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Number of</w:t>
            </w: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rPr>
                <w:sz w:val="11"/>
                <w:szCs w:val="11"/>
                <w:color w:val="auto"/>
              </w:rPr>
            </w:pPr>
          </w:p>
        </w:tc>
        <w:tc>
          <w:tcPr>
            <w:tcW w:w="84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Excess of Par</w:t>
            </w:r>
          </w:p>
        </w:tc>
        <w:tc>
          <w:tcPr>
            <w:tcW w:w="9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6"/>
              </w:rPr>
              <w:t>Treasury</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Value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tcPr>
          <w:p>
            <w:pPr>
              <w:spacing w:after="0"/>
              <w:rPr>
                <w:sz w:val="16"/>
                <w:szCs w:val="16"/>
                <w:color w:val="auto"/>
              </w:rPr>
            </w:pP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2,987.8</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2,684.9</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($0.19 per share)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Stock-Based Compensation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March 31, 2024, there were 1,357,302 shares remaining in the 2016 Plan for future grants.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2024, we granted 84,140 stock options at a weighted average exercise price of $350.18 per share based on the grant-date fair value of our stock to employees under the 2016 Plan. The weighted average grant date fair value of options granted was $134.81 per share as determined by the Black-Scholes option valuation model using the following weighted average assumptions: a risk-free interest rate of 4.3%; expected life of 6.0 years based on prior experience; stock volatility of 32.0% based on historical data; and a dividend yield of 0.3%. Stock option expense is recognized over the vesting period, net of forfeitures.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During the three months ended March 31, 2024, we granted 32,424 stock-settled performance share unit ("PSU") awards at a weighted average grant-date fair value of $350.18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numbers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2024, we granted 6,571 stock-settled restricted share unit (“RSU”) awards at a weighted average grant-date fair value of $350.18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was $5.0 million and $8.5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14: Other Expense (Income)</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consists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0"/>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r>
      <w:tr>
        <w:trPr>
          <w:trHeight w:val="17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plant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transaction losses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items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Disposal of Plant</w:t>
      </w:r>
    </w:p>
    <w:p>
      <w:pPr>
        <w:spacing w:after="0" w:line="202"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2023, the Company recorded expense of $9.4 million within other expense (income), as a result of the sale of one of the Company's manufacturing facilities within the Proprietary Products segment. The transaction closed during the second quarter of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Contingent consideration represents changes in the fair value of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contingent consideration. Please refer to Note 10,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additional details.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 and Related Charges</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 December 2022, the Company approved a restructuring plan to adjust our operating cost base to better respond to the macroeconomic factors influencing our business. These changes are expected to be implemented over a period of up to twenty-four months from the date of approval. The plan is expected to require restructuring and related charges of approximately $22 million to $24 million, with annualized savings in the range of $22 million to $24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presents activity related to our restructuring obligations related to our 2022 restructuring plan:</w:t>
            </w:r>
          </w:p>
        </w:tc>
        <w:tc>
          <w:tcPr>
            <w:tcW w:w="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49"/>
        </w:trPr>
        <w:tc>
          <w:tcPr>
            <w:tcW w:w="4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Severance</w:t>
            </w: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20" w:type="dxa"/>
            <w:vAlign w:val="bottom"/>
          </w:tcPr>
          <w:p>
            <w:pPr>
              <w:spacing w:after="0"/>
              <w:rPr>
                <w:sz w:val="16"/>
                <w:szCs w:val="16"/>
                <w:color w:val="auto"/>
              </w:rPr>
            </w:pP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and benefits</w:t>
            </w:r>
          </w:p>
        </w:tc>
        <w:tc>
          <w:tcPr>
            <w:tcW w:w="440" w:type="dxa"/>
            <w:vAlign w:val="bottom"/>
          </w:tcPr>
          <w:p>
            <w:pPr>
              <w:spacing w:after="0"/>
              <w:rPr>
                <w:sz w:val="16"/>
                <w:szCs w:val="16"/>
                <w:color w:val="auto"/>
              </w:rPr>
            </w:pPr>
          </w:p>
        </w:tc>
        <w:tc>
          <w:tcPr>
            <w:tcW w:w="2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Other charges</w:t>
            </w:r>
          </w:p>
        </w:tc>
        <w:tc>
          <w:tcPr>
            <w:tcW w:w="440" w:type="dxa"/>
            <w:vAlign w:val="bottom"/>
          </w:tcPr>
          <w:p>
            <w:pPr>
              <w:spacing w:after="0"/>
              <w:rPr>
                <w:sz w:val="16"/>
                <w:szCs w:val="16"/>
                <w:color w:val="auto"/>
              </w:rPr>
            </w:pPr>
          </w:p>
        </w:tc>
        <w:tc>
          <w:tcPr>
            <w:tcW w:w="15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(Credits) charges</w:t>
            </w:r>
          </w:p>
        </w:tc>
        <w:tc>
          <w:tcPr>
            <w:tcW w:w="420" w:type="dxa"/>
            <w:vAlign w:val="bottom"/>
          </w:tcPr>
          <w:p>
            <w:pPr>
              <w:spacing w:after="0"/>
              <w:rPr>
                <w:sz w:val="15"/>
                <w:szCs w:val="15"/>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204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42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bottom w:val="single" w:sz="8" w:color="auto"/>
            </w:tcBorders>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4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Income Taxes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provision for income taxes was $16.4 million and $23.6 million for the three months ended March 31, 2024 and 2023, respectively, and the effective tax rate was 12.9% and 14.9%, respectively. The decrease in the effective tax rate is primarily due to a shift in the forecasted geographic earnings mix, offset by a decrease in the tax benefit related to stock-based compensation for the three months ended March 31, 2024, as compared to the same period in 2023. During the three months ended March 31, 2024 and 2023, we recorded a tax benefit of $10.9 million and $11.6 million, respectively, associated with stock-based compensation. The Company continues to address the change in tax laws enacted pursuant to the Organization for Economic Cooperation and Development (OECD)’s 15% global minimum tax initiative (Pillar 2). The 2024 forecasted impact of Pillar 2 is not expected to be material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Commitments and Contingencies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157" w:lineRule="exact"/>
        <w:rPr>
          <w:sz w:val="20"/>
          <w:szCs w:val="20"/>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have been no significant changes to the commitments and contingencies included in our </w:t>
      </w:r>
      <w:hyperlink r:id="rId25">
        <w:r>
          <w:rPr>
            <w:rFonts w:ascii="Times New Roman" w:cs="Times New Roman" w:eastAsia="Times New Roman" w:hAnsi="Times New Roman"/>
            <w:sz w:val="14"/>
            <w:szCs w:val="14"/>
            <w:u w:val="single" w:color="auto"/>
            <w:color w:val="0000FF"/>
          </w:rPr>
          <w:t>2023 Annual Report</w:t>
        </w:r>
      </w:hyperlink>
      <w:r>
        <w:rPr>
          <w:rFonts w:ascii="Times New Roman" w:cs="Times New Roman" w:eastAsia="Times New Roman" w:hAnsi="Times New Roman"/>
          <w:sz w:val="14"/>
          <w:szCs w:val="14"/>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Segment Information</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information about our reportable segments, reconciled to consolidated totals:</w:t>
            </w: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0"/>
        </w:trPr>
        <w:tc>
          <w:tcPr>
            <w:tcW w:w="6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60" w:type="dxa"/>
            <w:vAlign w:val="bottom"/>
            <w:gridSpan w:val="3"/>
          </w:tcPr>
          <w:p>
            <w:pPr>
              <w:jc w:val="right"/>
              <w:ind w:right="14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460" w:type="dxa"/>
            <w:vAlign w:val="bottom"/>
          </w:tcPr>
          <w:p>
            <w:pPr>
              <w:spacing w:after="0"/>
              <w:rPr>
                <w:sz w:val="13"/>
                <w:szCs w:val="13"/>
                <w:color w:val="auto"/>
              </w:rPr>
            </w:pPr>
          </w:p>
        </w:tc>
      </w:tr>
      <w:tr>
        <w:trPr>
          <w:trHeight w:val="184"/>
        </w:trPr>
        <w:tc>
          <w:tcPr>
            <w:tcW w:w="66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color w:val="auto"/>
              </w:rPr>
              <w:t>March 31,</w:t>
            </w:r>
          </w:p>
        </w:tc>
        <w:tc>
          <w:tcPr>
            <w:tcW w:w="1460" w:type="dxa"/>
            <w:vAlign w:val="bottom"/>
            <w:tcBorders>
              <w:bottom w:val="single" w:sz="8" w:color="auto"/>
            </w:tcBorders>
          </w:tcPr>
          <w:p>
            <w:pPr>
              <w:spacing w:after="0"/>
              <w:rPr>
                <w:sz w:val="16"/>
                <w:szCs w:val="16"/>
                <w:color w:val="auto"/>
              </w:rPr>
            </w:pPr>
          </w:p>
        </w:tc>
      </w:tr>
      <w:tr>
        <w:trPr>
          <w:trHeight w:val="178"/>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2023</w:t>
            </w:r>
          </w:p>
        </w:tc>
      </w:tr>
      <w:tr>
        <w:trPr>
          <w:trHeight w:val="16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5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Proprietary Products</w:t>
            </w: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100" w:type="dxa"/>
            <w:vAlign w:val="bottom"/>
          </w:tcPr>
          <w:p>
            <w:pPr>
              <w:spacing w:after="0"/>
              <w:rPr>
                <w:sz w:val="15"/>
                <w:szCs w:val="15"/>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5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716.6</w:t>
            </w:r>
          </w:p>
        </w:tc>
      </w:tr>
      <w:tr>
        <w:trPr>
          <w:trHeight w:val="20"/>
        </w:trPr>
        <w:tc>
          <w:tcPr>
            <w:tcW w:w="6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summarized financial information for our segments: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0"/>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r>
      <w:tr>
        <w:trPr>
          <w:trHeight w:val="17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71"/>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business segment operating profit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r>
      <w:tr>
        <w:trPr>
          <w:trHeight w:val="16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80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Corporate general costs </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0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(2)</w:t>
            </w: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8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(3)</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Corporate and Unallocated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71"/>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consolidated operating profit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costs includes executive and director compensation, certain pension and other retirement benefit costs, and other corporate facilities and administrative expenses not allocated to the segments.</w:t>
      </w:r>
    </w:p>
    <w:p>
      <w:pPr>
        <w:spacing w:after="0" w:line="145" w:lineRule="exact"/>
        <w:rPr>
          <w:rFonts w:ascii="Times New Roman" w:cs="Times New Roman" w:eastAsia="Times New Roman" w:hAnsi="Times New Roman"/>
          <w:sz w:val="14"/>
          <w:szCs w:val="14"/>
          <w:color w:val="auto"/>
        </w:rPr>
      </w:pPr>
    </w:p>
    <w:p>
      <w:pPr>
        <w:ind w:right="36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the Company recorded expense of $9.4 million within other expense (income), as a result of the sale of one of the Company's manufacturing facilities within the Proprietary Products segment. The transaction closed during the second quarter of 2023.</w:t>
      </w:r>
    </w:p>
    <w:p>
      <w:pPr>
        <w:spacing w:after="0" w:line="145" w:lineRule="exact"/>
        <w:rPr>
          <w:rFonts w:ascii="Times New Roman" w:cs="Times New Roman" w:eastAsia="Times New Roman" w:hAnsi="Times New Roman"/>
          <w:sz w:val="14"/>
          <w:szCs w:val="14"/>
          <w:color w:val="auto"/>
        </w:rPr>
      </w:pPr>
    </w:p>
    <w:p>
      <w:pPr>
        <w:ind w:right="8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2024 and 2023, we recorded $0.2 million of amortization expense within operating profit associated with an intangible asset acquired during the second quarter of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14, </w:t>
      </w:r>
      <w:r>
        <w:rPr>
          <w:rFonts w:ascii="Times New Roman" w:cs="Times New Roman" w:eastAsia="Times New Roman" w:hAnsi="Times New Roman"/>
          <w:sz w:val="14"/>
          <w:szCs w:val="14"/>
          <w:i w:val="1"/>
          <w:iCs w:val="1"/>
          <w:u w:val="single" w:color="auto"/>
          <w:color w:val="0000FF"/>
        </w:rPr>
        <w:t>Other Expense (Income)</w:t>
      </w:r>
      <w:r>
        <w:rPr>
          <w:rFonts w:ascii="Times New Roman" w:cs="Times New Roman" w:eastAsia="Times New Roman" w:hAnsi="Times New Roman"/>
          <w:sz w:val="14"/>
          <w:szCs w:val="14"/>
          <w:color w:val="auto"/>
        </w:rPr>
        <w:t>, for further discussion of certain unallocated items referenced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2023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2023 Annual Report and in Part II, Item 1A of this Form 10-Q.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Throughout this section, references to “Notes” refer to the notes to our condensed consolidated financial statements (unaudited) in Part I, Item 1 of this Form 10-Q,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GAAP Financial Measures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Factors</w:t>
      </w:r>
    </w:p>
    <w:p>
      <w:pPr>
        <w:spacing w:after="0" w:line="20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Performance Summary</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61"/>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present a reconciliation from U.S. GAAP to non-U.S. GAAP financial measures: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Operating Profit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24"/>
                <w:szCs w:val="24"/>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Quarter ended March 31, 2024 GAAP</w:t>
            </w: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(1)</w:t>
            </w: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 ended March 31, 2024 adjusted amounts (non-U.S. GAAP)</w:t>
            </w: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123.0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
        </w:trPr>
        <w:tc>
          <w:tcPr>
            <w:tcW w:w="4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quarter 2024, we recorded a tax benefit of $10.9 million associated with stock-based compensation.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Profit</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Quarter ended March 31, 2023 GAAP</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0"/>
        </w:trPr>
        <w:tc>
          <w:tcPr>
            <w:tcW w:w="4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Quarter ended March 31, 2023 adjusted amounts (non-U.S. GAAP)</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quarter 2023, we recorded a tax benefit of $11.6 million associated with stock-based compensation.</w:t>
      </w:r>
    </w:p>
    <w:p>
      <w:pPr>
        <w:spacing w:after="0" w:line="200" w:lineRule="exact"/>
        <w:rPr>
          <w:sz w:val="20"/>
          <w:szCs w:val="20"/>
          <w:color w:val="auto"/>
        </w:rPr>
      </w:pPr>
    </w:p>
    <w:p>
      <w:pPr>
        <w:ind w:left="520" w:right="80" w:hanging="260"/>
        <w:spacing w:after="0" w:line="270" w:lineRule="auto"/>
        <w:tabs>
          <w:tab w:leader="none" w:pos="51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2024 and 2023, the Company recorded $0.2 million of amortization expense within operating profit associated with an intangible asset acquired during the second quarter of 2020. During the three months ended March 31, 2024 and 2023, the Company recorded $0.5 million of amortization expense in association with an acquisition of increased ownership interest in Daikyo.</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the Company recorded expense of $9.4 million within other expense (income), as a result of the sale of one of the Company's manufacturing facilities within the Proprietary Products segment. The transaction closed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Percentages in the following tables and throughout the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xml:space="preserve"> section may reflect rounding adjustments.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sales, consolidated and by reportable segment, for the three months ended March 31, 2024 and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color w:val="auto"/>
              </w:rPr>
              <w:t>Percentage Change</w:t>
            </w:r>
          </w:p>
        </w:tc>
        <w:tc>
          <w:tcPr>
            <w:tcW w:w="1060" w:type="dxa"/>
            <w:vAlign w:val="bottom"/>
            <w:tcBorders>
              <w:bottom w:val="single" w:sz="8" w:color="auto"/>
            </w:tcBorders>
          </w:tcPr>
          <w:p>
            <w:pPr>
              <w:spacing w:after="0"/>
              <w:rPr>
                <w:sz w:val="16"/>
                <w:szCs w:val="16"/>
                <w:color w:val="auto"/>
              </w:rPr>
            </w:pPr>
          </w:p>
        </w:tc>
      </w:tr>
      <w:tr>
        <w:trPr>
          <w:trHeight w:val="171"/>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Pr>
          <w:p>
            <w:pPr>
              <w:spacing w:after="0"/>
              <w:rPr>
                <w:sz w:val="14"/>
                <w:szCs w:val="14"/>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4"/>
                <w:szCs w:val="14"/>
                <w:color w:val="auto"/>
              </w:rPr>
            </w:pPr>
          </w:p>
        </w:tc>
        <w:tc>
          <w:tcPr>
            <w:tcW w:w="22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As-Reported</w:t>
            </w: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Organic</w:t>
            </w:r>
          </w:p>
        </w:tc>
      </w:tr>
      <w:tr>
        <w:trPr>
          <w:trHeight w:val="17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w:t>
            </w: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Consolidated net sales decreased by $21.2 million, or 3.0%, for the three months ended March 31, 2024, as compared to the same period in 2023, including a favorable foreign currency translation impact of $3.4 million. Excluding foreign currency translation effects and removal of the 2023 sales impact related to one of our plants that was disposed of in the second quarter of 2023 of $3.2 million, consolidated net sales for the three months ended March 31, 2024 decreased by $21.4 million, or 3.0%, as compared to the same period in 2023.</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net sales decreased by $23.6 million, or 4.0%, for the three months ended March 31, 2024, as compared to the same period in 2023, including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favorable foreign currency translation impact of $2.8 million. Excluding foreign currency translation effects and removal of the 2023 sales impact related to one of our plants that was disposed of in the second quarter of 2023 of $3.2 million, net sales for the three months ended March 31, 2024 decreased by $23.2 million, or 4.0%, as compared to the same period in 2023, primarily due to a decline in sales of certain high-value product offerings, primarily FluroTec® products, Westar® components and a decrease in the sales of standard components. These reductions were partially offset by an increase in sales of NovaPure® products, self-injection device platforms and Daikyo Crystal Zenith® components, as well as increased sales prices.</w:t>
      </w:r>
    </w:p>
    <w:p>
      <w:pPr>
        <w:spacing w:after="0" w:line="16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net sales increased by $2.4 million, or 1.8%, for the three months ended March 31,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including a favorable foreign currency translation impact of $0.6 million. Excluding foreign currency translation effects, net sales for the three months ended March 31, 2024 increased by $1.8 million, or 1.3%, as compared to the same period in 2023, primarily due to an increase in sales of components associated with diagnostic devices and increased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1"/>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gross profit and related gross profit margins, consolidated and by reportable segment:</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0"/>
        </w:trPr>
        <w:tc>
          <w:tcPr>
            <w:tcW w:w="7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3"/>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r>
      <w:tr>
        <w:trPr>
          <w:trHeight w:val="184"/>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7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247.8</w:t>
            </w:r>
          </w:p>
        </w:tc>
      </w:tr>
      <w:tr>
        <w:trPr>
          <w:trHeight w:val="18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42.5 %</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17.6 %</w:t>
            </w: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gross profit</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Consolidated gross profit margin</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33.1 %</w:t>
            </w: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37.9 %</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Consolidated gross profit decreased by $41.1 million, or 15.1%, for the three months ended March 31, 2024, as compared to the same period in 2023, including a favorable foreign currency translation impact of $1.3 million for the three months ended March 31, 2024, as compared to the same period in 2023. Consolidated gross profit margin decreased by 4.8 margin points for the three months ended March 31, 2024, as compared to the same period in 2023.</w:t>
      </w:r>
    </w:p>
    <w:p>
      <w:pPr>
        <w:spacing w:after="0" w:line="15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gross profit decreased by $40.7 million, or 16.4%, for the three months ended March 31, 2024, as compared to the same period in 2023, including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favorable foreign currency translation impact of $1.2 million. Proprietary Products gross profit margin decreased by 5.5 margin points for the three months ended March 31, 2024, as compared to the same periods in 2023, due to lower sales volume and an unfavorable mix of products sold. These headwinds were partially offset by increased sales prices.</w:t>
      </w:r>
    </w:p>
    <w:p>
      <w:pPr>
        <w:spacing w:after="0" w:line="15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gross profit decreased by $0.4 million, or 1.7%, for the three months ended March 31,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including a favorable foreign currency translation impact of $0.1 million. Contract-Manufactured Products gross profit margin decreased by 0.6 margin points for the three months ended March 31, 2024, as compared to the same period in 2023, due to inflationary pressures, primarily within compensation costs, and unfavorable mix of product sold. These headwinds were partially offset by increased sales prices.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(“R&amp;D”)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consolidated R&amp;D costs:</w:t>
      </w:r>
    </w:p>
    <w:p>
      <w:pPr>
        <w:spacing w:after="0" w:line="34"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R&amp;D costs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Consolidated R&amp;D costs increased by $0.5 million, or 2.9%, for the three months ended March 31, 2024, as compared to the same period in 2023, due to additional research performed to identify new product opportunities. Efforts remain focused on the continued investment in elastomeric packaging components, formulation development, drug containment systems, self-injection systems and drug administration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R&amp;D costs incurred during the three months ended March 31, 2024 and 2023 related to Proprietary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(“SG&amp;A”)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SG&amp;A costs, consolidated and by reportable segment and corporate and unallocated items:</w:t>
      </w:r>
    </w:p>
    <w:p>
      <w:pPr>
        <w:spacing w:after="0" w:line="34"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7820"/>
        <w:spacing w:after="0"/>
        <w:rPr>
          <w:sz w:val="20"/>
          <w:szCs w:val="20"/>
          <w:color w:val="auto"/>
        </w:rPr>
      </w:pPr>
      <w:r>
        <w:rPr>
          <w:rFonts w:ascii="Times New Roman" w:cs="Times New Roman" w:eastAsia="Times New Roman" w:hAnsi="Times New Roman"/>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11430</wp:posOffset>
            </wp:positionV>
            <wp:extent cx="21831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 millions)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Proprietary Products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Consolidated SG&amp;A costs</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SG&amp;A as a % of net sales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14605</wp:posOffset>
            </wp:positionV>
            <wp:extent cx="716153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240" w:hanging="1240"/>
        <w:spacing w:after="0"/>
        <w:tabs>
          <w:tab w:leader="none" w:pos="1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60.7</w:t>
      </w:r>
    </w:p>
    <w:p>
      <w:pPr>
        <w:spacing w:after="0" w:line="23"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w:t>
      </w:r>
    </w:p>
    <w:p>
      <w:pPr>
        <w:spacing w:after="0" w:line="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-101600</wp:posOffset>
            </wp:positionV>
            <wp:extent cx="7161530" cy="121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1240" w:hanging="1240"/>
        <w:spacing w:after="0"/>
        <w:tabs>
          <w:tab w:leader="none" w:pos="1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86.7</w:t>
      </w:r>
    </w:p>
    <w:p>
      <w:pPr>
        <w:spacing w:after="0" w:line="59"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-124460</wp:posOffset>
            </wp:positionV>
            <wp:extent cx="716153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14"/>
          <w:szCs w:val="14"/>
          <w:color w:val="auto"/>
        </w:rPr>
        <w:t>2023</w:t>
      </w:r>
    </w:p>
    <w:p>
      <w:pPr>
        <w:spacing w:after="0" w:line="30" w:lineRule="exact"/>
        <w:rPr>
          <w:sz w:val="20"/>
          <w:szCs w:val="20"/>
          <w:color w:val="auto"/>
        </w:rPr>
      </w:pPr>
    </w:p>
    <w:p>
      <w:pPr>
        <w:ind w:left="1229" w:hanging="1229"/>
        <w:spacing w:after="0"/>
        <w:tabs>
          <w:tab w:leader="none" w:pos="122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56.5</w:t>
      </w:r>
    </w:p>
    <w:p>
      <w:pPr>
        <w:spacing w:after="0" w:line="23" w:lineRule="exact"/>
        <w:rPr>
          <w:rFonts w:ascii="Times New Roman" w:cs="Times New Roman" w:eastAsia="Times New Roman" w:hAnsi="Times New Roman"/>
          <w:sz w:val="14"/>
          <w:szCs w:val="14"/>
          <w:color w:val="auto"/>
        </w:rPr>
      </w:pPr>
    </w:p>
    <w:p>
      <w:pPr>
        <w:ind w:left="130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w:t>
      </w:r>
    </w:p>
    <w:p>
      <w:pPr>
        <w:spacing w:after="0" w:line="19" w:lineRule="exact"/>
        <w:rPr>
          <w:sz w:val="20"/>
          <w:szCs w:val="20"/>
          <w:color w:val="auto"/>
        </w:rPr>
      </w:pPr>
    </w:p>
    <w:p>
      <w:pPr>
        <w:ind w:left="1229"/>
        <w:spacing w:after="0"/>
        <w:rPr>
          <w:sz w:val="20"/>
          <w:szCs w:val="20"/>
          <w:color w:val="auto"/>
        </w:rPr>
      </w:pPr>
      <w:r>
        <w:rPr>
          <w:rFonts w:ascii="Times New Roman" w:cs="Times New Roman" w:eastAsia="Times New Roman" w:hAnsi="Times New Roman"/>
          <w:sz w:val="14"/>
          <w:szCs w:val="14"/>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0579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6" w:lineRule="exact"/>
        <w:rPr>
          <w:sz w:val="20"/>
          <w:szCs w:val="20"/>
          <w:color w:val="auto"/>
        </w:rPr>
      </w:pPr>
    </w:p>
    <w:p>
      <w:pPr>
        <w:ind w:left="1229" w:hanging="1229"/>
        <w:spacing w:after="0"/>
        <w:tabs>
          <w:tab w:leader="none" w:pos="122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86.0</w:t>
      </w:r>
    </w:p>
    <w:p>
      <w:pPr>
        <w:spacing w:after="0" w:line="59" w:lineRule="exact"/>
        <w:rPr>
          <w:rFonts w:ascii="Times New Roman" w:cs="Times New Roman" w:eastAsia="Times New Roman" w:hAnsi="Times New Roman"/>
          <w:sz w:val="14"/>
          <w:szCs w:val="14"/>
          <w:color w:val="auto"/>
        </w:rPr>
      </w:pPr>
    </w:p>
    <w:p>
      <w:pPr>
        <w:ind w:left="12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36195</wp:posOffset>
            </wp:positionV>
            <wp:extent cx="10579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05791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-124460</wp:posOffset>
            </wp:positionV>
            <wp:extent cx="10579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3">
            <w:col w:w="7140" w:space="720"/>
            <w:col w:w="1640" w:space="131"/>
            <w:col w:w="1649"/>
          </w:cols>
          <w:pgMar w:left="300" w:top="127" w:right="319" w:bottom="1440" w:gutter="0" w:footer="0" w:header="0"/>
          <w:type w:val="continuous"/>
        </w:sectPr>
      </w:pPr>
    </w:p>
    <w:p>
      <w:pPr>
        <w:spacing w:after="0" w:line="9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Consolidated SG&amp;A costs increased by $0.7 million, or 0.8%, for the three months ended March 31, 2024, as compared to the same period in 2023, primarily due to an increase in costs related to professional services and increased compensation costs, offset by a decrease in expense related to stock-based compensation.</w:t>
      </w:r>
    </w:p>
    <w:p>
      <w:pPr>
        <w:spacing w:after="0" w:line="143"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SG&amp;A costs increased by $4.2 million, or 7.4%, for the three months ended March 31, 2024, as compared to the same period in 2023. Proprietary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SG&amp;A costs increased primarily due to an increase in costs related to professional services and increased compensation costs.</w:t>
      </w:r>
    </w:p>
    <w:p>
      <w:pPr>
        <w:spacing w:after="0" w:line="14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SG&amp;A costs increased by $0.2 million, or 3.3% for the three months ended March 31,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w:t>
      </w:r>
    </w:p>
    <w:p>
      <w:pPr>
        <w:spacing w:after="0" w:line="14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SG&amp;A costs decreased by $3.7 million, or 15.7%, for the three months ended March 31, 2024, as compared to the same period in 2023, primarily due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 decrease in expense related to stock-based compensation, offset by increased compensation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other income and expense items, consolidated and by reportable segment, corporate and unallocated items: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0"/>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ind w:left="660"/>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(Income)</w:t>
            </w: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60" w:type="dxa"/>
            <w:vAlign w:val="bottom"/>
          </w:tcPr>
          <w:p>
            <w:pPr>
              <w:spacing w:after="0"/>
              <w:rPr>
                <w:sz w:val="15"/>
                <w:szCs w:val="15"/>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(0.2)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other expense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Other expense and income items consist of a loss on disposal of plant, asset impairments, foreign exchange transaction gains and losses, contingent consideration and miscellaneous income and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other expense (income) changed by $9.8 million for the three months ended March 31, 2024, as compared to the same period in 2023, due to the factors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other expense (income) changed by $1.0 million for the three months ended March 31, 2024, as compared to the same period in 2023,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additional asset impairments being recorded in the three months ended March 31, 2023, as compared to the same period in 2024.</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other expense (income) changed by $0.3 million for the three months ended March 31,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w:t>
      </w:r>
    </w:p>
    <w:p>
      <w:pPr>
        <w:spacing w:after="0" w:line="1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and unallocated other expense (income) changed by $8.5 million for the three months ended March 31, 2024, as compared to the same periods in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primarily due to the Company recording expense of $9.4 million as a result of the sale of one of the Company’s manufacturing facilities within the Proprietary Products segment in the three months ended March 31, 2023 that did not repeat 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Profit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operating profit and adjusted operating profit, consolidated and by reportable segment, corporate and unallocated items: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400" w:type="dxa"/>
            <w:vAlign w:val="bottom"/>
          </w:tcPr>
          <w:p>
            <w:pPr>
              <w:spacing w:after="0"/>
              <w:rPr>
                <w:sz w:val="15"/>
                <w:szCs w:val="15"/>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 margin</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4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consolidated operating profit (non-U.S. GAAP)</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164.9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Adjusted consolidated operating profit margin (non-U.S. GAAP)</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Consolidated operating profit decreased by $32.5 million, or 20.9%, for the three months ended March 31, 2024, as compared to the same period in 2023, including a favorable foreign currency translation impact of $1.2 million for the three months ended March 31, 2024, as compared to the same period in 2023.</w:t>
      </w:r>
    </w:p>
    <w:p>
      <w:pPr>
        <w:spacing w:after="0" w:line="14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operating profit decreased by $44.4 million, or 26.0%, for the three months ended March 31, 2024, as compared to the same period in 2023, including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favorable foreign currency translation impact of $1.1 million, due to the factors described above, most notably lower gross profit driven by lower sales volume and an unfavorable mix of products sold.</w:t>
      </w:r>
    </w:p>
    <w:p>
      <w:pPr>
        <w:spacing w:after="0" w:line="155"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operating profit decreased by $0.3 million, or 1.7%, for the three months ended March 31, 2024, as compared to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in 2023, including a favorable foreign currency translation impact of $0.1 million, due to the factors described above, most notably increased labor costs that were driven by inflation.</w:t>
      </w:r>
    </w:p>
    <w:p>
      <w:pPr>
        <w:spacing w:after="0" w:line="14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 </w:t>
      </w:r>
      <w:r>
        <w:rPr>
          <w:rFonts w:ascii="Times New Roman" w:cs="Times New Roman" w:eastAsia="Times New Roman" w:hAnsi="Times New Roman"/>
          <w:sz w:val="14"/>
          <w:szCs w:val="14"/>
          <w:color w:val="auto"/>
        </w:rPr>
        <w:t>Excluding the unallocated items, Corporate costs decreased by $2.8 million, or 12.1%, for the three months ended March 31,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due to the factors described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unallocated items, please refer to the Financial Performance Summary section above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interest expense, net, by significant component: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0"/>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r>
      <w:tr>
        <w:trPr>
          <w:trHeight w:val="17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w w:val="96"/>
              </w:rPr>
              <w:t>(2.0)</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color w:val="auto"/>
                <w:w w:val="96"/>
              </w:rPr>
              <w:t>(1.1)</w:t>
            </w: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8040" w:type="dxa"/>
            <w:vAlign w:val="bottom"/>
            <w:tcBorders>
              <w:top w:val="single" w:sz="8" w:color="CCEEFF"/>
              <w:bottom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040" w:type="dxa"/>
            <w:vAlign w:val="bottom"/>
            <w:tcBorders>
              <w:bottom w:val="single" w:sz="8" w:color="CCEEFF"/>
            </w:tcBorders>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auto"/>
            </w:tcBorders>
            <w:shd w:val="clear" w:color="auto" w:fill="CCEEFF"/>
          </w:tcPr>
          <w:p>
            <w:pPr>
              <w:jc w:val="right"/>
              <w:ind w:right="2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29"/>
              <w:spacing w:after="0" w:line="153" w:lineRule="exact"/>
              <w:rPr>
                <w:sz w:val="20"/>
                <w:szCs w:val="20"/>
                <w:color w:val="auto"/>
              </w:rPr>
            </w:pPr>
            <w:r>
              <w:rPr>
                <w:rFonts w:ascii="Times New Roman" w:cs="Times New Roman" w:eastAsia="Times New Roman" w:hAnsi="Times New Roman"/>
                <w:sz w:val="14"/>
                <w:szCs w:val="14"/>
                <w:color w:val="auto"/>
                <w:w w:val="96"/>
              </w:rPr>
              <w:t>(6.2)</w:t>
            </w:r>
          </w:p>
        </w:tc>
        <w:tc>
          <w:tcPr>
            <w:tcW w:w="120" w:type="dxa"/>
            <w:vAlign w:val="bottom"/>
          </w:tcPr>
          <w:p>
            <w:pPr>
              <w:spacing w:after="0"/>
              <w:rPr>
                <w:sz w:val="15"/>
                <w:szCs w:val="15"/>
                <w:color w:val="auto"/>
              </w:rPr>
            </w:pPr>
          </w:p>
        </w:tc>
        <w:tc>
          <w:tcPr>
            <w:tcW w:w="580" w:type="dxa"/>
            <w:vAlign w:val="bottom"/>
            <w:tcBorders>
              <w:bottom w:val="single" w:sz="8" w:color="auto"/>
            </w:tcBorders>
            <w:shd w:val="clear" w:color="auto" w:fill="CCEEFF"/>
          </w:tcPr>
          <w:p>
            <w:pPr>
              <w:jc w:val="right"/>
              <w:ind w:right="42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609"/>
              <w:spacing w:after="0" w:line="153" w:lineRule="exact"/>
              <w:rPr>
                <w:sz w:val="20"/>
                <w:szCs w:val="20"/>
                <w:color w:val="auto"/>
              </w:rPr>
            </w:pPr>
            <w:r>
              <w:rPr>
                <w:rFonts w:ascii="Times New Roman" w:cs="Times New Roman" w:eastAsia="Times New Roman" w:hAnsi="Times New Roman"/>
                <w:sz w:val="14"/>
                <w:szCs w:val="14"/>
                <w:color w:val="auto"/>
                <w:w w:val="96"/>
              </w:rPr>
              <w:t>(4.8)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Interest expense, net, decreased $0.6 million for the three months ended March 31, 2024, as compared to the same period in 2023, due to an increase in capitalized interest, offset by higher interest rates compared to the prior year.</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Interest income increased by $1.4 million for the three months ended March 31, 2024, as compared to the same period in 2023, due primarily from 2024 investments in liquid low-risk money market funds or bank deposits in the U.S., Europe, and South America yielding higher interest rates compared to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provision for income taxes was $16.4 million and $23.6 million for the three months ended March 31, 2024 and 2023, respectively, and the effective tax rate was 12.9% and 14.9%, respectively. The decrease in the effective tax rate is primarily due to a shift in the forecasted geographic earnings mix, offset by a decrease in the tax benefit related to stock-based compensation for the three months ended March 31, 2024, as compared to the same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 Net Income of Affiliated Companies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Equity in net income of affiliated companies decreased by $1.4 million for the three months ended March 31, 2024, as compared to the same period in 2023, due to less favorable operating results at Daikyo and the Mexico affiliates.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cash flow data for the three months ended March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138.1</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(82.1)</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Provided by Operating Activities – </w:t>
      </w:r>
      <w:r>
        <w:rPr>
          <w:rFonts w:ascii="Times New Roman" w:cs="Times New Roman" w:eastAsia="Times New Roman" w:hAnsi="Times New Roman"/>
          <w:sz w:val="14"/>
          <w:szCs w:val="14"/>
          <w:color w:val="auto"/>
        </w:rPr>
        <w:t>Net cash provided by operating activities decreased by $19.9 million for the three months ended March 31,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primarily due to a decline in operating results.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Used in Investing Activities – </w:t>
      </w:r>
      <w:r>
        <w:rPr>
          <w:rFonts w:ascii="Times New Roman" w:cs="Times New Roman" w:eastAsia="Times New Roman" w:hAnsi="Times New Roman"/>
          <w:sz w:val="14"/>
          <w:szCs w:val="14"/>
          <w:color w:val="auto"/>
        </w:rPr>
        <w:t>Net cash used in investing activities increased by $8.5 million for the three months ended March 31, 2024, as compared to the same period in 2023, due 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 in capital expenditures for additional manufacturing capacity in 2024 to meet customer demand.</w:t>
      </w:r>
    </w:p>
    <w:p>
      <w:pPr>
        <w:spacing w:after="0" w:line="141"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Used in Financing Activities – </w:t>
      </w:r>
      <w:r>
        <w:rPr>
          <w:rFonts w:ascii="Times New Roman" w:cs="Times New Roman" w:eastAsia="Times New Roman" w:hAnsi="Times New Roman"/>
          <w:sz w:val="14"/>
          <w:szCs w:val="14"/>
          <w:color w:val="auto"/>
        </w:rPr>
        <w:t>Net cash used in financing activities increased by $200.0 million for the three months ended March 31, 2024, as compared to the same period in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primarily due to an increase in purchases under our share repurchase program in 2024, as compared to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presents selected liquidity and capital measures: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0"/>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34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2,680.6</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all instruments that have maturities of ninety days or less when purchased. Working capital is defined as current assets less current liabilities.</w:t>
      </w:r>
    </w:p>
    <w:p>
      <w:pPr>
        <w:spacing w:after="0" w:line="1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 </w:t>
      </w:r>
      <w:r>
        <w:rPr>
          <w:rFonts w:ascii="Times New Roman" w:cs="Times New Roman" w:eastAsia="Times New Roman" w:hAnsi="Times New Roman"/>
          <w:sz w:val="14"/>
          <w:szCs w:val="14"/>
          <w:color w:val="auto"/>
        </w:rPr>
        <w:t>Our cash and cash equivalents balance at March 31, 2024 consisted of cash held in depository accounts with banks around the world and cash invested in high-quality,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short-term investments. The cash and cash equivalents balance at March 31, 2024 included $220.6 million of cash held by subsidiaries within the U.S., and $381.2 million of cash held by subsidiaries outside of the U.S. During the three months ended March 31, 2024, we purchased 729,679 shares of our common stock under our share repurchase program at a cost of $267.0 million, or an average price of $365.87 per share.</w:t>
      </w:r>
    </w:p>
    <w:p>
      <w:pPr>
        <w:spacing w:after="0" w:line="15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Working capital – </w:t>
      </w:r>
      <w:r>
        <w:rPr>
          <w:rFonts w:ascii="Times New Roman" w:cs="Times New Roman" w:eastAsia="Times New Roman" w:hAnsi="Times New Roman"/>
          <w:sz w:val="14"/>
          <w:szCs w:val="14"/>
          <w:color w:val="auto"/>
        </w:rPr>
        <w:t>Working capital at March 31, 2024 decreased by $220.1 million, or 17.4%, as compared to December 31, 2023, which includes an unfavorable foreign currency translation impact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$20.7 million. Excluding the impact of currency exchange rates, cash and cash equivalents and total current liabilities decreased by $243.6 million and $18.0 million, respectively, while accounts receivable increased by $18.5 million.</w:t>
      </w:r>
    </w:p>
    <w:p>
      <w:pPr>
        <w:spacing w:after="0" w:line="15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decrease in cash and cash equivalents was due to capital expenditures and share repurchases, offset by cash from operations during the three months ended March 31, 2024. The decrease in total current liabilities was primarily driven by the payout of the 2023 annual incentive plan accrual during the three months ended March 31, 2024. The increase in accounts receivable was due to timing of collections.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Debt and credit facilities – </w:t>
      </w:r>
      <w:r>
        <w:rPr>
          <w:rFonts w:ascii="Times New Roman" w:cs="Times New Roman" w:eastAsia="Times New Roman" w:hAnsi="Times New Roman"/>
          <w:sz w:val="14"/>
          <w:szCs w:val="14"/>
          <w:color w:val="auto"/>
        </w:rPr>
        <w:t>The $0.6 million decrease in total debt at March 31, 2024, as compared to December 31, 2023, resulted from debt repayments under our Term Loan.</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Our sources of liquidity include our Credit Facility. At March 31, 2024, we had no outstanding borrowings under the Credit Facility. At March 31, 2024, the borrowing capacity available under the Credit Facility, including outstanding letters of credit of $2.4 million, was $497.6 million. We do not expect any significant limitations on our ability to access this source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March 31, 2024, we were in compliance with all of our debt covenants.</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summary of future material cash payments resulting from commitments and contractual obligations was provided in our 2023 Annual Report. During the three months ended March 31, 2024, there were no material changes outside of the ordinary course of business to our commitments and contractual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At March 31, 2024, we had no off-balance sheet financing arrangements other than unconditional purchase obligations incurred in the ordinary course of business and outstanding letters of credit related to various insurance programs, as noted in our 2023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to the Critical Accounting Policies and Estimates disclosed in Part II, Item 7 of our 2023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There were no new accounting standards adopted during the three months ended March 31, 2024, see Note 2, </w:t>
      </w:r>
      <w:r>
        <w:rPr>
          <w:rFonts w:ascii="Times New Roman" w:cs="Times New Roman" w:eastAsia="Times New Roman" w:hAnsi="Times New Roman"/>
          <w:sz w:val="14"/>
          <w:szCs w:val="14"/>
          <w:i w:val="1"/>
          <w:iCs w:val="1"/>
          <w:u w:val="single" w:color="auto"/>
          <w:color w:val="0000FF"/>
        </w:rPr>
        <w:t>New Accounting Standards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16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some important factors that could cause our actual results to differ from our expectations in any forward-looking statements:</w:t>
      </w:r>
    </w:p>
    <w:p>
      <w:pPr>
        <w:spacing w:after="0" w:line="136"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demand and our ability to meet that demand;</w:t>
      </w:r>
    </w:p>
    <w:p>
      <w:pPr>
        <w:spacing w:after="0" w:line="136" w:lineRule="exact"/>
        <w:rPr>
          <w:rFonts w:ascii="Times New Roman" w:cs="Times New Roman" w:eastAsia="Times New Roman" w:hAnsi="Times New Roman"/>
          <w:sz w:val="14"/>
          <w:szCs w:val="14"/>
          <w:color w:val="auto"/>
        </w:rPr>
      </w:pPr>
    </w:p>
    <w:p>
      <w:pPr>
        <w:ind w:left="760" w:right="60" w:hanging="246"/>
        <w:spacing w:after="0" w:line="287"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providers in our businesses, including customers’ in-house operations, and from lower-cost producers in emerging markets, which can impact unit volume, price and profitability;</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changing inventory requirements and manufacturing plans that alter existing orders or ordering patterns for the products we supply to them;</w:t>
      </w:r>
    </w:p>
    <w:p>
      <w:pPr>
        <w:spacing w:after="0" w:line="136" w:lineRule="exact"/>
        <w:rPr>
          <w:rFonts w:ascii="Times New Roman" w:cs="Times New Roman" w:eastAsia="Times New Roman" w:hAnsi="Times New Roman"/>
          <w:sz w:val="14"/>
          <w:szCs w:val="14"/>
          <w:color w:val="auto"/>
        </w:rPr>
      </w:pPr>
    </w:p>
    <w:p>
      <w:pPr>
        <w:ind w:left="760" w:right="300" w:hanging="246"/>
        <w:spacing w:after="0" w:line="270"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regulatory approval and commercial success of customer products that incorporate our products and systems;</w:t>
      </w:r>
    </w:p>
    <w:p>
      <w:pPr>
        <w:spacing w:after="0" w:line="136" w:lineRule="exact"/>
        <w:rPr>
          <w:rFonts w:ascii="Times New Roman" w:cs="Times New Roman" w:eastAsia="Times New Roman" w:hAnsi="Times New Roman"/>
          <w:sz w:val="14"/>
          <w:szCs w:val="14"/>
          <w:color w:val="auto"/>
        </w:rPr>
      </w:pPr>
    </w:p>
    <w:p>
      <w:pPr>
        <w:ind w:left="760" w:hanging="246"/>
        <w:spacing w:after="0" w:line="270"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93" w:lineRule="exact"/>
        <w:rPr>
          <w:rFonts w:ascii="Times New Roman" w:cs="Times New Roman" w:eastAsia="Times New Roman" w:hAnsi="Times New Roman"/>
          <w:sz w:val="14"/>
          <w:szCs w:val="14"/>
          <w:color w:val="auto"/>
        </w:rPr>
      </w:pPr>
    </w:p>
    <w:p>
      <w:pPr>
        <w:ind w:left="760" w:right="340" w:hanging="246"/>
        <w:spacing w:after="0" w:line="287" w:lineRule="auto"/>
        <w:tabs>
          <w:tab w:leader="none" w:pos="756" w:val="left"/>
        </w:tabs>
        <w:numPr>
          <w:ilvl w:val="0"/>
          <w:numId w:val="10"/>
        </w:numPr>
        <w:rPr>
          <w:rFonts w:ascii="Times New Roman" w:cs="Times New Roman" w:eastAsia="Times New Roman" w:hAnsi="Times New Roman"/>
          <w:sz w:val="14"/>
          <w:szCs w:val="14"/>
          <w:b w:val="1"/>
          <w:bCs w:val="1"/>
          <w:i w:val="1"/>
          <w:iCs w:val="1"/>
          <w:color w:val="252525"/>
        </w:rPr>
      </w:pPr>
      <w:r>
        <w:rPr>
          <w:rFonts w:ascii="Times New Roman" w:cs="Times New Roman" w:eastAsia="Times New Roman" w:hAnsi="Times New Roman"/>
          <w:sz w:val="14"/>
          <w:szCs w:val="14"/>
          <w:color w:val="auto"/>
        </w:rPr>
        <w:t>the timely and adequate availability of filling capacity, which is essential to conducting definitive stability trials and the timing of first commercialization of customers’ products in Daikyo Crystal Zenith® prefilled syringes;</w:t>
      </w:r>
    </w:p>
    <w:p>
      <w:pPr>
        <w:spacing w:after="0" w:line="81" w:lineRule="exact"/>
        <w:rPr>
          <w:rFonts w:ascii="Times New Roman" w:cs="Times New Roman" w:eastAsia="Times New Roman" w:hAnsi="Times New Roman"/>
          <w:sz w:val="14"/>
          <w:szCs w:val="14"/>
          <w:b w:val="1"/>
          <w:bCs w:val="1"/>
          <w:i w:val="1"/>
          <w:iCs w:val="1"/>
          <w:color w:val="252525"/>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profitability, or mix, of the products sold in any reporting period, including lower-than-expected sales growth of our high-value proprietary product offerings;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or improving production efficiencies and overhead absorption;</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suppliers and partners, some of which are single-source suppliers of critical materials and products, including our Japanese partner and affiliate, Daikyo;</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personnel or highly-skilled employees;</w:t>
      </w:r>
    </w:p>
    <w:p>
      <w:pPr>
        <w:spacing w:after="0" w:line="136" w:lineRule="exact"/>
        <w:rPr>
          <w:rFonts w:ascii="Times New Roman" w:cs="Times New Roman" w:eastAsia="Times New Roman" w:hAnsi="Times New Roman"/>
          <w:sz w:val="14"/>
          <w:szCs w:val="14"/>
          <w:color w:val="auto"/>
        </w:rPr>
      </w:pPr>
    </w:p>
    <w:p>
      <w:pPr>
        <w:ind w:left="760" w:right="320" w:hanging="246"/>
        <w:spacing w:after="0" w:line="287"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skilled employees required to meet increased production, managerial, research and other needs, including professional employees and persons employed under collective bargaining agreements;</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and timely implementation of price increases necessary to offset rising production costs, including raw material prices, particularly petroleum-based raw materials;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progress of development, regulatory approval and marketing of new products;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licenses in any jurisdiction in which we do business;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strength of USD in relation to other currencies, particularly the Euro, SGD, the Danish Krone, Yen, Colombian Peso, Brazilian Real, and the South Korean Won; and</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effects of global healthcare legislation on customer demand, product pricing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2023 Annual Report as well as Part II, section 1A of this quarterly report.</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Except as required by law or regulation, we undertake no obligation to publicly update any forward-looking statements, whether as a result of new information, future events or otherwise, therefore you should not rely on these forward-looking statements as representing our views as of any date other than today.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in our exposure to market risk or the information provided in Part II, Item 7A of our 2023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CONTROLS AND PROCEDURES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2024, our disclosure controls and procedures are effective.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During the quarter ended March 31, 2024, there have been no changes to our internal control over financial reporting that have materially affected, or are reasonably likely to materially affect, our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material changes to the risk factors disclosed in Part I, Item 1A of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7"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information with respect to purchases of our common stock made during the three months ended March 31, 2024 by us or any of our “affiliated purchasers” as defined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10b-18(a)(3) under the Exchange Act: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Total number of shares purchased as</w:t>
            </w:r>
          </w:p>
        </w:tc>
        <w:tc>
          <w:tcPr>
            <w:tcW w:w="100" w:type="dxa"/>
            <w:vAlign w:val="bottom"/>
          </w:tcPr>
          <w:p>
            <w:pPr>
              <w:spacing w:after="0"/>
              <w:rPr>
                <w:sz w:val="13"/>
                <w:szCs w:val="13"/>
                <w:color w:val="auto"/>
              </w:rPr>
            </w:pPr>
          </w:p>
        </w:tc>
        <w:tc>
          <w:tcPr>
            <w:tcW w:w="21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Approximate dollar value of shares</w:t>
            </w:r>
          </w:p>
        </w:tc>
      </w:tr>
      <w:tr>
        <w:trPr>
          <w:trHeight w:val="144"/>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part of publicly announced plans or</w:t>
            </w:r>
          </w:p>
        </w:tc>
        <w:tc>
          <w:tcPr>
            <w:tcW w:w="22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that may yet be purchased under the</w:t>
            </w:r>
          </w:p>
        </w:tc>
      </w:tr>
      <w:tr>
        <w:trPr>
          <w:trHeight w:val="18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number of shares purchased (1)</w:t>
            </w:r>
          </w:p>
        </w:tc>
        <w:tc>
          <w:tcPr>
            <w:tcW w:w="14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Average price paid per share (1)</w:t>
            </w: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programs (1)</w:t>
            </w:r>
          </w:p>
        </w:tc>
        <w:tc>
          <w:tcPr>
            <w:tcW w:w="100" w:type="dxa"/>
            <w:vAlign w:val="bottom"/>
          </w:tcPr>
          <w:p>
            <w:pPr>
              <w:spacing w:after="0"/>
              <w:rPr>
                <w:sz w:val="16"/>
                <w:szCs w:val="16"/>
                <w:color w:val="auto"/>
              </w:rPr>
            </w:pPr>
          </w:p>
        </w:tc>
        <w:tc>
          <w:tcPr>
            <w:tcW w:w="21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plans or programs (1)</w:t>
            </w:r>
          </w:p>
        </w:tc>
      </w:tr>
      <w:tr>
        <w:trPr>
          <w:trHeight w:val="171"/>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1 - 31, 2024</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268,892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349.37</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268,892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467,700,000</w:t>
            </w:r>
          </w:p>
        </w:tc>
      </w:tr>
      <w:tr>
        <w:trPr>
          <w:trHeight w:val="18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1 - 29,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377.73</w:t>
            </w:r>
          </w:p>
        </w:tc>
        <w:tc>
          <w:tcPr>
            <w:tcW w:w="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378,800,000</w:t>
            </w:r>
          </w:p>
        </w:tc>
      </w:tr>
      <w:tr>
        <w:trPr>
          <w:trHeight w:val="18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1 - 31,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225,418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373.17</w:t>
            </w:r>
          </w:p>
        </w:tc>
        <w:tc>
          <w:tcPr>
            <w:tcW w:w="80" w:type="dxa"/>
            <w:vAlign w:val="bottom"/>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225,418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294,700,000</w:t>
            </w:r>
          </w:p>
        </w:tc>
      </w:tr>
      <w:tr>
        <w:trPr>
          <w:trHeight w:val="17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729,679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365.87</w:t>
            </w:r>
          </w:p>
        </w:tc>
        <w:tc>
          <w:tcPr>
            <w:tcW w:w="80" w:type="dxa"/>
            <w:vAlign w:val="bottom"/>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729,679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294,700,000</w:t>
            </w: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60" w:right="40" w:hanging="255"/>
        <w:spacing w:after="0" w:line="270"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Bernard J. Birkett, Senior Vice President, Chief Financial and Operations Officer, entered into a prearranged stock trading arrangement on March 15, 2024. Mr. Birkett’s plan provides for the purchase and sale of an aggregate number of 11,100 shares of the Company's common stock on June 14, 2024. The trading plan was entered into during an open insider trading window and is intended to satisfy Rule 10b5-1(c) under the Exchange Act and the Company’s policies regarding insider transactions.</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300" w:top="127" w:right="7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80" w:type="dxa"/>
            <w:vAlign w:val="bottom"/>
          </w:tcPr>
          <w:p>
            <w:pPr>
              <w:spacing w:after="0"/>
              <w:rPr>
                <w:sz w:val="13"/>
                <w:szCs w:val="13"/>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9400" w:type="dxa"/>
            <w:vAlign w:val="bottom"/>
            <w:gridSpan w:val="11"/>
          </w:tcPr>
          <w:p>
            <w:pPr>
              <w:spacing w:after="0"/>
              <w:rPr>
                <w:sz w:val="13"/>
                <w:szCs w:val="13"/>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10100" w:type="dxa"/>
            <w:vAlign w:val="bottom"/>
            <w:gridSpan w:val="14"/>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Our Amended and Restated Articles of Incorporation (incorporated by reference to Exhibit 3.1 to the Company's Form 10-Q report for the quarter ended June 30, 2020, filed July</w:t>
              </w:r>
            </w:hyperlink>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24, 2020).</w:t>
              </w:r>
            </w:hyperlink>
          </w:p>
        </w:tc>
        <w:tc>
          <w:tcPr>
            <w:tcW w:w="12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38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9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101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Our Amended and Restated Bylaws, effective October 23, 2023 (incorporated by reference to Exhibit 3.2 to the Company's Form 10-Q report for the quarter ended September 30,</w:t>
              </w:r>
            </w:hyperlink>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00" w:type="dxa"/>
            <w:vAlign w:val="bottom"/>
            <w:gridSpan w:val="14"/>
          </w:tcPr>
          <w:p>
            <w:pPr>
              <w:spacing w:after="0" w:line="118"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2023, filed October 26, 2023)</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c>
          <w:tcPr>
            <w:tcW w:w="10100" w:type="dxa"/>
            <w:vAlign w:val="bottom"/>
            <w:gridSpan w:val="14"/>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Form of stock certificate for common stock (incorporated by reference to Exhibit 4 to the Company's 1998 Form 10-K, filed May 6, 1999).</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3"/>
                <w:szCs w:val="13"/>
                <w:color w:val="auto"/>
              </w:rPr>
            </w:pPr>
          </w:p>
        </w:tc>
        <w:tc>
          <w:tcPr>
            <w:tcW w:w="10100" w:type="dxa"/>
            <w:vAlign w:val="bottom"/>
            <w:gridSpan w:val="14"/>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Article 5, 6, 8(c) and 9 of our Amended and Restated Articles of Incorporation (incorporated by reference to Exhibit 3.1 to the Company's Form 10-Q report for the quarter ended</w:t>
              </w:r>
            </w:hyperlink>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June 30, 2020, filed July 24, 2020).</w:t>
              </w:r>
            </w:hyperlink>
          </w:p>
        </w:tc>
        <w:tc>
          <w:tcPr>
            <w:tcW w:w="20" w:type="dxa"/>
            <w:vAlign w:val="bottom"/>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c>
          <w:tcPr>
            <w:tcW w:w="10100" w:type="dxa"/>
            <w:vAlign w:val="bottom"/>
            <w:gridSpan w:val="14"/>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Article I and V of our Bylaws, as amended through February 23, 2021 (incorporated by reference from our Form 8-k, filed March 1, 2021).</w:t>
              </w:r>
            </w:hyperlink>
          </w:p>
        </w:tc>
      </w:tr>
      <w:tr>
        <w:trPr>
          <w:trHeight w:val="188"/>
        </w:trPr>
        <w:tc>
          <w:tcPr>
            <w:tcW w:w="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6"/>
                <w:szCs w:val="16"/>
                <w:color w:val="auto"/>
              </w:rPr>
            </w:pPr>
          </w:p>
        </w:tc>
        <w:tc>
          <w:tcPr>
            <w:tcW w:w="7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auto"/>
              </w:rPr>
              <w:t>Instruments defining the rights of holders of long-term debt securities of West and its subsidiaries have been omitted.</w:t>
            </w:r>
          </w:p>
        </w:tc>
        <w:tc>
          <w:tcPr>
            <w:tcW w:w="2220" w:type="dxa"/>
            <w:vAlign w:val="bottom"/>
            <w:gridSpan w:val="5"/>
          </w:tcPr>
          <w:p>
            <w:pPr>
              <w:spacing w:after="0"/>
              <w:rPr>
                <w:sz w:val="16"/>
                <w:szCs w:val="16"/>
                <w:color w:val="auto"/>
              </w:rPr>
            </w:pPr>
          </w:p>
        </w:tc>
      </w:tr>
      <w:tr>
        <w:trPr>
          <w:trHeight w:val="153"/>
        </w:trPr>
        <w:tc>
          <w:tcPr>
            <w:tcW w:w="9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10100" w:type="dxa"/>
            <w:vAlign w:val="bottom"/>
            <w:gridSpan w:val="14"/>
          </w:tcPr>
          <w:p>
            <w:pPr>
              <w:spacing w:after="0" w:line="153" w:lineRule="exact"/>
              <w:rPr>
                <w:sz w:val="20"/>
                <w:szCs w:val="20"/>
                <w:color w:val="auto"/>
              </w:rPr>
            </w:pPr>
            <w:r>
              <w:rPr>
                <w:rFonts w:ascii="Times New Roman" w:cs="Times New Roman" w:eastAsia="Times New Roman" w:hAnsi="Times New Roman"/>
                <w:sz w:val="14"/>
                <w:szCs w:val="14"/>
                <w:color w:val="0000FF"/>
              </w:rPr>
              <w:t>Form of 2024 Stock Option Agreement, Performance Stock Unit Agreement and Restricted Stock Unit Agreement, issued pursuant to the 2016 Omnibus Incentive Compensation</w:t>
            </w:r>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Plan</w:t>
            </w:r>
          </w:p>
        </w:tc>
        <w:tc>
          <w:tcPr>
            <w:tcW w:w="980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4"/>
                <w:szCs w:val="14"/>
                <w:color w:val="auto"/>
              </w:rPr>
            </w:pPr>
          </w:p>
        </w:tc>
        <w:tc>
          <w:tcPr>
            <w:tcW w:w="5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Section 302 of the Sarbanes-Oxley Act of 2002.</w:t>
            </w:r>
          </w:p>
        </w:tc>
        <w:tc>
          <w:tcPr>
            <w:tcW w:w="4180" w:type="dxa"/>
            <w:vAlign w:val="bottom"/>
            <w:gridSpan w:val="7"/>
          </w:tcPr>
          <w:p>
            <w:pPr>
              <w:spacing w:after="0"/>
              <w:rPr>
                <w:sz w:val="14"/>
                <w:szCs w:val="14"/>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3"/>
                <w:szCs w:val="13"/>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Section 302 of the Sarbanes-Oxley Act of 2002.</w:t>
            </w: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gridSpan w:val="6"/>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3"/>
                <w:szCs w:val="13"/>
                <w:color w:val="auto"/>
              </w:rPr>
            </w:pPr>
          </w:p>
        </w:tc>
        <w:tc>
          <w:tcPr>
            <w:tcW w:w="8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18 U.S.C. Section 1350, as Adopted Pursuant to Section 906 of the Sarbanes-Oxley Act of 2002.</w:t>
            </w:r>
          </w:p>
        </w:tc>
        <w:tc>
          <w:tcPr>
            <w:tcW w:w="1420" w:type="dxa"/>
            <w:vAlign w:val="bottom"/>
            <w:gridSpan w:val="3"/>
          </w:tcPr>
          <w:p>
            <w:pPr>
              <w:spacing w:after="0"/>
              <w:rPr>
                <w:sz w:val="13"/>
                <w:szCs w:val="13"/>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3"/>
                <w:szCs w:val="13"/>
                <w:color w:val="auto"/>
              </w:rPr>
            </w:pPr>
          </w:p>
        </w:tc>
        <w:tc>
          <w:tcPr>
            <w:tcW w:w="8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18 U.S.C. Section 1350, as Adopted Pursuant to Section 906 of the Sarbanes-Oxley Act of 2002.</w:t>
            </w:r>
          </w:p>
        </w:tc>
        <w:tc>
          <w:tcPr>
            <w:tcW w:w="1460" w:type="dxa"/>
            <w:vAlign w:val="bottom"/>
            <w:gridSpan w:val="4"/>
          </w:tcPr>
          <w:p>
            <w:pPr>
              <w:spacing w:after="0"/>
              <w:rPr>
                <w:sz w:val="13"/>
                <w:szCs w:val="13"/>
                <w:color w:val="auto"/>
              </w:rPr>
            </w:pPr>
          </w:p>
        </w:tc>
      </w:tr>
      <w:tr>
        <w:trPr>
          <w:trHeight w:val="188"/>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6"/>
                <w:szCs w:val="16"/>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5"/>
                <w:szCs w:val="15"/>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80" w:type="dxa"/>
            <w:vAlign w:val="bottom"/>
          </w:tcPr>
          <w:p>
            <w:pPr>
              <w:spacing w:after="0"/>
              <w:rPr>
                <w:sz w:val="15"/>
                <w:szCs w:val="15"/>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80" w:type="dxa"/>
            <w:vAlign w:val="bottom"/>
          </w:tcPr>
          <w:p>
            <w:pPr>
              <w:spacing w:after="0"/>
              <w:rPr>
                <w:sz w:val="15"/>
                <w:szCs w:val="15"/>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80" w:type="dxa"/>
            <w:vAlign w:val="bottom"/>
          </w:tcPr>
          <w:p>
            <w:pPr>
              <w:spacing w:after="0"/>
              <w:rPr>
                <w:sz w:val="15"/>
                <w:szCs w:val="15"/>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80" w:type="dxa"/>
            <w:vAlign w:val="bottom"/>
          </w:tcPr>
          <w:p>
            <w:pPr>
              <w:spacing w:after="0"/>
              <w:rPr>
                <w:sz w:val="16"/>
                <w:szCs w:val="16"/>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bl>
    <w:p>
      <w:pPr>
        <w:ind w:left="1080" w:hanging="1061"/>
        <w:spacing w:after="0"/>
        <w:tabs>
          <w:tab w:leader="none" w:pos="108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Inline XBRL for the cover page of this Quarterly Report on Form 10-Q, included in the Exhibit 101 Inline XBRL Document Set.</w:t>
      </w:r>
    </w:p>
    <w:p>
      <w:pPr>
        <w:spacing w:after="0" w:line="200" w:lineRule="exact"/>
        <w:rPr>
          <w:rFonts w:ascii="Times New Roman" w:cs="Times New Roman" w:eastAsia="Times New Roman" w:hAnsi="Times New Roman"/>
          <w:sz w:val="14"/>
          <w:szCs w:val="14"/>
          <w:color w:val="auto"/>
        </w:rPr>
      </w:pPr>
    </w:p>
    <w:p>
      <w:pPr>
        <w:spacing w:after="0" w:line="271" w:lineRule="exact"/>
        <w:rPr>
          <w:rFonts w:ascii="Times New Roman" w:cs="Times New Roman" w:eastAsia="Times New Roman" w:hAnsi="Times New Roman"/>
          <w:sz w:val="14"/>
          <w:szCs w:val="14"/>
          <w:color w:val="auto"/>
        </w:rPr>
      </w:pPr>
    </w:p>
    <w:p>
      <w:pPr>
        <w:ind w:right="2380" w:firstLine="5"/>
        <w:spacing w:after="0" w:line="560" w:lineRule="auto"/>
        <w:tabs>
          <w:tab w:leader="none" w:pos="142"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-797560</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West Pharmaceutical Services, Inc.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900"/>
          </w:cols>
          <w:pgMar w:left="300" w:top="127" w:right="699" w:bottom="144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M. Green, certify that:</w:t>
      </w:r>
    </w:p>
    <w:p>
      <w:pPr>
        <w:spacing w:after="0" w:line="13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25, 2024</w:t>
      </w:r>
    </w:p>
    <w:p>
      <w:pPr>
        <w:sectPr>
          <w:pgSz w:w="11900" w:h="16838" w:orient="portrait"/>
          <w:cols w:equalWidth="0" w:num="1">
            <w:col w:w="11280"/>
          </w:cols>
          <w:pgMar w:left="300" w:top="1141"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Bernard J. Birkett, certify that:</w:t>
      </w:r>
    </w:p>
    <w:p>
      <w:pPr>
        <w:spacing w:after="0" w:line="136"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25, 2024</w:t>
      </w:r>
    </w:p>
    <w:p>
      <w:pPr>
        <w:sectPr>
          <w:pgSz w:w="11900" w:h="16838" w:orient="portrait"/>
          <w:cols w:equalWidth="0" w:num="1">
            <w:col w:w="11280"/>
          </w:cols>
          <w:pgMar w:left="300" w:top="1141"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37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West Pharmaceutical Services, Inc. (the “Company”) for the period ended March 31, 2024,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157" w:lineRule="exact"/>
        <w:rPr>
          <w:sz w:val="20"/>
          <w:szCs w:val="20"/>
          <w:color w:val="auto"/>
        </w:rPr>
      </w:pPr>
    </w:p>
    <w:p>
      <w:pPr>
        <w:ind w:left="200" w:hanging="195"/>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25, 2024</w:t>
      </w:r>
    </w:p>
    <w:p>
      <w:pPr>
        <w:sectPr>
          <w:pgSz w:w="11900" w:h="16838" w:orient="portrait"/>
          <w:cols w:equalWidth="0" w:num="1">
            <w:col w:w="11280"/>
          </w:cols>
          <w:pgMar w:left="300" w:top="1141"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37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West Pharmaceutical Services, Inc. (the “Company”) for the period ended March 31, 2024,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157" w:lineRule="exact"/>
        <w:rPr>
          <w:sz w:val="20"/>
          <w:szCs w:val="20"/>
          <w:color w:val="auto"/>
        </w:rPr>
      </w:pPr>
    </w:p>
    <w:p>
      <w:pPr>
        <w:ind w:left="200" w:hanging="195"/>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25, 2024</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lvl w:ilvl="1">
      <w:lvlJc w:val="left"/>
      <w:lvlText w:val="%2"/>
      <w:numFmt w:val="decimal"/>
      <w:start w:val="104"/>
    </w:lvl>
  </w:abstractNum>
  <w:abstractNum w:abstractNumId="12">
    <w:nsid w:val="1BEFD79F"/>
    <w:multiLevelType w:val="hybridMultilevel"/>
    <w:lvl w:ilvl="0">
      <w:lvlJc w:val="left"/>
      <w:lvlText w:val="(%1)"/>
      <w:numFmt w:val="decimal"/>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25" Type="http://schemas.openxmlformats.org/officeDocument/2006/relationships/hyperlink" Target="https://www.sec.gov/Archives/edgar/data/0000105770/000010577024000015/wst-20231231.htm" TargetMode="External"/><Relationship Id="rId63" Type="http://schemas.openxmlformats.org/officeDocument/2006/relationships/hyperlink" Target="https://www.sec.gov/Archives/edgar/data/105770/000010577020000045/ex31articlesofincorpor.htm" TargetMode="External"/><Relationship Id="rId64" Type="http://schemas.openxmlformats.org/officeDocument/2006/relationships/hyperlink" Target="https://www.sec.gov/Archives/edgar/data/105770/000010577023000068/amendedrestatedbylawsoct20.htm" TargetMode="External"/><Relationship Id="rId65" Type="http://schemas.openxmlformats.org/officeDocument/2006/relationships/hyperlink" Target="https://www.sec.gov/Archives/edgar/data/105770/0000105770-99-000016-index.html" TargetMode="External"/><Relationship Id="rId66" Type="http://schemas.openxmlformats.org/officeDocument/2006/relationships/hyperlink" Target="https://www.sec.gov/Archives/edgar/data/105770/000010577021000014/wpsbylawamendmentsfinalfe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2024-04-25T15:48:34Z</dcterms:created>
  <dcterms:modified xsi:type="dcterms:W3CDTF">2024-04-25T15:48:34Z</dcterms:modified>
</cp:coreProperties>
</file>