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-227330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0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-631825</wp:posOffset>
            </wp:positionV>
            <wp:extent cx="58420" cy="645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751840</wp:posOffset>
            </wp:positionV>
            <wp:extent cx="7045960" cy="50006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000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Winters Chad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WEST PHARMACEUTICAL SERVICES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 w:line="214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WST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top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530 HERMAN O. WEST DRIVE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5" w:right="600" w:hanging="5"/>
        <w:spacing w:after="0" w:line="261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VP, Chief Accounting Officer</w:t>
      </w:r>
    </w:p>
    <w:p>
      <w:pPr>
        <w:spacing w:after="0" w:line="31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EXTON</w:t>
            </w:r>
          </w:p>
        </w:tc>
        <w:tc>
          <w:tcPr>
            <w:tcW w:w="8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PA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19341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jc w:val="center"/>
              <w:ind w:left="5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Rst. 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340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254.34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808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03/01/2036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WST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in four equal annual installments beginning on March 1, 2027.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vests in four equal annual installments beginning on March 1, 2027.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 Caitlin Hippeli, as an agent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for Chad Winters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11424" TargetMode="External"/><Relationship Id="rId14" Type="http://schemas.openxmlformats.org/officeDocument/2006/relationships/hyperlink" Target="http://www.sec.gov/cgi-bin/browse-edgar?action=getcompany&amp;CIK=00001057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2026-03-03T10:24:13Z</dcterms:created>
  <dcterms:modified xsi:type="dcterms:W3CDTF">2026-03-03T10:24:13Z</dcterms:modified>
</cp:coreProperties>
</file>