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5399" w:type="dxa"/>
        <w:jc w:val="center"/>
        <w:tblInd w:w="0" w:type="dxa"/>
        <w:tblLayout w:type="fixed"/>
        <w:tblCellMar>
          <w:top w:w="28" w:type="dxa"/>
          <w:left w:w="28" w:type="dxa"/>
          <w:bottom w:w="28" w:type="dxa"/>
          <w:right w:w="28" w:type="dxa"/>
        </w:tblCellMar>
      </w:tblPr>
      <w:tblGrid>
        <w:gridCol w:w="1727"/>
        <w:gridCol w:w="1519"/>
        <w:gridCol w:w="2153"/>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UNITED STATES</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tc>
      </w:tr>
      <w:tr>
        <w:trPr/>
        <w:tc>
          <w:tcPr>
            <w:tcW w:w="5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1-8036</w:t>
      </w:r>
    </w:p>
    <w:p>
      <w:pPr>
        <w:pStyle w:val="TextBody"/>
        <w:bidi w:val="0"/>
        <w:spacing w:before="0" w:after="0"/>
        <w:jc w:val="center"/>
        <w:rPr/>
      </w:pPr>
      <w:r>
        <w:rPr/>
        <w:drawing>
          <wp:inline distT="0" distB="0" distL="0" distR="0">
            <wp:extent cx="19145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771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WEST PHARMACEUTICAL SERVICES, INC. </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8742" w:type="dxa"/>
        <w:jc w:val="center"/>
        <w:tblInd w:w="0" w:type="dxa"/>
        <w:tblLayout w:type="fixed"/>
        <w:tblCellMar>
          <w:top w:w="28" w:type="dxa"/>
          <w:left w:w="28" w:type="dxa"/>
          <w:bottom w:w="28" w:type="dxa"/>
          <w:right w:w="28" w:type="dxa"/>
        </w:tblCellMar>
      </w:tblPr>
      <w:tblGrid>
        <w:gridCol w:w="377"/>
        <w:gridCol w:w="332"/>
        <w:gridCol w:w="332"/>
        <w:gridCol w:w="332"/>
        <w:gridCol w:w="332"/>
        <w:gridCol w:w="332"/>
        <w:gridCol w:w="332"/>
        <w:gridCol w:w="332"/>
        <w:gridCol w:w="332"/>
        <w:gridCol w:w="332"/>
        <w:gridCol w:w="332"/>
        <w:gridCol w:w="332"/>
        <w:gridCol w:w="332"/>
        <w:gridCol w:w="332"/>
        <w:gridCol w:w="332"/>
        <w:gridCol w:w="109"/>
        <w:gridCol w:w="109"/>
        <w:gridCol w:w="109"/>
        <w:gridCol w:w="527"/>
        <w:gridCol w:w="527"/>
        <w:gridCol w:w="527"/>
        <w:gridCol w:w="527"/>
        <w:gridCol w:w="527"/>
        <w:gridCol w:w="755"/>
      </w:tblGrid>
      <w:tr>
        <w:trPr/>
        <w:tc>
          <w:tcPr>
            <w:tcW w:w="37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23-1210010</w:t>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530 Herman O. West Drive, Exton,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19341-1147</w:t>
            </w:r>
          </w:p>
        </w:tc>
      </w:tr>
      <w:tr>
        <w:trPr/>
        <w:tc>
          <w:tcPr>
            <w:tcW w:w="5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12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610-594-2900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8" w:type="dxa"/>
        <w:jc w:val="left"/>
        <w:tblInd w:w="0" w:type="dxa"/>
        <w:tblLayout w:type="fixed"/>
        <w:tblCellMar>
          <w:top w:w="28" w:type="dxa"/>
          <w:left w:w="28" w:type="dxa"/>
          <w:bottom w:w="28" w:type="dxa"/>
          <w:right w:w="28" w:type="dxa"/>
        </w:tblCellMar>
      </w:tblPr>
      <w:tblGrid>
        <w:gridCol w:w="1263"/>
        <w:gridCol w:w="1109"/>
        <w:gridCol w:w="1122"/>
        <w:gridCol w:w="499"/>
        <w:gridCol w:w="499"/>
        <w:gridCol w:w="501"/>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WST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ind w:left="0" w:right="0" w:firstLine="864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April 20, 2026, there were 70,647,595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30"/>
        <w:gridCol w:w="510"/>
        <w:gridCol w:w="479"/>
        <w:gridCol w:w="2717"/>
        <w:gridCol w:w="2648"/>
        <w:gridCol w:w="2647"/>
        <w:gridCol w:w="167"/>
        <w:gridCol w:w="167"/>
        <w:gridCol w:w="240"/>
      </w:tblGrid>
      <w:tr>
        <w:trPr/>
        <w:tc>
          <w:tcPr>
            <w:tcW w:w="63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3">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6">
              <w:r>
                <w:rPr>
                  <w:rStyle w:val="InternetLink"/>
                  <w:rFonts w:ascii="Times New Roman;serif" w:hAnsi="Times New Roman;serif"/>
                  <w:b/>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9">
              <w:r>
                <w:rPr>
                  <w:rStyle w:val="InternetLink"/>
                  <w:rFonts w:ascii="Times New Roman;serif" w:hAnsi="Times New Roman;serif"/>
                  <w:b/>
                  <w:color w:val="0000FF"/>
                  <w:sz w:val="20"/>
                  <w:u w:val="single"/>
                </w:rPr>
                <w:t>Condensed Consolidated Statements of Income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19">
              <w:r>
                <w:rPr>
                  <w:rStyle w:val="InternetLink"/>
                  <w:rFonts w:ascii="Times New Roman;serif" w:hAnsi="Times New Roman;serif"/>
                  <w:b/>
                  <w:color w:val="0000FF"/>
                  <w:sz w:val="20"/>
                  <w:u w:val="single"/>
                </w:rPr>
                <w:t>3</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2">
              <w:r>
                <w:rPr>
                  <w:rStyle w:val="InternetLink"/>
                  <w:rFonts w:ascii="Times New Roman;serif" w:hAnsi="Times New Roman;serif"/>
                  <w:b/>
                  <w:color w:val="0000FF"/>
                  <w:sz w:val="20"/>
                  <w:u w:val="single"/>
                </w:rPr>
                <w:t>Condensed Consolidated Statements of Comprehensive Income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2">
              <w:r>
                <w:rPr>
                  <w:rStyle w:val="InternetLink"/>
                  <w:rFonts w:ascii="Times New Roman;serif" w:hAnsi="Times New Roman;serif"/>
                  <w:b/>
                  <w:color w:val="0000FF"/>
                  <w:sz w:val="20"/>
                  <w:u w:val="single"/>
                </w:rPr>
                <w:t>4</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5">
              <w:r>
                <w:rPr>
                  <w:rStyle w:val="InternetLink"/>
                  <w:rFonts w:ascii="Times New Roman;serif" w:hAnsi="Times New Roman;serif"/>
                  <w:b/>
                  <w:color w:val="0000FF"/>
                  <w:sz w:val="20"/>
                  <w:u w:val="single"/>
                </w:rPr>
                <w:t>Condensed Consolidated Balance Sheets at March 31,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5">
              <w:r>
                <w:rPr>
                  <w:rStyle w:val="InternetLink"/>
                  <w:rFonts w:ascii="Times New Roman;serif" w:hAnsi="Times New Roman;serif"/>
                  <w:b/>
                  <w:color w:val="0000FF"/>
                  <w:sz w:val="20"/>
                  <w:u w:val="single"/>
                </w:rPr>
                <w:t>5</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8">
              <w:r>
                <w:rPr>
                  <w:rStyle w:val="InternetLink"/>
                  <w:rFonts w:ascii="Times New Roman;serif" w:hAnsi="Times New Roman;serif"/>
                  <w:b/>
                  <w:color w:val="0000FF"/>
                  <w:sz w:val="20"/>
                  <w:u w:val="single"/>
                </w:rPr>
                <w:t>Condensed Consolidated Statements of Cash Flows for the Three Months ended March 31, 2026 and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8">
              <w:r>
                <w:rPr>
                  <w:rStyle w:val="InternetLink"/>
                  <w:rFonts w:ascii="Times New Roman;serif" w:hAnsi="Times New Roman;serif"/>
                  <w:b/>
                  <w:color w:val="0000FF"/>
                  <w:sz w:val="20"/>
                  <w:u w:val="single"/>
                </w:rPr>
                <w:t>6</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31">
              <w:r>
                <w:rPr>
                  <w:rStyle w:val="InternetLink"/>
                  <w:rFonts w:ascii="Times New Roman;serif" w:hAnsi="Times New Roman;serif"/>
                  <w:b/>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31">
              <w:r>
                <w:rPr>
                  <w:rStyle w:val="InternetLink"/>
                  <w:rFonts w:ascii="Times New Roman;serif" w:hAnsi="Times New Roman;serif"/>
                  <w:b/>
                  <w:color w:val="0000FF"/>
                  <w:sz w:val="20"/>
                  <w:u w:val="single"/>
                </w:rPr>
                <w:t>7</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33">
              <w:r>
                <w:rPr>
                  <w:rStyle w:val="InternetLink"/>
                  <w:rFonts w:ascii="Times New Roman;serif" w:hAnsi="Times New Roman;serif"/>
                  <w:b/>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133">
              <w:r>
                <w:rPr>
                  <w:rStyle w:val="InternetLink"/>
                  <w:rFonts w:ascii="Times New Roman;serif" w:hAnsi="Times New Roman;serif"/>
                  <w:b/>
                  <w:color w:val="0000FF"/>
                  <w:sz w:val="20"/>
                  <w:u w:val="single"/>
                </w:rPr>
                <w:t>25</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90">
              <w:r>
                <w:rPr>
                  <w:rStyle w:val="InternetLink"/>
                  <w:rFonts w:ascii="Times New Roman;serif" w:hAnsi="Times New Roman;serif"/>
                  <w:b/>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190">
              <w:r>
                <w:rPr>
                  <w:rStyle w:val="InternetLink"/>
                  <w:rFonts w:ascii="Times New Roman;serif" w:hAnsi="Times New Roman;serif"/>
                  <w:b/>
                  <w:color w:val="0000FF"/>
                  <w:sz w:val="20"/>
                  <w:u w:val="single"/>
                </w:rPr>
                <w:t>35</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93">
              <w:r>
                <w:rPr>
                  <w:rStyle w:val="InternetLink"/>
                  <w:rFonts w:ascii="Times New Roman;serif" w:hAnsi="Times New Roman;serif"/>
                  <w:b/>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193">
              <w:r>
                <w:rPr>
                  <w:rStyle w:val="InternetLink"/>
                  <w:rFonts w:ascii="Times New Roman;serif" w:hAnsi="Times New Roman;serif"/>
                  <w:b/>
                  <w:color w:val="0000FF"/>
                  <w:sz w:val="20"/>
                  <w:u w:val="single"/>
                </w:rPr>
                <w:t>35</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96">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199">
              <w:r>
                <w:rPr>
                  <w:rStyle w:val="InternetLink"/>
                  <w:rFonts w:ascii="Times New Roman;serif" w:hAnsi="Times New Roman;serif"/>
                  <w:b/>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199">
              <w:r>
                <w:rPr>
                  <w:rStyle w:val="InternetLink"/>
                  <w:rFonts w:ascii="Times New Roman;serif" w:hAnsi="Times New Roman;serif"/>
                  <w:b/>
                  <w:color w:val="0000FF"/>
                  <w:sz w:val="20"/>
                  <w:u w:val="single"/>
                </w:rPr>
                <w:t>36</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02">
              <w:r>
                <w:rPr>
                  <w:rStyle w:val="InternetLink"/>
                  <w:rFonts w:ascii="Times New Roman;serif" w:hAnsi="Times New Roman;serif"/>
                  <w:b/>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02">
              <w:r>
                <w:rPr>
                  <w:rStyle w:val="InternetLink"/>
                  <w:rFonts w:ascii="Times New Roman;serif" w:hAnsi="Times New Roman;serif"/>
                  <w:b/>
                  <w:color w:val="0000FF"/>
                  <w:sz w:val="20"/>
                  <w:u w:val="single"/>
                </w:rPr>
                <w:t>36</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05">
              <w:r>
                <w:rPr>
                  <w:rStyle w:val="InternetLink"/>
                  <w:rFonts w:ascii="Times New Roman;serif" w:hAnsi="Times New Roman;serif"/>
                  <w:b/>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05">
              <w:r>
                <w:rPr>
                  <w:rStyle w:val="InternetLink"/>
                  <w:rFonts w:ascii="Times New Roman;serif" w:hAnsi="Times New Roman;serif"/>
                  <w:b/>
                  <w:color w:val="0000FF"/>
                  <w:sz w:val="20"/>
                  <w:u w:val="single"/>
                </w:rPr>
                <w:t>36</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11">
              <w:r>
                <w:rPr>
                  <w:rStyle w:val="InternetLink"/>
                  <w:rFonts w:ascii="Times New Roman;serif" w:hAnsi="Times New Roman;serif"/>
                  <w:b/>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11">
              <w:r>
                <w:rPr>
                  <w:rStyle w:val="InternetLink"/>
                  <w:rFonts w:ascii="Times New Roman;serif" w:hAnsi="Times New Roman;serif"/>
                  <w:b/>
                  <w:color w:val="0000FF"/>
                  <w:sz w:val="20"/>
                  <w:u w:val="single"/>
                </w:rPr>
                <w:t>37</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17">
              <w:r>
                <w:rPr>
                  <w:rStyle w:val="InternetLink"/>
                  <w:rFonts w:ascii="Times New Roman;serif" w:hAnsi="Times New Roman;serif"/>
                  <w:b/>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17">
              <w:r>
                <w:rPr>
                  <w:rStyle w:val="InternetLink"/>
                  <w:rFonts w:ascii="Times New Roman;serif" w:hAnsi="Times New Roman;serif"/>
                  <w:b/>
                  <w:color w:val="0000FF"/>
                  <w:sz w:val="20"/>
                  <w:u w:val="single"/>
                </w:rPr>
                <w:t>37</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128711c8ba4c558e59c1802285183d_220">
              <w:r>
                <w:rPr>
                  <w:rStyle w:val="InternetLink"/>
                  <w:rFonts w:ascii="Times New Roman;serif" w:hAnsi="Times New Roman;serif"/>
                  <w:b/>
                  <w:color w:val="0000FF"/>
                  <w:sz w:val="20"/>
                  <w:u w:val="single"/>
                </w:rPr>
                <w:t>SIGNATURE</w:t>
              </w:r>
            </w:hyperlink>
          </w:p>
        </w:tc>
        <w:tc>
          <w:tcPr>
            <w:tcW w:w="8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0128711c8ba4c558e59c1802285183d_220">
              <w:r>
                <w:rPr>
                  <w:rStyle w:val="InternetLink"/>
                  <w:rFonts w:ascii="Times New Roman;serif" w:hAnsi="Times New Roman;serif"/>
                  <w:b/>
                  <w:color w:val="0000FF"/>
                  <w:sz w:val="20"/>
                  <w:u w:val="single"/>
                </w:rPr>
                <w:t>38</w:t>
              </w:r>
            </w:hyperlink>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INCOME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before="0" w:after="0"/>
        <w:jc w:val="left"/>
        <w:rPr/>
      </w:pPr>
      <w:r>
        <w:rPr/>
      </w:r>
    </w:p>
    <w:tbl>
      <w:tblPr>
        <w:tblW w:w="9040" w:type="dxa"/>
        <w:jc w:val="left"/>
        <w:tblInd w:w="0" w:type="dxa"/>
        <w:tblLayout w:type="fixed"/>
        <w:tblCellMar>
          <w:top w:w="28" w:type="dxa"/>
          <w:left w:w="28" w:type="dxa"/>
          <w:bottom w:w="28" w:type="dxa"/>
          <w:right w:w="28" w:type="dxa"/>
        </w:tblCellMar>
      </w:tblPr>
      <w:tblGrid>
        <w:gridCol w:w="2304"/>
        <w:gridCol w:w="2016"/>
        <w:gridCol w:w="2040"/>
        <w:gridCol w:w="211"/>
        <w:gridCol w:w="616"/>
        <w:gridCol w:w="109"/>
        <w:gridCol w:w="109"/>
        <w:gridCol w:w="109"/>
        <w:gridCol w:w="109"/>
        <w:gridCol w:w="211"/>
        <w:gridCol w:w="616"/>
        <w:gridCol w:w="109"/>
        <w:gridCol w:w="109"/>
        <w:gridCol w:w="109"/>
        <w:gridCol w:w="109"/>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(Note 14)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in net income of affiliated companies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affiliated companies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725"/>
        <w:gridCol w:w="2387"/>
        <w:gridCol w:w="2411"/>
        <w:gridCol w:w="211"/>
        <w:gridCol w:w="616"/>
        <w:gridCol w:w="109"/>
        <w:gridCol w:w="109"/>
        <w:gridCol w:w="109"/>
        <w:gridCol w:w="109"/>
        <w:gridCol w:w="211"/>
        <w:gridCol w:w="616"/>
        <w:gridCol w:w="109"/>
        <w:gridCol w:w="109"/>
        <w:gridCol w:w="109"/>
        <w:gridCol w:w="109"/>
        <w:gridCol w:w="156"/>
      </w:tblGrid>
      <w:tr>
        <w:trPr/>
        <w:tc>
          <w:tcPr>
            <w:tcW w:w="272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 of $0.1 and $(1.1)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plan adjustments, net of tax of $0.0 and $(0.1)</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on equity affiliate accumulated other comprehensive income, net of tax of $0.0 and $0.0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gain on derivatives, net of tax of $0.1 and $0.9</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9"/>
        </w:rPr>
      </w:pPr>
      <w:r>
        <w:rPr>
          <w:rFonts w:ascii="Times New Roman;serif" w:hAnsi="Times New Roman;serif"/>
          <w:b/>
          <w:color w:val="000000"/>
          <w:sz w:val="19"/>
        </w:rPr>
        <w:t>CONDENSED CONSOLIDATED BALANCE SHEETS (UNAUDITED)</w:t>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West Pharmaceutical Services, Inc. and Subsidiaries</w:t>
      </w:r>
    </w:p>
    <w:tbl>
      <w:tblPr>
        <w:tblW w:w="10205" w:type="dxa"/>
        <w:jc w:val="left"/>
        <w:tblInd w:w="0" w:type="dxa"/>
        <w:tblLayout w:type="fixed"/>
        <w:tblCellMar>
          <w:top w:w="28" w:type="dxa"/>
          <w:left w:w="28" w:type="dxa"/>
          <w:bottom w:w="28" w:type="dxa"/>
          <w:right w:w="28" w:type="dxa"/>
        </w:tblCellMar>
      </w:tblPr>
      <w:tblGrid>
        <w:gridCol w:w="2967"/>
        <w:gridCol w:w="2319"/>
        <w:gridCol w:w="2329"/>
        <w:gridCol w:w="211"/>
        <w:gridCol w:w="766"/>
        <w:gridCol w:w="109"/>
        <w:gridCol w:w="109"/>
        <w:gridCol w:w="109"/>
        <w:gridCol w:w="109"/>
        <w:gridCol w:w="219"/>
        <w:gridCol w:w="796"/>
        <w:gridCol w:w="162"/>
      </w:tblGrid>
      <w:tr>
        <w:trPr/>
        <w:tc>
          <w:tcPr>
            <w:tcW w:w="296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 except per share data)</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w:t>
              <w:br/>
              <w:t>2025</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1,978.2 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3,223.4 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affiliated companies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AND EQUITY</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salaries, wages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commissions, rebates and royalties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Pension and other postretirement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compensation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16)</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Preferred stock, 3.0 million shares authorized; 0 shares issued and outstanding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Common stock, par value $0.25 per share; 200.0 million shares authorized; shares issued: March 31, 2026 - 75.3 million, December 31, 2025 - 75.3 million; shares outstanding: March 31, 2026 - 70.9 million, December 31, 2025 - 72.0 million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Treasury stock, at cost (March 31, 2026 - 4.4 million shares, December 31, 2025 - 3.3 million shares)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4,270.0 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 and Subsidiaries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963" w:type="dxa"/>
        <w:jc w:val="left"/>
        <w:tblInd w:w="0" w:type="dxa"/>
        <w:tblLayout w:type="fixed"/>
        <w:tblCellMar>
          <w:top w:w="28" w:type="dxa"/>
          <w:left w:w="28" w:type="dxa"/>
          <w:bottom w:w="28" w:type="dxa"/>
          <w:right w:w="28" w:type="dxa"/>
        </w:tblCellMar>
      </w:tblPr>
      <w:tblGrid>
        <w:gridCol w:w="2431"/>
        <w:gridCol w:w="2141"/>
        <w:gridCol w:w="2147"/>
        <w:gridCol w:w="211"/>
        <w:gridCol w:w="616"/>
        <w:gridCol w:w="109"/>
        <w:gridCol w:w="109"/>
        <w:gridCol w:w="109"/>
        <w:gridCol w:w="109"/>
        <w:gridCol w:w="211"/>
        <w:gridCol w:w="61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restructuring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repayments on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stock-based compensation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contributions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under share repurchase programs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for employee tax withholdings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including cash equivalents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including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  Basis of Presentation</w:t>
      </w:r>
    </w:p>
    <w:p>
      <w:pPr>
        <w:pStyle w:val="TextBody"/>
        <w:bidi w:val="0"/>
        <w:spacing w:lineRule="auto" w:line="288" w:before="0" w:after="120"/>
        <w:jc w:val="left"/>
        <w:rPr/>
      </w:pPr>
      <w:r>
        <w:rPr>
          <w:rFonts w:ascii="Times New Roman;serif" w:hAnsi="Times New Roman;serif"/>
          <w:b/>
          <w:color w:val="000000"/>
          <w:sz w:val="20"/>
        </w:rPr>
        <w:t>Basis of Presentation</w:t>
      </w:r>
      <w:r>
        <w:rPr>
          <w:rFonts w:ascii="Times New Roman;serif" w:hAnsi="Times New Roman;serif"/>
          <w:b w:val="false"/>
          <w:color w:val="000000"/>
          <w:sz w:val="20"/>
        </w:rPr>
        <w:t>: The condensed consolidated financial statements included in this report are unaudited and have been prepared in accordance with 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2026,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2025 (the “</w:t>
      </w:r>
      <w:hyperlink r:id="rId3">
        <w:r>
          <w:rPr>
            <w:rStyle w:val="InternetLink"/>
            <w:rFonts w:ascii="Times New Roman;serif" w:hAnsi="Times New Roman;serif"/>
            <w:b w:val="false"/>
            <w:color w:val="0000FF"/>
            <w:sz w:val="20"/>
            <w:u w:val="single"/>
          </w:rPr>
          <w:t>2025 Annual Report</w:t>
        </w:r>
      </w:hyperlink>
      <w:r>
        <w:rPr>
          <w:color w:val="000000"/>
        </w:rPr>
        <w:t>”</w:t>
      </w:r>
      <w:r>
        <w:rPr>
          <w:rFonts w:ascii="Times New Roman;serif" w:hAnsi="Times New Roman;serif"/>
          <w:b w:val="false"/>
          <w:color w:val="000000"/>
          <w:sz w:val="20"/>
        </w:rPr>
        <w:t>). The results of operations for any interim period are not necessarily indicative of results for the full year.</w:t>
      </w:r>
    </w:p>
    <w:p>
      <w:pPr>
        <w:pStyle w:val="TextBody"/>
        <w:bidi w:val="0"/>
        <w:spacing w:lineRule="auto" w:line="288" w:before="0" w:after="120"/>
        <w:jc w:val="left"/>
        <w:rPr/>
      </w:pPr>
      <w:r>
        <w:rPr>
          <w:rFonts w:ascii="Times New Roman;serif" w:hAnsi="Times New Roman;serif"/>
          <w:b/>
          <w:color w:val="000000"/>
          <w:sz w:val="20"/>
        </w:rPr>
        <w:t>West Vantage:</w:t>
      </w:r>
      <w:r>
        <w:rPr>
          <w:color w:val="000000"/>
        </w:rPr>
        <w:t xml:space="preserve"> </w:t>
      </w:r>
      <w:r>
        <w:rPr>
          <w:rFonts w:ascii="Times New Roman;serif" w:hAnsi="Times New Roman;serif"/>
          <w:b w:val="false"/>
          <w:color w:val="000000"/>
          <w:sz w:val="20"/>
        </w:rPr>
        <w:t>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w:t>
      </w:r>
    </w:p>
    <w:p>
      <w:pPr>
        <w:pStyle w:val="TextBody"/>
        <w:bidi w:val="0"/>
        <w:spacing w:lineRule="auto" w:line="288" w:before="0" w:after="120"/>
        <w:jc w:val="left"/>
        <w:rPr/>
      </w:pPr>
      <w:r>
        <w:rPr>
          <w:rFonts w:ascii="Times New Roman;serif" w:hAnsi="Times New Roman;serif"/>
          <w:b/>
          <w:color w:val="000000"/>
          <w:sz w:val="20"/>
        </w:rPr>
        <w:t>Held for Sale Assets:</w:t>
      </w:r>
      <w:r>
        <w:rPr>
          <w:color w:val="000000"/>
        </w:rPr>
        <w:t xml:space="preserve"> </w:t>
      </w:r>
      <w:r>
        <w:rPr>
          <w:rFonts w:ascii="Times New Roman;serif" w:hAnsi="Times New Roman;serif"/>
          <w:b w:val="false"/>
          <w:color w:val="000000"/>
          <w:sz w:val="20"/>
        </w:rPr>
        <w:t>In December 2025, the Company entered into a definitive agreement to sell all manufacturing and supply rights for the SmartDose® 3.5mL On-Body Delivery System and associated facilities to AbbVie for approximately $112.5 million, subject to working capital and other adjustments. The definitive agreement, which is subject to certain closing conditions, is expected to close in mid-2026. In relation to this agreement, the carrying values of certain assets were classified as held for sale in our consolidated balance sheets as of March 31, 2026 and December 31, 2025 and recorded within other current assets. There were no liabilities classified as held for sale in relation to this agreement as of March 31, 2026 or December 31, 2025. All assets classified as held for sale as part of the agreement are within our Proprietary Products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assets classified as held for sale:</w:t>
      </w:r>
    </w:p>
    <w:tbl>
      <w:tblPr>
        <w:tblW w:w="5442" w:type="dxa"/>
        <w:jc w:val="left"/>
        <w:tblInd w:w="0" w:type="dxa"/>
        <w:tblLayout w:type="fixed"/>
        <w:tblCellMar>
          <w:top w:w="28" w:type="dxa"/>
          <w:left w:w="28" w:type="dxa"/>
          <w:bottom w:w="28" w:type="dxa"/>
          <w:right w:w="28" w:type="dxa"/>
        </w:tblCellMar>
      </w:tblPr>
      <w:tblGrid>
        <w:gridCol w:w="1058"/>
        <w:gridCol w:w="930"/>
        <w:gridCol w:w="937"/>
        <w:gridCol w:w="236"/>
        <w:gridCol w:w="572"/>
        <w:gridCol w:w="122"/>
        <w:gridCol w:w="109"/>
        <w:gridCol w:w="109"/>
        <w:gridCol w:w="109"/>
        <w:gridCol w:w="303"/>
        <w:gridCol w:w="734"/>
        <w:gridCol w:w="223"/>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2:  New Accounting Standards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Recently Adopted Standards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Improvements to Income Tax Disclosures,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The Company adopted and implemented the applicable disclosure requirements within its Form 10-K filed on February 17, 2026 on a prospective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Standards Issued Not Yet Adopted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that seeks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The amendments require that at each interim and annual reporting period an entity: (1) disclose the amounts of purchases of inventory, employee compensation, depreciation, and intangible asset amortization included in each of the Company's relevant expense captions; (2) include certain amounts that are already required to be disclosed under current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guidance is effective for fiscal years beginning after December 15, 2026, and interim reporting periods beginning after December 15, 2027. The Company is currently evaluating the impact of this guidance on our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3: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approximate percentage of our net sales by market group:</w:t>
      </w:r>
    </w:p>
    <w:tbl>
      <w:tblPr>
        <w:tblW w:w="3588" w:type="dxa"/>
        <w:jc w:val="left"/>
        <w:tblInd w:w="0" w:type="dxa"/>
        <w:tblLayout w:type="fixed"/>
        <w:tblCellMar>
          <w:top w:w="28" w:type="dxa"/>
          <w:left w:w="28" w:type="dxa"/>
          <w:bottom w:w="28" w:type="dxa"/>
          <w:right w:w="28" w:type="dxa"/>
        </w:tblCellMar>
      </w:tblPr>
      <w:tblGrid>
        <w:gridCol w:w="451"/>
        <w:gridCol w:w="395"/>
        <w:gridCol w:w="398"/>
        <w:gridCol w:w="210"/>
        <w:gridCol w:w="210"/>
        <w:gridCol w:w="210"/>
        <w:gridCol w:w="201"/>
        <w:gridCol w:w="201"/>
        <w:gridCol w:w="201"/>
        <w:gridCol w:w="210"/>
        <w:gridCol w:w="210"/>
        <w:gridCol w:w="210"/>
        <w:gridCol w:w="109"/>
        <w:gridCol w:w="109"/>
        <w:gridCol w:w="109"/>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Biologics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15 %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approximate percentage of our net sales by product category: </w:t>
      </w:r>
    </w:p>
    <w:tbl>
      <w:tblPr>
        <w:tblW w:w="6213" w:type="dxa"/>
        <w:jc w:val="left"/>
        <w:tblInd w:w="0" w:type="dxa"/>
        <w:tblLayout w:type="fixed"/>
        <w:tblCellMar>
          <w:top w:w="28" w:type="dxa"/>
          <w:left w:w="28" w:type="dxa"/>
          <w:bottom w:w="28" w:type="dxa"/>
          <w:right w:w="28" w:type="dxa"/>
        </w:tblCellMar>
      </w:tblPr>
      <w:tblGrid>
        <w:gridCol w:w="1402"/>
        <w:gridCol w:w="1230"/>
        <w:gridCol w:w="1237"/>
        <w:gridCol w:w="210"/>
        <w:gridCol w:w="210"/>
        <w:gridCol w:w="210"/>
        <w:gridCol w:w="201"/>
        <w:gridCol w:w="201"/>
        <w:gridCol w:w="201"/>
        <w:gridCol w:w="210"/>
        <w:gridCol w:w="210"/>
        <w:gridCol w:w="210"/>
        <w:gridCol w:w="109"/>
        <w:gridCol w:w="109"/>
        <w:gridCol w:w="109"/>
        <w:gridCol w:w="154"/>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High-Value Product ("HVP") Components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High-Value Product ("HVP") Delivery Devices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Packaging</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approximate percentage of our net sales by geographic location: </w:t>
      </w:r>
    </w:p>
    <w:tbl>
      <w:tblPr>
        <w:tblW w:w="4714" w:type="dxa"/>
        <w:jc w:val="left"/>
        <w:tblInd w:w="0" w:type="dxa"/>
        <w:tblLayout w:type="fixed"/>
        <w:tblCellMar>
          <w:top w:w="28" w:type="dxa"/>
          <w:left w:w="28" w:type="dxa"/>
          <w:bottom w:w="28" w:type="dxa"/>
          <w:right w:w="28" w:type="dxa"/>
        </w:tblCellMar>
      </w:tblPr>
      <w:tblGrid>
        <w:gridCol w:w="857"/>
        <w:gridCol w:w="754"/>
        <w:gridCol w:w="759"/>
        <w:gridCol w:w="210"/>
        <w:gridCol w:w="210"/>
        <w:gridCol w:w="210"/>
        <w:gridCol w:w="201"/>
        <w:gridCol w:w="201"/>
        <w:gridCol w:w="201"/>
        <w:gridCol w:w="210"/>
        <w:gridCol w:w="210"/>
        <w:gridCol w:w="210"/>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Africa</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 Assets and 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 assets and liabilities:</w:t>
      </w:r>
    </w:p>
    <w:tbl>
      <w:tblPr>
        <w:tblW w:w="5323" w:type="dxa"/>
        <w:jc w:val="left"/>
        <w:tblInd w:w="0" w:type="dxa"/>
        <w:tblLayout w:type="fixed"/>
        <w:tblCellMar>
          <w:top w:w="28" w:type="dxa"/>
          <w:left w:w="28" w:type="dxa"/>
          <w:bottom w:w="28" w:type="dxa"/>
          <w:right w:w="28" w:type="dxa"/>
        </w:tblCellMar>
      </w:tblPr>
      <w:tblGrid>
        <w:gridCol w:w="1455"/>
        <w:gridCol w:w="1279"/>
        <w:gridCol w:w="1285"/>
        <w:gridCol w:w="289"/>
        <w:gridCol w:w="804"/>
        <w:gridCol w:w="211"/>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in millions)</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December 31, 2025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March 31, 2026</w:t>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assets - increase (decrease)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December 31, 2025</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March 31, 2026</w:t>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deferred income - (increase) decrease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are included within other current assets and deferred income is included within other current liabilities and other long-term liabilities. During the three months ended March 31, 2026, $23.1 million of revenue was recognized that was included in deferred income at the beginning of the year.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March 31, 2026, performance obligations expected to be satisfied beyond one year were $3.8 million. The remaining $58.4 million of performance obligations are expected to be satisfied within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4:  Net Income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shares used in the calculation of basic net income per share to those used for diluted net income per share:</w:t>
      </w:r>
    </w:p>
    <w:tbl>
      <w:tblPr>
        <w:tblW w:w="8185" w:type="dxa"/>
        <w:jc w:val="left"/>
        <w:tblInd w:w="0" w:type="dxa"/>
        <w:tblLayout w:type="fixed"/>
        <w:tblCellMar>
          <w:top w:w="28" w:type="dxa"/>
          <w:left w:w="28" w:type="dxa"/>
          <w:bottom w:w="28" w:type="dxa"/>
          <w:right w:w="28" w:type="dxa"/>
        </w:tblCellMar>
      </w:tblPr>
      <w:tblGrid>
        <w:gridCol w:w="2030"/>
        <w:gridCol w:w="1784"/>
        <w:gridCol w:w="1796"/>
        <w:gridCol w:w="211"/>
        <w:gridCol w:w="616"/>
        <w:gridCol w:w="109"/>
        <w:gridCol w:w="109"/>
        <w:gridCol w:w="109"/>
        <w:gridCol w:w="109"/>
        <w:gridCol w:w="211"/>
        <w:gridCol w:w="511"/>
        <w:gridCol w:w="109"/>
        <w:gridCol w:w="109"/>
        <w:gridCol w:w="109"/>
        <w:gridCol w:w="109"/>
        <w:gridCol w:w="154"/>
      </w:tblGrid>
      <w:tr>
        <w:trPr/>
        <w:tc>
          <w:tcPr>
            <w:tcW w:w="203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effect of equity awards, based on the treasury stock method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assuming dilution</w:t>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there were 0.4 million and 0.3 million shares, respectively, from stock-based compensation plans not included in the computation of diluted net income per share because their impact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2023, the Board of Directors approved a share repurchase program under which the Company was able repurchase up to $1.0 billion in shares of common stock. This program was completed during January 2025.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December 2024, the Board of Directors approved a share repurchase program under which the Company was able to repurchase up to 550,000 shares of common stock. This program was completed during April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Company’s Board of Directors authorized a new share repurchase program for the purchase of up to $1.0 billion of the Company’s common stock in open-market transactions, block transactions, through derivative transactions, privately negotiated transactions, or otherwise, including pursuant to any trading plan entered into by the Company under Rule 10b5-1 of the Exchange Act. The number of shares to be repurchased and the timing of any repurchases will depend on factors such as the stock price, economic and market conditions, and corporate and regulatory requirements. This share repurchase program has no expiration date and it may be suspended or terminated at any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details of the Company's repurchases of common stock under these programs: </w:t>
      </w:r>
    </w:p>
    <w:tbl>
      <w:tblPr>
        <w:tblW w:w="6264" w:type="dxa"/>
        <w:jc w:val="left"/>
        <w:tblInd w:w="0" w:type="dxa"/>
        <w:tblLayout w:type="fixed"/>
        <w:tblCellMar>
          <w:top w:w="28" w:type="dxa"/>
          <w:left w:w="28" w:type="dxa"/>
          <w:bottom w:w="28" w:type="dxa"/>
          <w:right w:w="28" w:type="dxa"/>
        </w:tblCellMar>
      </w:tblPr>
      <w:tblGrid>
        <w:gridCol w:w="1206"/>
        <w:gridCol w:w="1060"/>
        <w:gridCol w:w="1064"/>
        <w:gridCol w:w="220"/>
        <w:gridCol w:w="756"/>
        <w:gridCol w:w="109"/>
        <w:gridCol w:w="109"/>
        <w:gridCol w:w="109"/>
        <w:gridCol w:w="109"/>
        <w:gridCol w:w="211"/>
        <w:gridCol w:w="721"/>
        <w:gridCol w:w="109"/>
        <w:gridCol w:w="109"/>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repurchases ($ in millions)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repurchased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5:  Inventories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are valued at the lower of cost (on a first-in, first-out basis) or net realizable value. Inventory balances were as follows:</w:t>
      </w:r>
    </w:p>
    <w:tbl>
      <w:tblPr>
        <w:tblW w:w="3947" w:type="dxa"/>
        <w:jc w:val="left"/>
        <w:tblInd w:w="0" w:type="dxa"/>
        <w:tblLayout w:type="fixed"/>
        <w:tblCellMar>
          <w:top w:w="28" w:type="dxa"/>
          <w:left w:w="28" w:type="dxa"/>
          <w:bottom w:w="28" w:type="dxa"/>
          <w:right w:w="28" w:type="dxa"/>
        </w:tblCellMar>
      </w:tblPr>
      <w:tblGrid>
        <w:gridCol w:w="516"/>
        <w:gridCol w:w="453"/>
        <w:gridCol w:w="456"/>
        <w:gridCol w:w="211"/>
        <w:gridCol w:w="616"/>
        <w:gridCol w:w="109"/>
        <w:gridCol w:w="109"/>
        <w:gridCol w:w="109"/>
        <w:gridCol w:w="109"/>
        <w:gridCol w:w="271"/>
        <w:gridCol w:w="791"/>
        <w:gridCol w:w="197"/>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7149" w:type="dxa"/>
        <w:jc w:val="left"/>
        <w:tblInd w:w="0" w:type="dxa"/>
        <w:tblLayout w:type="fixed"/>
        <w:tblCellMar>
          <w:top w:w="28" w:type="dxa"/>
          <w:left w:w="28" w:type="dxa"/>
          <w:bottom w:w="28" w:type="dxa"/>
          <w:right w:w="28" w:type="dxa"/>
        </w:tblCellMar>
      </w:tblPr>
      <w:tblGrid>
        <w:gridCol w:w="1693"/>
        <w:gridCol w:w="1488"/>
        <w:gridCol w:w="1498"/>
        <w:gridCol w:w="211"/>
        <w:gridCol w:w="511"/>
        <w:gridCol w:w="109"/>
        <w:gridCol w:w="109"/>
        <w:gridCol w:w="109"/>
        <w:gridCol w:w="109"/>
        <w:gridCol w:w="211"/>
        <w:gridCol w:w="511"/>
        <w:gridCol w:w="109"/>
        <w:gridCol w:w="109"/>
        <w:gridCol w:w="109"/>
        <w:gridCol w:w="109"/>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amortization of right-of-use (ROU)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interest on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finance lease amounts in the condensed consolidated balance sheets:</w:t>
      </w:r>
    </w:p>
    <w:tbl>
      <w:tblPr>
        <w:tblW w:w="7949" w:type="dxa"/>
        <w:jc w:val="left"/>
        <w:tblInd w:w="0" w:type="dxa"/>
        <w:tblLayout w:type="fixed"/>
        <w:tblCellMar>
          <w:top w:w="28" w:type="dxa"/>
          <w:left w:w="28" w:type="dxa"/>
          <w:bottom w:w="28" w:type="dxa"/>
          <w:right w:w="28" w:type="dxa"/>
        </w:tblCellMar>
      </w:tblPr>
      <w:tblGrid>
        <w:gridCol w:w="889"/>
        <w:gridCol w:w="782"/>
        <w:gridCol w:w="788"/>
        <w:gridCol w:w="809"/>
        <w:gridCol w:w="809"/>
        <w:gridCol w:w="811"/>
        <w:gridCol w:w="109"/>
        <w:gridCol w:w="109"/>
        <w:gridCol w:w="109"/>
        <w:gridCol w:w="236"/>
        <w:gridCol w:w="572"/>
        <w:gridCol w:w="122"/>
        <w:gridCol w:w="109"/>
        <w:gridCol w:w="109"/>
        <w:gridCol w:w="109"/>
        <w:gridCol w:w="307"/>
        <w:gridCol w:w="747"/>
        <w:gridCol w:w="160"/>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net</w:t>
            </w:r>
          </w:p>
        </w:tc>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(noncurrent)</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9189" w:type="dxa"/>
        <w:jc w:val="left"/>
        <w:tblInd w:w="0" w:type="dxa"/>
        <w:tblLayout w:type="fixed"/>
        <w:tblCellMar>
          <w:top w:w="28" w:type="dxa"/>
          <w:left w:w="28" w:type="dxa"/>
          <w:bottom w:w="28" w:type="dxa"/>
          <w:right w:w="28" w:type="dxa"/>
        </w:tblCellMar>
      </w:tblPr>
      <w:tblGrid>
        <w:gridCol w:w="2193"/>
        <w:gridCol w:w="1926"/>
        <w:gridCol w:w="1941"/>
        <w:gridCol w:w="109"/>
        <w:gridCol w:w="109"/>
        <w:gridCol w:w="170"/>
        <w:gridCol w:w="170"/>
        <w:gridCol w:w="170"/>
        <w:gridCol w:w="170"/>
        <w:gridCol w:w="329"/>
        <w:gridCol w:w="634"/>
        <w:gridCol w:w="170"/>
        <w:gridCol w:w="109"/>
        <w:gridCol w:w="109"/>
        <w:gridCol w:w="109"/>
        <w:gridCol w:w="211"/>
        <w:gridCol w:w="406"/>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new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weighted average remaining lease terms and discount rates for our operating and finance leases as of the periods ended:</w:t>
      </w:r>
    </w:p>
    <w:tbl>
      <w:tblPr>
        <w:tblW w:w="7025" w:type="dxa"/>
        <w:jc w:val="left"/>
        <w:tblInd w:w="0" w:type="dxa"/>
        <w:tblLayout w:type="fixed"/>
        <w:tblCellMar>
          <w:top w:w="28" w:type="dxa"/>
          <w:left w:w="28" w:type="dxa"/>
          <w:bottom w:w="28" w:type="dxa"/>
          <w:right w:w="28" w:type="dxa"/>
        </w:tblCellMar>
      </w:tblPr>
      <w:tblGrid>
        <w:gridCol w:w="1596"/>
        <w:gridCol w:w="1403"/>
        <w:gridCol w:w="1411"/>
        <w:gridCol w:w="255"/>
        <w:gridCol w:w="256"/>
        <w:gridCol w:w="517"/>
        <w:gridCol w:w="109"/>
        <w:gridCol w:w="109"/>
        <w:gridCol w:w="109"/>
        <w:gridCol w:w="257"/>
        <w:gridCol w:w="257"/>
        <w:gridCol w:w="746"/>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lease liabilities as of March 31, 2026 were as follows:</w:t>
      </w:r>
    </w:p>
    <w:tbl>
      <w:tblPr>
        <w:tblW w:w="7931" w:type="dxa"/>
        <w:jc w:val="left"/>
        <w:tblInd w:w="0" w:type="dxa"/>
        <w:tblLayout w:type="fixed"/>
        <w:tblCellMar>
          <w:top w:w="28" w:type="dxa"/>
          <w:left w:w="28" w:type="dxa"/>
          <w:bottom w:w="28" w:type="dxa"/>
          <w:right w:w="28" w:type="dxa"/>
        </w:tblCellMar>
      </w:tblPr>
      <w:tblGrid>
        <w:gridCol w:w="1395"/>
        <w:gridCol w:w="1225"/>
        <w:gridCol w:w="1234"/>
        <w:gridCol w:w="338"/>
        <w:gridCol w:w="987"/>
        <w:gridCol w:w="174"/>
        <w:gridCol w:w="109"/>
        <w:gridCol w:w="109"/>
        <w:gridCol w:w="109"/>
        <w:gridCol w:w="387"/>
        <w:gridCol w:w="745"/>
        <w:gridCol w:w="202"/>
        <w:gridCol w:w="109"/>
        <w:gridCol w:w="109"/>
        <w:gridCol w:w="109"/>
        <w:gridCol w:w="109"/>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 period as of March 31, 2026)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lease interest</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7:  Affiliated Companies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carrying amounts of our investments in affiliated companies that are accounted for under the equity method and our investments in affiliated companies that are not accounted for under the equity method:</w:t>
      </w:r>
    </w:p>
    <w:tbl>
      <w:tblPr>
        <w:tblW w:w="7892" w:type="dxa"/>
        <w:jc w:val="left"/>
        <w:tblInd w:w="0" w:type="dxa"/>
        <w:tblLayout w:type="fixed"/>
        <w:tblCellMar>
          <w:top w:w="28" w:type="dxa"/>
          <w:left w:w="28" w:type="dxa"/>
          <w:bottom w:w="28" w:type="dxa"/>
          <w:right w:w="28" w:type="dxa"/>
        </w:tblCellMar>
      </w:tblPr>
      <w:tblGrid>
        <w:gridCol w:w="1943"/>
        <w:gridCol w:w="1707"/>
        <w:gridCol w:w="1720"/>
        <w:gridCol w:w="211"/>
        <w:gridCol w:w="616"/>
        <w:gridCol w:w="109"/>
        <w:gridCol w:w="109"/>
        <w:gridCol w:w="109"/>
        <w:gridCol w:w="109"/>
        <w:gridCol w:w="271"/>
        <w:gridCol w:w="791"/>
        <w:gridCol w:w="197"/>
      </w:tblGrid>
      <w:tr>
        <w:trPr/>
        <w:tc>
          <w:tcPr>
            <w:tcW w:w="194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carrying value of investments in affiliated companies: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Equity method affiliates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Non-equity method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investments in affiliated companies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due to and from affiliates in the condensed consolidated balance sheets:</w:t>
      </w:r>
    </w:p>
    <w:tbl>
      <w:tblPr>
        <w:tblW w:w="5251" w:type="dxa"/>
        <w:jc w:val="left"/>
        <w:tblInd w:w="0" w:type="dxa"/>
        <w:tblLayout w:type="fixed"/>
        <w:tblCellMar>
          <w:top w:w="28" w:type="dxa"/>
          <w:left w:w="28" w:type="dxa"/>
          <w:bottom w:w="28" w:type="dxa"/>
          <w:right w:w="28" w:type="dxa"/>
        </w:tblCellMar>
      </w:tblPr>
      <w:tblGrid>
        <w:gridCol w:w="950"/>
        <w:gridCol w:w="834"/>
        <w:gridCol w:w="841"/>
        <w:gridCol w:w="109"/>
        <w:gridCol w:w="236"/>
        <w:gridCol w:w="572"/>
        <w:gridCol w:w="122"/>
        <w:gridCol w:w="109"/>
        <w:gridCol w:w="109"/>
        <w:gridCol w:w="109"/>
        <w:gridCol w:w="303"/>
        <w:gridCol w:w="734"/>
        <w:gridCol w:w="223"/>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due to affiliates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due from affiliates</w:t>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affiliate transactions: </w:t>
      </w:r>
    </w:p>
    <w:tbl>
      <w:tblPr>
        <w:tblW w:w="6054" w:type="dxa"/>
        <w:jc w:val="left"/>
        <w:tblInd w:w="0" w:type="dxa"/>
        <w:tblLayout w:type="fixed"/>
        <w:tblCellMar>
          <w:top w:w="28" w:type="dxa"/>
          <w:left w:w="28" w:type="dxa"/>
          <w:bottom w:w="28" w:type="dxa"/>
          <w:right w:w="28" w:type="dxa"/>
        </w:tblCellMar>
      </w:tblPr>
      <w:tblGrid>
        <w:gridCol w:w="1297"/>
        <w:gridCol w:w="1139"/>
        <w:gridCol w:w="1148"/>
        <w:gridCol w:w="211"/>
        <w:gridCol w:w="511"/>
        <w:gridCol w:w="109"/>
        <w:gridCol w:w="109"/>
        <w:gridCol w:w="109"/>
        <w:gridCol w:w="109"/>
        <w:gridCol w:w="211"/>
        <w:gridCol w:w="511"/>
        <w:gridCol w:w="109"/>
        <w:gridCol w:w="109"/>
        <w:gridCol w:w="109"/>
        <w:gridCol w:w="109"/>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(and payments to) affiliates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affiliates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the purchase transactions listed above relate to a distributorship agreement with Daikyo Seiko, Ltd. ("Daikyo") that allows the Company to purchase and re-sell Daikyo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long-term debt obligations, net of unamortized debt issuance costs and current maturities. The interest rates shown in parentheses are as of March 31, 2026.</w:t>
      </w:r>
    </w:p>
    <w:tbl>
      <w:tblPr>
        <w:tblW w:w="8297" w:type="dxa"/>
        <w:jc w:val="left"/>
        <w:tblInd w:w="0" w:type="dxa"/>
        <w:tblLayout w:type="fixed"/>
        <w:tblCellMar>
          <w:top w:w="28" w:type="dxa"/>
          <w:left w:w="28" w:type="dxa"/>
          <w:bottom w:w="28" w:type="dxa"/>
          <w:right w:w="28" w:type="dxa"/>
        </w:tblCellMar>
      </w:tblPr>
      <w:tblGrid>
        <w:gridCol w:w="2090"/>
        <w:gridCol w:w="1835"/>
        <w:gridCol w:w="1850"/>
        <w:gridCol w:w="211"/>
        <w:gridCol w:w="616"/>
        <w:gridCol w:w="109"/>
        <w:gridCol w:w="109"/>
        <w:gridCol w:w="109"/>
        <w:gridCol w:w="109"/>
        <w:gridCol w:w="271"/>
        <w:gridCol w:w="791"/>
        <w:gridCol w:w="197"/>
      </w:tblGrid>
      <w:tr>
        <w:trPr/>
        <w:tc>
          <w:tcPr>
            <w:tcW w:w="209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due July 2, 2027 (5.05%)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Series C notes, due July 5, 2027 (4.02%)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for Term Loan and Series Notes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0" w:after="120"/>
        <w:jc w:val="left"/>
        <w:rPr/>
      </w:pPr>
      <w:r>
        <w:rPr>
          <w:rFonts w:ascii="Times New Roman;serif" w:hAnsi="Times New Roman;serif"/>
          <w:b w:val="false"/>
          <w:color w:val="000000"/>
          <w:sz w:val="20"/>
        </w:rPr>
        <w:t xml:space="preserve">At March 31, 2026, the Company had $130.0 million in borrowings under the Term Loan which were classified as long-term. Please refer to Note 9, </w:t>
      </w:r>
      <w:hyperlink w:anchor="i00128711c8ba4c558e59c1802285183d_85">
        <w:r>
          <w:rPr>
            <w:rStyle w:val="InternetLink"/>
            <w:rFonts w:ascii="Times New Roman;serif" w:hAnsi="Times New Roman;serif"/>
            <w:b w:val="false"/>
            <w:i/>
            <w:color w:val="0000FF"/>
            <w:sz w:val="20"/>
            <w:u w:val="single"/>
          </w:rPr>
          <w:t>Derivative Financial Instruments</w:t>
        </w:r>
      </w:hyperlink>
      <w:r>
        <w:rPr>
          <w:rFonts w:ascii="Times New Roman;serif" w:hAnsi="Times New Roman;serif"/>
          <w:b w:val="false"/>
          <w:color w:val="000000"/>
          <w:sz w:val="20"/>
        </w:rPr>
        <w:t>, for a discussion of the foreign currency hedge associated with the Term Loan.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Multi-Currency Revolving Credit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March 31, 2026, the borrowing capacity available under our $500.0 million multi-currency revolving credit facility, including outstanding letters of credit of $2.3 million, was $497.7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March 31, 2026, we were in compliance with all of our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9:  Derivative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Foreign Exchange Rate Risk</w:t>
      </w:r>
    </w:p>
    <w:p>
      <w:pPr>
        <w:pStyle w:val="TextBody"/>
        <w:bidi w:val="0"/>
        <w:spacing w:lineRule="auto" w:line="288" w:before="0" w:after="120"/>
        <w:jc w:val="left"/>
        <w:rPr/>
      </w:pPr>
      <w:r>
        <w:rPr>
          <w:rFonts w:ascii="Times New Roman;serif" w:hAnsi="Times New Roman;serif"/>
          <w:b w:val="false"/>
          <w:color w:val="000000"/>
          <w:sz w:val="20"/>
        </w:rPr>
        <w:t xml:space="preserve">We have entered into forward exchange contracts, designated as fair value hedges, to manage our exposure to fluctuating foreign exchange rates on cross-currency intercompany loans in </w:t>
      </w:r>
      <w:r>
        <w:rPr>
          <w:rFonts w:ascii="Times New Roman;serif" w:hAnsi="Times New Roman;serif"/>
          <w:b w:val="false"/>
          <w:color w:val="000000"/>
          <w:sz w:val="20"/>
          <w:shd w:fill="FFFFFF" w:val="clear"/>
        </w:rPr>
        <w:t xml:space="preserve">Singapore Dollar (“SGD”) and on </w:t>
      </w:r>
      <w:r>
        <w:rPr>
          <w:rFonts w:ascii="Times New Roman;serif" w:hAnsi="Times New Roman;serif"/>
          <w:b w:val="false"/>
          <w:color w:val="000000"/>
          <w:sz w:val="20"/>
        </w:rPr>
        <w:t>cross-currency intercompany demand notes in Euro ("EUR"), which were executed at various times throughout 2025 and 2026. The following table summarizes the total amount of the following forward exchange contracts as fair value hedges at the following dates:</w:t>
      </w:r>
    </w:p>
    <w:tbl>
      <w:tblPr>
        <w:tblW w:w="7861" w:type="dxa"/>
        <w:jc w:val="left"/>
        <w:tblInd w:w="0" w:type="dxa"/>
        <w:tblLayout w:type="fixed"/>
        <w:tblCellMar>
          <w:top w:w="28" w:type="dxa"/>
          <w:left w:w="28" w:type="dxa"/>
          <w:bottom w:w="28" w:type="dxa"/>
          <w:right w:w="28" w:type="dxa"/>
        </w:tblCellMar>
      </w:tblPr>
      <w:tblGrid>
        <w:gridCol w:w="1368"/>
        <w:gridCol w:w="1201"/>
        <w:gridCol w:w="1211"/>
        <w:gridCol w:w="305"/>
        <w:gridCol w:w="305"/>
        <w:gridCol w:w="306"/>
        <w:gridCol w:w="109"/>
        <w:gridCol w:w="109"/>
        <w:gridCol w:w="109"/>
        <w:gridCol w:w="481"/>
        <w:gridCol w:w="616"/>
        <w:gridCol w:w="109"/>
        <w:gridCol w:w="109"/>
        <w:gridCol w:w="109"/>
        <w:gridCol w:w="109"/>
        <w:gridCol w:w="502"/>
        <w:gridCol w:w="643"/>
        <w:gridCol w:w="160"/>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 Exchange Contracts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Intercompany Loans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SGD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Intercompany Demand Notes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entered into several foreign currency contracts, designated as cash flow hedges, for periods of up to eighteen months, intended to hedge the currency risk associated with a portion of our forecasted transactions denominated in foreign currencies. As of March 31, 2026, we had outstanding foreign currency contracts to purchase and sell certain pairs of currencies, as follows:</w:t>
      </w:r>
    </w:p>
    <w:tbl>
      <w:tblPr>
        <w:tblW w:w="5152" w:type="dxa"/>
        <w:jc w:val="left"/>
        <w:tblInd w:w="0" w:type="dxa"/>
        <w:tblLayout w:type="fixed"/>
        <w:tblCellMar>
          <w:top w:w="28" w:type="dxa"/>
          <w:left w:w="28" w:type="dxa"/>
          <w:bottom w:w="28" w:type="dxa"/>
          <w:right w:w="28" w:type="dxa"/>
        </w:tblCellMar>
      </w:tblPr>
      <w:tblGrid>
        <w:gridCol w:w="407"/>
        <w:gridCol w:w="357"/>
        <w:gridCol w:w="360"/>
        <w:gridCol w:w="383"/>
        <w:gridCol w:w="383"/>
        <w:gridCol w:w="296"/>
        <w:gridCol w:w="109"/>
        <w:gridCol w:w="109"/>
        <w:gridCol w:w="109"/>
        <w:gridCol w:w="255"/>
        <w:gridCol w:w="256"/>
        <w:gridCol w:w="161"/>
        <w:gridCol w:w="109"/>
        <w:gridCol w:w="109"/>
        <w:gridCol w:w="109"/>
        <w:gridCol w:w="255"/>
        <w:gridCol w:w="256"/>
        <w:gridCol w:w="171"/>
        <w:gridCol w:w="109"/>
        <w:gridCol w:w="109"/>
        <w:gridCol w:w="109"/>
        <w:gridCol w:w="203"/>
        <w:gridCol w:w="203"/>
        <w:gridCol w:w="225"/>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Sell</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Currency</w:t>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SGD</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JPY</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SGD</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2024, we entered into a cross-currency swap for $130 million, which we designated as a hedge of our net investment in Daikyo. As of March 31, 2026, the notional amount of the cross-currency swap is ¥17.0 billion ($130.0 million) and the swap termination date is July 2, 2027. Under the cross-currency swap, we receive fixed USD interest rate payments in return for paying fixed JPY interest rate payments.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purchase call options on crude oil to mitigate our exposure to such oil-based surcharges and protect operating cash flows with regard to a portion of our forecasted elastomer purchases. As of March 31, 2026, we had outstanding contracts to purchase 207,637 barrels of crude oil from March 2026 to September 2027, at a weighted-average strike price of $81.61 per barrel.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Effects of Derivative Instruments on Financial Position and Results of Operations</w:t>
      </w:r>
    </w:p>
    <w:p>
      <w:pPr>
        <w:pStyle w:val="TextBody"/>
        <w:bidi w:val="0"/>
        <w:spacing w:lineRule="auto" w:line="288" w:before="0" w:after="120"/>
        <w:jc w:val="left"/>
        <w:rPr/>
      </w:pPr>
      <w:r>
        <w:rPr>
          <w:rFonts w:ascii="Times New Roman;serif" w:hAnsi="Times New Roman;serif"/>
          <w:b w:val="false"/>
          <w:color w:val="000000"/>
          <w:sz w:val="20"/>
        </w:rPr>
        <w:t xml:space="preserve">Please refer to Note 10, </w:t>
      </w:r>
      <w:hyperlink w:anchor="i00128711c8ba4c558e59c1802285183d_88">
        <w:r>
          <w:rPr>
            <w:rStyle w:val="InternetLink"/>
            <w:rFonts w:ascii="Times New Roman;serif" w:hAnsi="Times New Roman;serif"/>
            <w:b w:val="false"/>
            <w:i/>
            <w:color w:val="0000FF"/>
            <w:sz w:val="20"/>
            <w:u w:val="single"/>
          </w:rPr>
          <w:t>Fair Value Measurements</w:t>
        </w:r>
      </w:hyperlink>
      <w:r>
        <w:rPr>
          <w:rFonts w:ascii="Times New Roman;serif" w:hAnsi="Times New Roman;serif"/>
          <w:b w:val="false"/>
          <w:color w:val="000000"/>
          <w:sz w:val="20"/>
        </w:rPr>
        <w:t>, for the balance sheet location and fair values of our derivative instruments as of March 31, 2026 and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designated as fair value hedges on the condensed consolidated statements of income:</w:t>
      </w:r>
    </w:p>
    <w:tbl>
      <w:tblPr>
        <w:tblW w:w="10205" w:type="dxa"/>
        <w:jc w:val="left"/>
        <w:tblInd w:w="0" w:type="dxa"/>
        <w:tblLayout w:type="fixed"/>
        <w:tblCellMar>
          <w:top w:w="28" w:type="dxa"/>
          <w:left w:w="28" w:type="dxa"/>
          <w:bottom w:w="28" w:type="dxa"/>
          <w:right w:w="28" w:type="dxa"/>
        </w:tblCellMar>
      </w:tblPr>
      <w:tblGrid>
        <w:gridCol w:w="1043"/>
        <w:gridCol w:w="882"/>
        <w:gridCol w:w="805"/>
        <w:gridCol w:w="365"/>
        <w:gridCol w:w="807"/>
        <w:gridCol w:w="188"/>
        <w:gridCol w:w="188"/>
        <w:gridCol w:w="188"/>
        <w:gridCol w:w="188"/>
        <w:gridCol w:w="365"/>
        <w:gridCol w:w="807"/>
        <w:gridCol w:w="188"/>
        <w:gridCol w:w="109"/>
        <w:gridCol w:w="109"/>
        <w:gridCol w:w="109"/>
        <w:gridCol w:w="109"/>
        <w:gridCol w:w="109"/>
        <w:gridCol w:w="1998"/>
        <w:gridCol w:w="109"/>
        <w:gridCol w:w="447"/>
        <w:gridCol w:w="447"/>
        <w:gridCol w:w="645"/>
      </w:tblGrid>
      <w:tr>
        <w:trPr/>
        <w:tc>
          <w:tcPr>
            <w:tcW w:w="104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4"/>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on Statement of Income</w:t>
            </w:r>
          </w:p>
        </w:tc>
        <w:tc>
          <w:tcPr>
            <w:tcW w:w="1648" w:type="dxa"/>
            <w:gridSpan w:val="4"/>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Hedged item (intercompany loan)</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designated as hedging instrument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excluded from effectiveness testing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expense recognized in earnings, pre-tax, for forward point components for the three months ended March 31, 2026 and 2025 was $1.2 million and 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effects of derivative instruments designated as fair value, cash flow, and net investment hedges on other comprehensive income (“OCI”) and earnings, net of tax:</w:t>
      </w:r>
    </w:p>
    <w:tbl>
      <w:tblPr>
        <w:tblW w:w="10205" w:type="dxa"/>
        <w:jc w:val="left"/>
        <w:tblInd w:w="0" w:type="dxa"/>
        <w:tblLayout w:type="fixed"/>
        <w:tblCellMar>
          <w:top w:w="28" w:type="dxa"/>
          <w:left w:w="28" w:type="dxa"/>
          <w:bottom w:w="28" w:type="dxa"/>
          <w:right w:w="28" w:type="dxa"/>
        </w:tblCellMar>
      </w:tblPr>
      <w:tblGrid>
        <w:gridCol w:w="876"/>
        <w:gridCol w:w="416"/>
        <w:gridCol w:w="419"/>
        <w:gridCol w:w="271"/>
        <w:gridCol w:w="575"/>
        <w:gridCol w:w="140"/>
        <w:gridCol w:w="140"/>
        <w:gridCol w:w="140"/>
        <w:gridCol w:w="140"/>
        <w:gridCol w:w="271"/>
        <w:gridCol w:w="575"/>
        <w:gridCol w:w="140"/>
        <w:gridCol w:w="109"/>
        <w:gridCol w:w="109"/>
        <w:gridCol w:w="109"/>
        <w:gridCol w:w="345"/>
        <w:gridCol w:w="664"/>
        <w:gridCol w:w="178"/>
        <w:gridCol w:w="178"/>
        <w:gridCol w:w="178"/>
        <w:gridCol w:w="178"/>
        <w:gridCol w:w="345"/>
        <w:gridCol w:w="742"/>
        <w:gridCol w:w="178"/>
        <w:gridCol w:w="109"/>
        <w:gridCol w:w="109"/>
        <w:gridCol w:w="109"/>
        <w:gridCol w:w="717"/>
        <w:gridCol w:w="717"/>
        <w:gridCol w:w="1028"/>
      </w:tblGrid>
      <w:tr>
        <w:trPr/>
        <w:tc>
          <w:tcPr>
            <w:tcW w:w="8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OCI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Reclassified from Accumulated OCI into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 Reclassified from Accumulated OCI into Income</w:t>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Hedges:</w:t>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9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hedge contracts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tc>
        <w:tc>
          <w:tcPr>
            <w:tcW w:w="9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Refer to the above table which summarizes the effects of derivative instruments designated as fair value hedges within the other expense (income) line in our condensed consolidated statements of income for the three months ended March 31, 2026 and March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designated as cash flow and net investment hedges by line item in the condensed consolidated statements of income:</w:t>
      </w:r>
    </w:p>
    <w:tbl>
      <w:tblPr>
        <w:tblW w:w="5005" w:type="dxa"/>
        <w:jc w:val="left"/>
        <w:tblInd w:w="0" w:type="dxa"/>
        <w:tblLayout w:type="fixed"/>
        <w:tblCellMar>
          <w:top w:w="28" w:type="dxa"/>
          <w:left w:w="28" w:type="dxa"/>
          <w:bottom w:w="28" w:type="dxa"/>
          <w:right w:w="28" w:type="dxa"/>
        </w:tblCellMar>
      </w:tblPr>
      <w:tblGrid>
        <w:gridCol w:w="966"/>
        <w:gridCol w:w="849"/>
        <w:gridCol w:w="855"/>
        <w:gridCol w:w="211"/>
        <w:gridCol w:w="406"/>
        <w:gridCol w:w="109"/>
        <w:gridCol w:w="109"/>
        <w:gridCol w:w="109"/>
        <w:gridCol w:w="109"/>
        <w:gridCol w:w="211"/>
        <w:gridCol w:w="481"/>
        <w:gridCol w:w="109"/>
        <w:gridCol w:w="109"/>
        <w:gridCol w:w="109"/>
        <w:gridCol w:w="109"/>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not designated as hedges on the condensed consolidated statements of income:</w:t>
      </w:r>
    </w:p>
    <w:tbl>
      <w:tblPr>
        <w:tblW w:w="10205" w:type="dxa"/>
        <w:jc w:val="left"/>
        <w:tblInd w:w="0" w:type="dxa"/>
        <w:tblLayout w:type="fixed"/>
        <w:tblCellMar>
          <w:top w:w="28" w:type="dxa"/>
          <w:left w:w="28" w:type="dxa"/>
          <w:bottom w:w="28" w:type="dxa"/>
          <w:right w:w="28" w:type="dxa"/>
        </w:tblCellMar>
      </w:tblPr>
      <w:tblGrid>
        <w:gridCol w:w="679"/>
        <w:gridCol w:w="589"/>
        <w:gridCol w:w="559"/>
        <w:gridCol w:w="422"/>
        <w:gridCol w:w="812"/>
        <w:gridCol w:w="217"/>
        <w:gridCol w:w="217"/>
        <w:gridCol w:w="217"/>
        <w:gridCol w:w="217"/>
        <w:gridCol w:w="422"/>
        <w:gridCol w:w="946"/>
        <w:gridCol w:w="217"/>
        <w:gridCol w:w="109"/>
        <w:gridCol w:w="109"/>
        <w:gridCol w:w="109"/>
        <w:gridCol w:w="109"/>
        <w:gridCol w:w="109"/>
        <w:gridCol w:w="2297"/>
        <w:gridCol w:w="109"/>
        <w:gridCol w:w="505"/>
        <w:gridCol w:w="505"/>
        <w:gridCol w:w="730"/>
      </w:tblGrid>
      <w:tr>
        <w:trPr/>
        <w:tc>
          <w:tcPr>
            <w:tcW w:w="6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(Loss) Recognized in Income for the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4"/>
            <w:tcBorders/>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on Statement of Income</w:t>
            </w:r>
          </w:p>
        </w:tc>
        <w:tc>
          <w:tcPr>
            <w:tcW w:w="1849" w:type="dxa"/>
            <w:gridSpan w:val="4"/>
            <w:tcBorders/>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call options</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Forwards</w:t>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there was no material ineffectiveness related to these hedges.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Fair Value Measurements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u w:val="single"/>
        </w:rPr>
        <w:t>Level 1</w:t>
      </w:r>
      <w:r>
        <w:rPr>
          <w:rFonts w:ascii="Times New Roman;serif" w:hAnsi="Times New Roman;serif"/>
          <w:b w:val="false"/>
          <w:color w:val="000000"/>
          <w:sz w:val="20"/>
        </w:rPr>
        <w:t>: Unadjusted quoted prices in active markets for identical assets or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u w:val="single"/>
        </w:rPr>
        <w:t>Level 2</w:t>
      </w:r>
      <w:r>
        <w:rPr>
          <w:rFonts w:ascii="Times New Roman;serif" w:hAnsi="Times New Roman;serif"/>
          <w:b w:val="false"/>
          <w:color w:val="000000"/>
          <w:sz w:val="20"/>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u w:val="single"/>
        </w:rPr>
        <w:t>Level 3</w:t>
      </w:r>
      <w:r>
        <w:rPr>
          <w:rFonts w:ascii="Times New Roman;serif" w:hAnsi="Times New Roman;serif"/>
          <w:b w:val="false"/>
          <w:color w:val="000000"/>
          <w:sz w:val="20"/>
        </w:rPr>
        <w:t>: Unobservable inputs that reflect the reporting entity’s own assumptions.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assets and liabilities recorded at fair value on a recurring basis:</w:t>
      </w:r>
    </w:p>
    <w:tbl>
      <w:tblPr>
        <w:tblW w:w="7297" w:type="dxa"/>
        <w:jc w:val="left"/>
        <w:tblInd w:w="0" w:type="dxa"/>
        <w:tblLayout w:type="fixed"/>
        <w:tblCellMar>
          <w:top w:w="28" w:type="dxa"/>
          <w:left w:w="28" w:type="dxa"/>
          <w:bottom w:w="28" w:type="dxa"/>
          <w:right w:w="28" w:type="dxa"/>
        </w:tblCellMar>
      </w:tblPr>
      <w:tblGrid>
        <w:gridCol w:w="1020"/>
        <w:gridCol w:w="896"/>
        <w:gridCol w:w="903"/>
        <w:gridCol w:w="216"/>
        <w:gridCol w:w="632"/>
        <w:gridCol w:w="111"/>
        <w:gridCol w:w="109"/>
        <w:gridCol w:w="109"/>
        <w:gridCol w:w="109"/>
        <w:gridCol w:w="211"/>
        <w:gridCol w:w="616"/>
        <w:gridCol w:w="109"/>
        <w:gridCol w:w="109"/>
        <w:gridCol w:w="109"/>
        <w:gridCol w:w="109"/>
        <w:gridCol w:w="211"/>
        <w:gridCol w:w="511"/>
        <w:gridCol w:w="109"/>
        <w:gridCol w:w="109"/>
        <w:gridCol w:w="109"/>
        <w:gridCol w:w="109"/>
        <w:gridCol w:w="211"/>
        <w:gridCol w:w="40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Basis of Fair Value Measurements</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call options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95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liabilities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52" w:type="dxa"/>
        <w:jc w:val="left"/>
        <w:tblInd w:w="0" w:type="dxa"/>
        <w:tblLayout w:type="fixed"/>
        <w:tblCellMar>
          <w:top w:w="28" w:type="dxa"/>
          <w:left w:w="28" w:type="dxa"/>
          <w:bottom w:w="28" w:type="dxa"/>
          <w:right w:w="28" w:type="dxa"/>
        </w:tblCellMar>
      </w:tblPr>
      <w:tblGrid>
        <w:gridCol w:w="1020"/>
        <w:gridCol w:w="896"/>
        <w:gridCol w:w="903"/>
        <w:gridCol w:w="273"/>
        <w:gridCol w:w="801"/>
        <w:gridCol w:w="140"/>
        <w:gridCol w:w="109"/>
        <w:gridCol w:w="109"/>
        <w:gridCol w:w="109"/>
        <w:gridCol w:w="211"/>
        <w:gridCol w:w="616"/>
        <w:gridCol w:w="109"/>
        <w:gridCol w:w="109"/>
        <w:gridCol w:w="109"/>
        <w:gridCol w:w="109"/>
        <w:gridCol w:w="211"/>
        <w:gridCol w:w="511"/>
        <w:gridCol w:w="109"/>
        <w:gridCol w:w="109"/>
        <w:gridCol w:w="109"/>
        <w:gridCol w:w="109"/>
        <w:gridCol w:w="211"/>
        <w:gridCol w:w="40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Basis of Fair Value Measurements</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assets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call options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121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hyperlink w:anchor="i00128711c8ba4c558e59c1802285183d_85">
        <w:r>
          <w:rPr>
            <w:rStyle w:val="InternetLink"/>
            <w:rFonts w:ascii="Times New Roman;serif" w:hAnsi="Times New Roman;serif"/>
            <w:b w:val="false"/>
            <w:i/>
            <w:color w:val="0000FF"/>
            <w:sz w:val="20"/>
            <w:u w:val="single"/>
          </w:rPr>
          <w:t>Derivative Financial Instruments</w:t>
        </w:r>
      </w:hyperlink>
      <w:r>
        <w:rPr>
          <w:rFonts w:ascii="Times New Roman;serif" w:hAnsi="Times New Roman;serif"/>
          <w:b w:val="false"/>
          <w:color w:val="000000"/>
          <w:sz w:val="20"/>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 carrying amounts of our cash and accounts receivable approximate their fair values due to their near-term maturities.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long-term debt is based on quoted market prices for debt issuances with similar terms and maturities and is classified as Level 2 within the fair value hierarchy. At March 31, 2026, the estimated fair value of long-term debt was $202.2 million compared to a carrying amount of $202.8 million. At December 31, 2025, the estimated fair value of long-term debt was $202.4 million and the carrying amount was $202.8 million. As of March 31, 2026, and December 31, 2025, all debt is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11: Accumulated Other Comprehensive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components of accumulated other comprehensive income ("AOCI") (loss), net of tax, for the three months ended March 31, 2026:</w:t>
      </w:r>
    </w:p>
    <w:tbl>
      <w:tblPr>
        <w:tblW w:w="10205" w:type="dxa"/>
        <w:jc w:val="left"/>
        <w:tblInd w:w="0" w:type="dxa"/>
        <w:tblLayout w:type="fixed"/>
        <w:tblCellMar>
          <w:top w:w="28" w:type="dxa"/>
          <w:left w:w="28" w:type="dxa"/>
          <w:bottom w:w="28" w:type="dxa"/>
          <w:right w:w="28" w:type="dxa"/>
        </w:tblCellMar>
      </w:tblPr>
      <w:tblGrid>
        <w:gridCol w:w="1141"/>
        <w:gridCol w:w="596"/>
        <w:gridCol w:w="574"/>
        <w:gridCol w:w="295"/>
        <w:gridCol w:w="588"/>
        <w:gridCol w:w="153"/>
        <w:gridCol w:w="109"/>
        <w:gridCol w:w="109"/>
        <w:gridCol w:w="109"/>
        <w:gridCol w:w="425"/>
        <w:gridCol w:w="819"/>
        <w:gridCol w:w="221"/>
        <w:gridCol w:w="109"/>
        <w:gridCol w:w="109"/>
        <w:gridCol w:w="109"/>
        <w:gridCol w:w="526"/>
        <w:gridCol w:w="1049"/>
        <w:gridCol w:w="273"/>
        <w:gridCol w:w="109"/>
        <w:gridCol w:w="109"/>
        <w:gridCol w:w="109"/>
        <w:gridCol w:w="261"/>
        <w:gridCol w:w="828"/>
        <w:gridCol w:w="135"/>
        <w:gridCol w:w="109"/>
        <w:gridCol w:w="109"/>
        <w:gridCol w:w="109"/>
        <w:gridCol w:w="211"/>
        <w:gridCol w:w="641"/>
        <w:gridCol w:w="161"/>
      </w:tblGrid>
      <w:tr>
        <w:trPr/>
        <w:tc>
          <w:tcPr>
            <w:tcW w:w="11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in equity affiliate investment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components of accumulated other comprehensive income ("AOCI") (loss), net of tax, for the three months ended March 31, 2025:</w:t>
      </w:r>
    </w:p>
    <w:tbl>
      <w:tblPr>
        <w:tblW w:w="10205" w:type="dxa"/>
        <w:jc w:val="left"/>
        <w:tblInd w:w="0" w:type="dxa"/>
        <w:tblLayout w:type="fixed"/>
        <w:tblCellMar>
          <w:top w:w="28" w:type="dxa"/>
          <w:left w:w="28" w:type="dxa"/>
          <w:bottom w:w="28" w:type="dxa"/>
          <w:right w:w="28" w:type="dxa"/>
        </w:tblCellMar>
      </w:tblPr>
      <w:tblGrid>
        <w:gridCol w:w="1141"/>
        <w:gridCol w:w="596"/>
        <w:gridCol w:w="574"/>
        <w:gridCol w:w="295"/>
        <w:gridCol w:w="588"/>
        <w:gridCol w:w="153"/>
        <w:gridCol w:w="109"/>
        <w:gridCol w:w="109"/>
        <w:gridCol w:w="109"/>
        <w:gridCol w:w="425"/>
        <w:gridCol w:w="819"/>
        <w:gridCol w:w="221"/>
        <w:gridCol w:w="109"/>
        <w:gridCol w:w="109"/>
        <w:gridCol w:w="109"/>
        <w:gridCol w:w="461"/>
        <w:gridCol w:w="1149"/>
        <w:gridCol w:w="239"/>
        <w:gridCol w:w="109"/>
        <w:gridCol w:w="109"/>
        <w:gridCol w:w="109"/>
        <w:gridCol w:w="261"/>
        <w:gridCol w:w="828"/>
        <w:gridCol w:w="135"/>
        <w:gridCol w:w="109"/>
        <w:gridCol w:w="109"/>
        <w:gridCol w:w="109"/>
        <w:gridCol w:w="211"/>
        <w:gridCol w:w="641"/>
        <w:gridCol w:w="160"/>
      </w:tblGrid>
      <w:tr>
        <w:trPr/>
        <w:tc>
          <w:tcPr>
            <w:tcW w:w="114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in equity affiliate investment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Defined benefit pension and other postretirement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reclassifications out from accumulated other comprehensive loss is presented in the following table:</w:t>
      </w:r>
    </w:p>
    <w:tbl>
      <w:tblPr>
        <w:tblW w:w="10205" w:type="dxa"/>
        <w:jc w:val="left"/>
        <w:tblInd w:w="0" w:type="dxa"/>
        <w:tblLayout w:type="fixed"/>
        <w:tblCellMar>
          <w:top w:w="28" w:type="dxa"/>
          <w:left w:w="28" w:type="dxa"/>
          <w:bottom w:w="28" w:type="dxa"/>
          <w:right w:w="28" w:type="dxa"/>
        </w:tblCellMar>
      </w:tblPr>
      <w:tblGrid>
        <w:gridCol w:w="1812"/>
        <w:gridCol w:w="1521"/>
        <w:gridCol w:w="1495"/>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109"/>
        <w:gridCol w:w="697"/>
        <w:gridCol w:w="697"/>
        <w:gridCol w:w="994"/>
      </w:tblGrid>
      <w:tr>
        <w:trPr/>
        <w:tc>
          <w:tcPr>
            <w:tcW w:w="18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4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4"/>
            <w:tcBorders/>
          </w:tcPr>
          <w:p>
            <w:pPr>
              <w:pStyle w:val="TableContents"/>
              <w:bidi w:val="0"/>
              <w:spacing w:before="0" w:after="283"/>
              <w:jc w:val="left"/>
              <w:rPr>
                <w:sz w:val="4"/>
                <w:szCs w:val="4"/>
              </w:rPr>
            </w:pPr>
            <w:r>
              <w:rPr>
                <w:sz w:val="4"/>
                <w:szCs w:val="4"/>
              </w:rPr>
            </w:r>
          </w:p>
        </w:tc>
      </w:tr>
      <w:tr>
        <w:trPr/>
        <w:tc>
          <w:tcPr>
            <w:tcW w:w="4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Detail of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on Statement of Income</w:t>
            </w:r>
          </w:p>
        </w:tc>
      </w:tr>
      <w:tr>
        <w:trPr/>
        <w:tc>
          <w:tcPr>
            <w:tcW w:w="4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gains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 sold</w:t>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defined benefit pension and other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vAlign w:val="center"/>
          </w:tcPr>
          <w:p>
            <w:pPr>
              <w:pStyle w:val="TableContents"/>
              <w:bidi w:val="0"/>
              <w:spacing w:before="0" w:after="283"/>
              <w:jc w:val="left"/>
              <w:rPr>
                <w:sz w:val="4"/>
                <w:szCs w:val="4"/>
              </w:rPr>
            </w:pPr>
            <w:r>
              <w:rPr>
                <w:sz w:val="4"/>
                <w:szCs w:val="4"/>
              </w:rPr>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This component is included in the computation of net periodic benefit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Note 12: Shareholders</w:t>
      </w:r>
      <w:r>
        <w:rPr>
          <w:color w:val="000000"/>
        </w:rPr>
        <w:t xml:space="preserve">’ </w:t>
      </w:r>
      <w:r>
        <w:rPr>
          <w:rFonts w:ascii="Times New Roman;serif" w:hAnsi="Times New Roman;serif"/>
          <w:b/>
          <w:color w:val="000000"/>
          <w:sz w:val="20"/>
        </w:rPr>
        <w:t>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shareholders’ equity for the three months ended March 31, 2026:</w:t>
      </w:r>
    </w:p>
    <w:tbl>
      <w:tblPr>
        <w:tblW w:w="11543" w:type="dxa"/>
        <w:jc w:val="left"/>
        <w:tblInd w:w="0" w:type="dxa"/>
        <w:tblLayout w:type="fixed"/>
        <w:tblCellMar>
          <w:top w:w="28" w:type="dxa"/>
          <w:left w:w="28" w:type="dxa"/>
          <w:bottom w:w="28" w:type="dxa"/>
          <w:right w:w="28" w:type="dxa"/>
        </w:tblCellMar>
      </w:tblPr>
      <w:tblGrid>
        <w:gridCol w:w="843"/>
        <w:gridCol w:w="253"/>
        <w:gridCol w:w="255"/>
        <w:gridCol w:w="285"/>
        <w:gridCol w:w="285"/>
        <w:gridCol w:w="286"/>
        <w:gridCol w:w="109"/>
        <w:gridCol w:w="109"/>
        <w:gridCol w:w="109"/>
        <w:gridCol w:w="217"/>
        <w:gridCol w:w="526"/>
        <w:gridCol w:w="113"/>
        <w:gridCol w:w="109"/>
        <w:gridCol w:w="109"/>
        <w:gridCol w:w="109"/>
        <w:gridCol w:w="211"/>
        <w:gridCol w:w="406"/>
        <w:gridCol w:w="109"/>
        <w:gridCol w:w="109"/>
        <w:gridCol w:w="109"/>
        <w:gridCol w:w="109"/>
        <w:gridCol w:w="270"/>
        <w:gridCol w:w="270"/>
        <w:gridCol w:w="271"/>
        <w:gridCol w:w="109"/>
        <w:gridCol w:w="109"/>
        <w:gridCol w:w="109"/>
        <w:gridCol w:w="211"/>
        <w:gridCol w:w="781"/>
        <w:gridCol w:w="109"/>
        <w:gridCol w:w="109"/>
        <w:gridCol w:w="109"/>
        <w:gridCol w:w="109"/>
        <w:gridCol w:w="211"/>
        <w:gridCol w:w="766"/>
        <w:gridCol w:w="109"/>
        <w:gridCol w:w="109"/>
        <w:gridCol w:w="109"/>
        <w:gridCol w:w="109"/>
        <w:gridCol w:w="296"/>
        <w:gridCol w:w="886"/>
        <w:gridCol w:w="154"/>
        <w:gridCol w:w="109"/>
        <w:gridCol w:w="109"/>
        <w:gridCol w:w="109"/>
        <w:gridCol w:w="211"/>
        <w:gridCol w:w="76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Number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2025</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Activity related to stock-based compensation</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($0.22 per share)</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net of tax</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2026</w:t>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shareholders’ equity for the three months ended March 31, 2025:</w:t>
      </w:r>
    </w:p>
    <w:tbl>
      <w:tblPr>
        <w:tblW w:w="11648" w:type="dxa"/>
        <w:jc w:val="left"/>
        <w:tblInd w:w="0" w:type="dxa"/>
        <w:tblLayout w:type="fixed"/>
        <w:tblCellMar>
          <w:top w:w="28" w:type="dxa"/>
          <w:left w:w="28" w:type="dxa"/>
          <w:bottom w:w="28" w:type="dxa"/>
          <w:right w:w="28" w:type="dxa"/>
        </w:tblCellMar>
      </w:tblPr>
      <w:tblGrid>
        <w:gridCol w:w="843"/>
        <w:gridCol w:w="253"/>
        <w:gridCol w:w="255"/>
        <w:gridCol w:w="285"/>
        <w:gridCol w:w="285"/>
        <w:gridCol w:w="286"/>
        <w:gridCol w:w="109"/>
        <w:gridCol w:w="109"/>
        <w:gridCol w:w="109"/>
        <w:gridCol w:w="217"/>
        <w:gridCol w:w="526"/>
        <w:gridCol w:w="113"/>
        <w:gridCol w:w="109"/>
        <w:gridCol w:w="109"/>
        <w:gridCol w:w="109"/>
        <w:gridCol w:w="211"/>
        <w:gridCol w:w="511"/>
        <w:gridCol w:w="109"/>
        <w:gridCol w:w="109"/>
        <w:gridCol w:w="109"/>
        <w:gridCol w:w="109"/>
        <w:gridCol w:w="270"/>
        <w:gridCol w:w="270"/>
        <w:gridCol w:w="271"/>
        <w:gridCol w:w="109"/>
        <w:gridCol w:w="109"/>
        <w:gridCol w:w="109"/>
        <w:gridCol w:w="211"/>
        <w:gridCol w:w="781"/>
        <w:gridCol w:w="109"/>
        <w:gridCol w:w="109"/>
        <w:gridCol w:w="109"/>
        <w:gridCol w:w="109"/>
        <w:gridCol w:w="211"/>
        <w:gridCol w:w="766"/>
        <w:gridCol w:w="109"/>
        <w:gridCol w:w="109"/>
        <w:gridCol w:w="109"/>
        <w:gridCol w:w="109"/>
        <w:gridCol w:w="296"/>
        <w:gridCol w:w="886"/>
        <w:gridCol w:w="154"/>
        <w:gridCol w:w="109"/>
        <w:gridCol w:w="109"/>
        <w:gridCol w:w="109"/>
        <w:gridCol w:w="211"/>
        <w:gridCol w:w="76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Number of 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 millions)</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December 31, 2024</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Activity related to stock-based compensation</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Shares purchased under share repurchase program</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Dividends declared ($0.21 per share)</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income, net of tax</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March 31, 2025</w:t>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13:  Stock-Based Compensation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West Pharmaceutical Services, Inc. 2016 Omnibus Incentive Compensation Plan (the “2016 Plan”) provides for the granting of stock options, stock appreciation rights ("SARs"), restricted stock awards and performance awards to employees and non-employee directors. A committee of the Board of Directors determines the terms and conditions of awards to be granted. Vesting requirements vary by award. In March 2025, the Board of Directors approved, and our stockholders subsequently approved in May 2025, an amendment to the 2016 Plan ("the Amended and Restated 2016 Plan"), which, among other things, added 2.0 million shares of common stock to the maximum number of shares of common stock as to which awards may be granted. Following the approval of the Amended and Restated 2016 Plan, all stock options or SARs that are not forfeited or cancelled will reduce the number of shares available for issuance under the Amended and Restated 2016 Plan by one share for each share subject to the award. Awards issued following the amendment that are payable in common stock (other than stock options or SARs) will reduce the total number of shares available for grant under the Amended and Restated 2016 Plan by an amount equal to 2.0 times the number of shares subject to the award. The reduction was previously equal to 2.5 times the number of shares subject to the award under the 2016 Plan. At March 31, 2026, there were approximately 2.8 million shares remaining in the Amended and Restated 2016 Plan for future grants.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granted 65,030 stock options at a weighted average exercise price of $254.34 per share based on the grant-date fair value of our stock to employees under the 2016 Plan. The weighted average grant date fair value of options granted was $107.06 per share as determined by the Black-Scholes option valuation model using the following weighted average assumptions: a risk-free interest rate of 3.7%; expected life of 6.8 years based on prior experience; stock volatility of 35.5% based on historical data; and a dividend yield of 0.4%. Stock option expense is recognized over the vesting period, net of forfeitures.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granted 58,042 stock-settled performance share unit (“PSU”) awards at a weighted average grant-date fair value of $254.34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granted 37,363 stock-settled restricted share unit (“RSU”) awards at a weighted average grant-date fair value of $254.34 per share to eligible employees. These awards are earned over a specified performance period. The fair value of stock-settled RSU awards is based on the market price of our stock at the grant date and is recognized as expense over the vesting period, net of forfeitures.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$6.6 million and $1.3 million for the three months ended March 31, 2026 and March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14:  Other Expense (Income)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consists of:</w:t>
      </w:r>
    </w:p>
    <w:tbl>
      <w:tblPr>
        <w:tblW w:w="5410" w:type="dxa"/>
        <w:jc w:val="left"/>
        <w:tblInd w:w="0" w:type="dxa"/>
        <w:tblLayout w:type="fixed"/>
        <w:tblCellMar>
          <w:top w:w="28" w:type="dxa"/>
          <w:left w:w="28" w:type="dxa"/>
          <w:bottom w:w="28" w:type="dxa"/>
          <w:right w:w="28" w:type="dxa"/>
        </w:tblCellMar>
      </w:tblPr>
      <w:tblGrid>
        <w:gridCol w:w="1102"/>
        <w:gridCol w:w="968"/>
        <w:gridCol w:w="975"/>
        <w:gridCol w:w="211"/>
        <w:gridCol w:w="406"/>
        <w:gridCol w:w="109"/>
        <w:gridCol w:w="109"/>
        <w:gridCol w:w="109"/>
        <w:gridCol w:w="109"/>
        <w:gridCol w:w="211"/>
        <w:gridCol w:w="511"/>
        <w:gridCol w:w="109"/>
        <w:gridCol w:w="109"/>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related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transaction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oil hedges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Restructuring and Related Charges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approved a restructuring plan to adjust our operating cost base to better respond to the macroeconomic factors influencing our business. These changes are expected to be implemented over a period of approximately twenty-four to thirty-six months from the date of approval. The plan is expected to require restructuring and related charges of approximately $30 million to $32 million, with annualized savings in the range of $35 million to $40 million. The following table presents activity related to our restructuring obligations related to our January 2025 restructuring plan:</w:t>
      </w:r>
    </w:p>
    <w:tbl>
      <w:tblPr>
        <w:tblW w:w="6996" w:type="dxa"/>
        <w:jc w:val="left"/>
        <w:tblInd w:w="0" w:type="dxa"/>
        <w:tblLayout w:type="fixed"/>
        <w:tblCellMar>
          <w:top w:w="28" w:type="dxa"/>
          <w:left w:w="28" w:type="dxa"/>
          <w:bottom w:w="28" w:type="dxa"/>
          <w:right w:w="28" w:type="dxa"/>
        </w:tblCellMar>
      </w:tblPr>
      <w:tblGrid>
        <w:gridCol w:w="885"/>
        <w:gridCol w:w="777"/>
        <w:gridCol w:w="783"/>
        <w:gridCol w:w="317"/>
        <w:gridCol w:w="612"/>
        <w:gridCol w:w="165"/>
        <w:gridCol w:w="109"/>
        <w:gridCol w:w="109"/>
        <w:gridCol w:w="109"/>
        <w:gridCol w:w="526"/>
        <w:gridCol w:w="1014"/>
        <w:gridCol w:w="274"/>
        <w:gridCol w:w="109"/>
        <w:gridCol w:w="109"/>
        <w:gridCol w:w="109"/>
        <w:gridCol w:w="109"/>
        <w:gridCol w:w="109"/>
        <w:gridCol w:w="211"/>
        <w:gridCol w:w="40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br/>
              <w:t>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(Credits)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asset write downs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approved a restructuring plan related to a definitive agreement to sell all manufacturing and supply rights for the SmartDose® 3.5mL On-Body Delivery System and associated facilities to AbbVie. These changes are expected to be implemented over a period of approximately twelve to fifteen months from the date of approval. The plan is expected to require restructuring and related charges of $15 million to $20 million, with annualized savings in the range of $15 million to $20 million. The following table presents activity related to our restructuring obligations related to our December 2025 restructuring plan:</w:t>
      </w:r>
    </w:p>
    <w:tbl>
      <w:tblPr>
        <w:tblW w:w="5073" w:type="dxa"/>
        <w:jc w:val="left"/>
        <w:tblInd w:w="0" w:type="dxa"/>
        <w:tblLayout w:type="fixed"/>
        <w:tblCellMar>
          <w:top w:w="28" w:type="dxa"/>
          <w:left w:w="28" w:type="dxa"/>
          <w:bottom w:w="28" w:type="dxa"/>
          <w:right w:w="28" w:type="dxa"/>
        </w:tblCellMar>
      </w:tblPr>
      <w:tblGrid>
        <w:gridCol w:w="885"/>
        <w:gridCol w:w="777"/>
        <w:gridCol w:w="783"/>
        <w:gridCol w:w="317"/>
        <w:gridCol w:w="612"/>
        <w:gridCol w:w="165"/>
        <w:gridCol w:w="109"/>
        <w:gridCol w:w="109"/>
        <w:gridCol w:w="109"/>
        <w:gridCol w:w="109"/>
        <w:gridCol w:w="109"/>
        <w:gridCol w:w="109"/>
        <w:gridCol w:w="109"/>
        <w:gridCol w:w="211"/>
        <w:gridCol w:w="40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br/>
              <w:t>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(Credits)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Contingent Consideration</w:t>
      </w:r>
    </w:p>
    <w:p>
      <w:pPr>
        <w:pStyle w:val="TextBody"/>
        <w:bidi w:val="0"/>
        <w:spacing w:lineRule="auto" w:line="288" w:before="0" w:after="120"/>
        <w:jc w:val="left"/>
        <w:rPr/>
      </w:pPr>
      <w:r>
        <w:rPr>
          <w:rFonts w:ascii="Times New Roman;serif" w:hAnsi="Times New Roman;serif"/>
          <w:b w:val="false"/>
          <w:color w:val="000000"/>
          <w:sz w:val="20"/>
        </w:rPr>
        <w:t xml:space="preserve">Contingent consideration represents changes in the fair value of the SmartDose® contingent consideration. Please refer to Note 10, </w:t>
      </w:r>
      <w:hyperlink w:anchor="i00128711c8ba4c558e59c1802285183d_88">
        <w:r>
          <w:rPr>
            <w:rStyle w:val="InternetLink"/>
            <w:rFonts w:ascii="Times New Roman;serif" w:hAnsi="Times New Roman;serif"/>
            <w:b w:val="false"/>
            <w:i/>
            <w:color w:val="0000FF"/>
            <w:sz w:val="20"/>
            <w:u w:val="single"/>
          </w:rPr>
          <w:t>Fair Value Measurements</w:t>
        </w:r>
      </w:hyperlink>
      <w:r>
        <w:rPr>
          <w:rFonts w:ascii="Times New Roman;serif" w:hAnsi="Times New Roman;serif"/>
          <w:b w:val="false"/>
          <w:color w:val="000000"/>
          <w:sz w:val="20"/>
        </w:rPr>
        <w:t>,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tax provision for interim periods is determined using the estimated annual effective consolidated tax rate, based on the current estimate of full-year earnings before taxes, adjusted for the impact of discrete quarterly items.</w:t>
      </w:r>
    </w:p>
    <w:p>
      <w:pPr>
        <w:pStyle w:val="TextBody"/>
        <w:bidi w:val="0"/>
        <w:spacing w:lineRule="auto" w:line="288" w:before="0" w:after="120"/>
        <w:jc w:val="left"/>
        <w:rPr/>
      </w:pPr>
      <w:r>
        <w:rPr>
          <w:rFonts w:ascii="Times New Roman;serif" w:hAnsi="Times New Roman;serif"/>
          <w:b w:val="false"/>
          <w:color w:val="000000"/>
          <w:sz w:val="20"/>
        </w:rPr>
        <w:t xml:space="preserve">The provision for income taxes was $44.7 million and $24.1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and 2025, respectively, and the effective tax rate was 24.8% and 21.8%, respectively. The increase in the effective tax rate is due primarily to a one-time tax cost of $12.0 million associated with an internal legal entity restructuring which occurred in the first quarter of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liability for unrecognized tax benefits was $64.7 million and $56.1 million as of March 31, 2026 and December 31, 2025, respectively, and is included within other long-term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amended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On December 18, 2025, the defendants filed their first motion to dismiss the amended complaint. Pursuant to the scheduling order entered by the court, the lead plaintiffs’ opposition to the motion to dismiss was filed on February 24, 2026, and the defendants filed their reply on March 31, 2026. We believe the claims in the amended complaint are without merit and we intend to vigorously defend against such claims. Given the nature of the case, including that the proceedings are in their early stages, we are unable at this time to reasonably estimate losses, if any, or form a judgment that an unfavorable outcome is either probable or remote.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commitments and contingencies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organized into two reportable segments, Proprietary Products and West Vantage. 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 Our Proprietary Products reportable segment offers proprietary packaging, containment solutions and drug delivery products, along with analytical lab services and other integrated services and solutions, primarily to biologic, generic and pharmaceutical drug customers. Our West Vantage reportable segment serves as a fully integrated business, focused on the design, manufacture, and automated assembly of complex devices, primarily for pharmaceutical, diagnostic, and medical device customers.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the Chief Executive Officer. The CODM evaluates the performance of our segments based upon, among other things, segment net sales and segment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 identified income or expense items. The segment operating profit metric is what the CODM uses in evaluating our results of operations and the financial measure that provides a valuable insight into our overall performance and financial position. The CODM considers budget-to-actual variances and variances against prior years within segment operating profit when making decisions about allocating resources to the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reportable segments, reconciled to consolidated totals:</w:t>
      </w:r>
    </w:p>
    <w:tbl>
      <w:tblPr>
        <w:tblW w:w="4629" w:type="dxa"/>
        <w:jc w:val="left"/>
        <w:tblInd w:w="0" w:type="dxa"/>
        <w:tblLayout w:type="fixed"/>
        <w:tblCellMar>
          <w:top w:w="28" w:type="dxa"/>
          <w:left w:w="28" w:type="dxa"/>
          <w:bottom w:w="28" w:type="dxa"/>
          <w:right w:w="28" w:type="dxa"/>
        </w:tblCellMar>
      </w:tblPr>
      <w:tblGrid>
        <w:gridCol w:w="705"/>
        <w:gridCol w:w="619"/>
        <w:gridCol w:w="625"/>
        <w:gridCol w:w="211"/>
        <w:gridCol w:w="616"/>
        <w:gridCol w:w="109"/>
        <w:gridCol w:w="109"/>
        <w:gridCol w:w="109"/>
        <w:gridCol w:w="109"/>
        <w:gridCol w:w="211"/>
        <w:gridCol w:w="616"/>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summarized financial information for our two reportable segments and corporate and unallocated:</w:t>
      </w:r>
    </w:p>
    <w:tbl>
      <w:tblPr>
        <w:tblW w:w="5193" w:type="dxa"/>
        <w:jc w:val="left"/>
        <w:tblInd w:w="0" w:type="dxa"/>
        <w:tblLayout w:type="fixed"/>
        <w:tblCellMar>
          <w:top w:w="28" w:type="dxa"/>
          <w:left w:w="28" w:type="dxa"/>
          <w:bottom w:w="28" w:type="dxa"/>
          <w:right w:w="28" w:type="dxa"/>
        </w:tblCellMar>
      </w:tblPr>
      <w:tblGrid>
        <w:gridCol w:w="912"/>
        <w:gridCol w:w="800"/>
        <w:gridCol w:w="808"/>
        <w:gridCol w:w="211"/>
        <w:gridCol w:w="766"/>
        <w:gridCol w:w="109"/>
        <w:gridCol w:w="109"/>
        <w:gridCol w:w="109"/>
        <w:gridCol w:w="109"/>
        <w:gridCol w:w="235"/>
        <w:gridCol w:w="854"/>
        <w:gridCol w:w="171"/>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Unallocated </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4,270.0 </w:t>
            </w:r>
          </w:p>
        </w:tc>
        <w:tc>
          <w:tcPr>
            <w:tcW w:w="1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Corporate and unallocated assets primarily include investments in affiliated companies, cash and cash equivalents, property, plant and equipment used in our corporate operations and deferred income taxes.</w:t>
      </w:r>
    </w:p>
    <w:tbl>
      <w:tblPr>
        <w:tblW w:w="5230" w:type="dxa"/>
        <w:jc w:val="left"/>
        <w:tblInd w:w="0" w:type="dxa"/>
        <w:tblLayout w:type="fixed"/>
        <w:tblCellMar>
          <w:top w:w="28" w:type="dxa"/>
          <w:left w:w="28" w:type="dxa"/>
          <w:bottom w:w="28" w:type="dxa"/>
          <w:right w:w="28" w:type="dxa"/>
        </w:tblCellMar>
      </w:tblPr>
      <w:tblGrid>
        <w:gridCol w:w="999"/>
        <w:gridCol w:w="877"/>
        <w:gridCol w:w="884"/>
        <w:gridCol w:w="211"/>
        <w:gridCol w:w="511"/>
        <w:gridCol w:w="109"/>
        <w:gridCol w:w="109"/>
        <w:gridCol w:w="109"/>
        <w:gridCol w:w="109"/>
        <w:gridCol w:w="211"/>
        <w:gridCol w:w="511"/>
        <w:gridCol w:w="109"/>
        <w:gridCol w:w="109"/>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Depreciation and Amortization</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780" w:type="dxa"/>
        <w:jc w:val="left"/>
        <w:tblInd w:w="0" w:type="dxa"/>
        <w:tblLayout w:type="fixed"/>
        <w:tblCellMar>
          <w:top w:w="28" w:type="dxa"/>
          <w:left w:w="28" w:type="dxa"/>
          <w:bottom w:w="28" w:type="dxa"/>
          <w:right w:w="28" w:type="dxa"/>
        </w:tblCellMar>
      </w:tblPr>
      <w:tblGrid>
        <w:gridCol w:w="836"/>
        <w:gridCol w:w="734"/>
        <w:gridCol w:w="740"/>
        <w:gridCol w:w="211"/>
        <w:gridCol w:w="511"/>
        <w:gridCol w:w="109"/>
        <w:gridCol w:w="109"/>
        <w:gridCol w:w="109"/>
        <w:gridCol w:w="109"/>
        <w:gridCol w:w="211"/>
        <w:gridCol w:w="511"/>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Capital Expenditures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summarized financial information for our segments:</w:t>
      </w:r>
    </w:p>
    <w:tbl>
      <w:tblPr>
        <w:tblW w:w="10205" w:type="dxa"/>
        <w:jc w:val="left"/>
        <w:tblInd w:w="0" w:type="dxa"/>
        <w:tblLayout w:type="fixed"/>
        <w:tblCellMar>
          <w:top w:w="28" w:type="dxa"/>
          <w:left w:w="28" w:type="dxa"/>
          <w:bottom w:w="28" w:type="dxa"/>
          <w:right w:w="28" w:type="dxa"/>
        </w:tblCellMar>
      </w:tblPr>
      <w:tblGrid>
        <w:gridCol w:w="1293"/>
        <w:gridCol w:w="704"/>
        <w:gridCol w:w="708"/>
        <w:gridCol w:w="253"/>
        <w:gridCol w:w="718"/>
        <w:gridCol w:w="142"/>
        <w:gridCol w:w="109"/>
        <w:gridCol w:w="109"/>
        <w:gridCol w:w="109"/>
        <w:gridCol w:w="212"/>
        <w:gridCol w:w="603"/>
        <w:gridCol w:w="118"/>
        <w:gridCol w:w="109"/>
        <w:gridCol w:w="109"/>
        <w:gridCol w:w="109"/>
        <w:gridCol w:w="196"/>
        <w:gridCol w:w="556"/>
        <w:gridCol w:w="109"/>
        <w:gridCol w:w="109"/>
        <w:gridCol w:w="109"/>
        <w:gridCol w:w="109"/>
        <w:gridCol w:w="253"/>
        <w:gridCol w:w="718"/>
        <w:gridCol w:w="142"/>
        <w:gridCol w:w="109"/>
        <w:gridCol w:w="109"/>
        <w:gridCol w:w="109"/>
        <w:gridCol w:w="212"/>
        <w:gridCol w:w="603"/>
        <w:gridCol w:w="118"/>
        <w:gridCol w:w="109"/>
        <w:gridCol w:w="109"/>
        <w:gridCol w:w="109"/>
        <w:gridCol w:w="196"/>
        <w:gridCol w:w="556"/>
        <w:gridCol w:w="160"/>
      </w:tblGrid>
      <w:tr>
        <w:trPr/>
        <w:tc>
          <w:tcPr>
            <w:tcW w:w="129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 2025</w:t>
            </w:r>
          </w:p>
        </w:tc>
      </w:tr>
      <w:tr>
        <w:trPr/>
        <w:tc>
          <w:tcPr>
            <w:tcW w:w="2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Proprietary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West Vantage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Proprietary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West Vantage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and services sold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expense (income)</w:t>
            </w:r>
            <w:r>
              <w:rPr>
                <w:rFonts w:ascii="Times New Roman;serif" w:hAnsi="Times New Roman;serif"/>
                <w:b w:val="false"/>
                <w:color w:val="000000"/>
                <w:sz w:val="12"/>
              </w:rPr>
              <w:t>(1)</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profit or loss: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general costs</w:t>
            </w:r>
            <w:r>
              <w:rPr>
                <w:rFonts w:ascii="Times New Roman;serif" w:hAnsi="Times New Roman;serif"/>
                <w:b w:val="false"/>
                <w:color w:val="000000"/>
                <w:sz w:val="12"/>
              </w:rPr>
              <w:t>(2)</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Unallocated items: </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and other charges</w:t>
            </w:r>
            <w:r>
              <w:rPr>
                <w:rFonts w:ascii="Times New Roman;serif" w:hAnsi="Times New Roman;serif"/>
                <w:b w:val="false"/>
                <w:color w:val="000000"/>
                <w:sz w:val="12"/>
              </w:rPr>
              <w:t>(3)</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SmartDose® 3.5mL sale</w:t>
            </w:r>
            <w:r>
              <w:rPr>
                <w:rFonts w:ascii="Times New Roman;serif" w:hAnsi="Times New Roman;serif"/>
                <w:b w:val="false"/>
                <w:color w:val="000000"/>
                <w:sz w:val="12"/>
              </w:rPr>
              <w:t>(4)</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acquisition-related intangible assets</w:t>
            </w:r>
            <w:r>
              <w:rPr>
                <w:rFonts w:ascii="Times New Roman;serif" w:hAnsi="Times New Roman;serif"/>
                <w:b w:val="false"/>
                <w:color w:val="000000"/>
                <w:sz w:val="12"/>
              </w:rPr>
              <w:t>(5)</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operating profit</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and other nonoperating expense (income), net</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 net income of affiliated companies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Other segment expense (income) primarily includes foreign exchange transaction gains and losses, adjustments to contingent consideration and (gain) loss on oil hedges attributable to the segments during the three months ended March 31, 2026 and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Corporate general costs include executive and director compensation, certain pension and other retirement benefit costs, and other corporate facilities and administrative expenses not allocated to the segments.</w:t>
      </w:r>
    </w:p>
    <w:p>
      <w:pPr>
        <w:pStyle w:val="TextBody"/>
        <w:bidi w:val="0"/>
        <w:spacing w:lineRule="auto" w:line="288" w:before="0" w:after="120"/>
        <w:jc w:val="left"/>
        <w:rPr/>
      </w:pPr>
      <w:r>
        <w:rPr>
          <w:rFonts w:ascii="Times New Roman;serif" w:hAnsi="Times New Roman;serif"/>
          <w:b w:val="false"/>
          <w:color w:val="000000"/>
          <w:sz w:val="20"/>
        </w:rPr>
        <w:t xml:space="preserve">(3) </w:t>
      </w:r>
      <w:r>
        <w:rPr>
          <w:rFonts w:ascii="Times New Roman;serif" w:hAnsi="Times New Roman;serif"/>
          <w:b w:val="false"/>
          <w:color w:val="252525"/>
          <w:sz w:val="20"/>
        </w:rPr>
        <w:t>During the three months ended</w:t>
      </w:r>
      <w:r>
        <w:rPr>
          <w:color w:val="000000"/>
        </w:rPr>
        <w:t xml:space="preserve"> </w:t>
      </w:r>
      <w:r>
        <w:rPr>
          <w:rFonts w:ascii="Times New Roman;serif" w:hAnsi="Times New Roman;serif"/>
          <w:b w:val="false"/>
          <w:color w:val="000000"/>
          <w:sz w:val="20"/>
        </w:rPr>
        <w:t xml:space="preserve">March 31, 2026 and 2025, the Company recorded pre-tax charges of $1.4 million and $17.8 million, respectively, related to our two existing restructuring programs: (i) $0.9 million and $16.4 million in the </w:t>
      </w:r>
      <w:r>
        <w:rPr>
          <w:rFonts w:ascii="Times New Roman;serif" w:hAnsi="Times New Roman;serif"/>
          <w:b w:val="false"/>
          <w:color w:val="252525"/>
          <w:sz w:val="20"/>
        </w:rPr>
        <w:t xml:space="preserve">three months ended </w:t>
      </w:r>
      <w:r>
        <w:rPr>
          <w:rFonts w:ascii="Times New Roman;serif" w:hAnsi="Times New Roman;serif"/>
          <w:b w:val="false"/>
          <w:color w:val="000000"/>
          <w:sz w:val="20"/>
        </w:rPr>
        <w:t xml:space="preserve">March 31, 2026 and 2025, respectively, within other expense (income), related to acceleration of depreciation and lease costs in connection with the Company's January 2025 restructuring plan and (ii) $0.5 million and $1.4 million in the </w:t>
      </w:r>
      <w:r>
        <w:rPr>
          <w:rFonts w:ascii="Times New Roman;serif" w:hAnsi="Times New Roman;serif"/>
          <w:b w:val="false"/>
          <w:color w:val="252525"/>
          <w:sz w:val="20"/>
        </w:rPr>
        <w:t xml:space="preserve">three months ended </w:t>
      </w:r>
      <w:r>
        <w:rPr>
          <w:rFonts w:ascii="Times New Roman;serif" w:hAnsi="Times New Roman;serif"/>
          <w:b w:val="false"/>
          <w:color w:val="000000"/>
          <w:sz w:val="20"/>
        </w:rPr>
        <w:t>March 31, 2026 and 2025, respectively, within selling, general and administrative expenses, for professional services relating to our 2024 plan to optimize the legal structure of the Company and its subsidiaries.</w:t>
      </w:r>
    </w:p>
    <w:p>
      <w:pPr>
        <w:pStyle w:val="TextBody"/>
        <w:bidi w:val="0"/>
        <w:spacing w:lineRule="auto" w:line="288" w:before="0" w:after="120"/>
        <w:jc w:val="left"/>
        <w:rPr/>
      </w:pPr>
      <w:r>
        <w:rPr>
          <w:rFonts w:ascii="Times New Roman;serif" w:hAnsi="Times New Roman;serif"/>
          <w:b w:val="false"/>
          <w:color w:val="000000"/>
          <w:sz w:val="20"/>
        </w:rPr>
        <w:t xml:space="preserve">(4) During the </w:t>
      </w:r>
      <w:r>
        <w:rPr>
          <w:rFonts w:ascii="Times New Roman;serif" w:hAnsi="Times New Roman;serif"/>
          <w:b w:val="false"/>
          <w:color w:val="252525"/>
          <w:sz w:val="20"/>
        </w:rPr>
        <w:t xml:space="preserve">three months ended </w:t>
      </w:r>
      <w:r>
        <w:rPr>
          <w:rFonts w:ascii="Times New Roman;serif" w:hAnsi="Times New Roman;serif"/>
          <w:b w:val="false"/>
          <w:color w:val="000000"/>
          <w:sz w:val="20"/>
        </w:rPr>
        <w:t>March 31, 2026, the Company recorded charges of $1.9 million related to the Company's agreement to sell its SmartDose® 3.5mL On-Body Delivery System and associated facilities to AbbVie. The Company recorded $0.9 million of the charges within other expense (income), related to employee benefit costs in connection with the sale agreement. The Company recorded the remaining $1.0 million within selling, general and administrative expenses, relating to professional services in connection with the sale agreement.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(5) During the three months ended March 31, 2025, we recorded $0.2 million of amortization expense within selling, general and administrative expenses associated with an intangible asset acquired during the second quarter of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2025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2025 Annual Report and in Part II, Item 1A of this Form 10-Q.</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Throughout this section, references to “Notes” refer to the notes to our condensed consolidated financial statements (unaudited) in Part I, Item 1 of this Form 10-Q, unless otherwise indicated.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Non-U.S. 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 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business operations are organized into two global segments, Proprietary Products and West Vantage. 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 Our Proprietary Products reportable segment offers proprietary packaging, containment solutions and drug delivery systems, along with analytical lab services and other integrated services and solutions, primarily to biologic, generic and pharmaceutical drug customers. Our West Vantage reportable segment serves as a fully integrated business, focused on the design, manufacture, and automated assembly of complex devices, as well as combination product assembly and packaging, primarily for pharmaceutical, diagnostic, and medical device customers. We also maintain collaborations to share technologies and market products with affiliates in Japan and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Macroeconomic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Beginning in 2025, the U.S. government imposed additional tariffs and trade restrictions on certain goods produced outside of the United States. In response to these actions, certain jurisdictions in which we operate have imposed or are considering imposing tariffs and restrictions on certain goods produced in the United States. We continue to monitor this dynamic situation to assess the impact of these tariffs on our business and actions we can take to minimize their impact. Based on the information available at this time, we do not believe the impact will be material to our 2026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events and macro-economic impacts that the conflict in the Middle East has on our business model. We have raw materials and other costs in our operations that are dependent on petro-chemicals. Based on the current situation in the Middle East, we anticipate future inflationary pressures on these costs, but we do not expect those impacts to have a material impact. Additionally, our Israel-based facilities continue to operate as they had prior to the conflict, and we did not experience any disruption in business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Performance Summary</w:t>
      </w:r>
    </w:p>
    <w:p>
      <w:pPr>
        <w:pStyle w:val="TextBody"/>
        <w:bidi w:val="0"/>
        <w:spacing w:lineRule="auto" w:line="288" w:before="0" w:after="0"/>
        <w:jc w:val="left"/>
        <w:rPr/>
      </w:pPr>
      <w:r>
        <w:rPr>
          <w:rFonts w:ascii="Times New Roman;serif" w:hAnsi="Times New Roman;serif"/>
          <w:b w:val="false"/>
          <w:color w:val="252525"/>
          <w:sz w:val="20"/>
        </w:rPr>
        <w:t xml:space="preserve">The following tables present a reconciliation from U.S. GAAP to non-U.S. GAAP financial measures for the three months ended </w:t>
      </w:r>
      <w:r>
        <w:rPr>
          <w:rFonts w:ascii="Times New Roman;serif" w:hAnsi="Times New Roman;serif"/>
          <w:b w:val="false"/>
          <w:color w:val="000000"/>
          <w:sz w:val="20"/>
        </w:rPr>
        <w:t>March 31, 2026:</w:t>
      </w:r>
    </w:p>
    <w:tbl>
      <w:tblPr>
        <w:tblW w:w="10205" w:type="dxa"/>
        <w:jc w:val="left"/>
        <w:tblInd w:w="0" w:type="dxa"/>
        <w:tblLayout w:type="fixed"/>
        <w:tblCellMar>
          <w:top w:w="28" w:type="dxa"/>
          <w:left w:w="28" w:type="dxa"/>
          <w:bottom w:w="28" w:type="dxa"/>
          <w:right w:w="28" w:type="dxa"/>
        </w:tblCellMar>
      </w:tblPr>
      <w:tblGrid>
        <w:gridCol w:w="1809"/>
        <w:gridCol w:w="1350"/>
        <w:gridCol w:w="1356"/>
        <w:gridCol w:w="281"/>
        <w:gridCol w:w="821"/>
        <w:gridCol w:w="145"/>
        <w:gridCol w:w="109"/>
        <w:gridCol w:w="109"/>
        <w:gridCol w:w="109"/>
        <w:gridCol w:w="357"/>
        <w:gridCol w:w="867"/>
        <w:gridCol w:w="184"/>
        <w:gridCol w:w="109"/>
        <w:gridCol w:w="109"/>
        <w:gridCol w:w="109"/>
        <w:gridCol w:w="225"/>
        <w:gridCol w:w="658"/>
        <w:gridCol w:w="116"/>
        <w:gridCol w:w="109"/>
        <w:gridCol w:w="109"/>
        <w:gridCol w:w="109"/>
        <w:gridCol w:w="252"/>
        <w:gridCol w:w="612"/>
        <w:gridCol w:w="191"/>
      </w:tblGrid>
      <w:tr>
        <w:trPr/>
        <w:tc>
          <w:tcPr>
            <w:tcW w:w="18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 U.S. GAAP</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SmartDose® 3.5mL sale</w:t>
            </w:r>
            <w:r>
              <w:rPr>
                <w:rFonts w:ascii="Times New Roman;serif" w:hAnsi="Times New Roman;serif"/>
                <w:b w:val="false"/>
                <w:color w:val="000000"/>
                <w:sz w:val="13"/>
              </w:rPr>
              <w:t>(2)</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(3)</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 adjusted amounts (non-U.S. GAAP)</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252525"/>
          <w:sz w:val="20"/>
        </w:rPr>
        <w:t xml:space="preserve">The following tables present a reconciliation from U.S. GAAP to non-U.S. GAAP financial measures for the three months ended </w:t>
      </w:r>
      <w:r>
        <w:rPr>
          <w:rFonts w:ascii="Times New Roman;serif" w:hAnsi="Times New Roman;serif"/>
          <w:b w:val="false"/>
          <w:color w:val="000000"/>
          <w:sz w:val="20"/>
        </w:rPr>
        <w:t>March 31, 2025:</w:t>
      </w:r>
    </w:p>
    <w:tbl>
      <w:tblPr>
        <w:tblW w:w="10205" w:type="dxa"/>
        <w:jc w:val="left"/>
        <w:tblInd w:w="0" w:type="dxa"/>
        <w:tblLayout w:type="fixed"/>
        <w:tblCellMar>
          <w:top w:w="28" w:type="dxa"/>
          <w:left w:w="28" w:type="dxa"/>
          <w:bottom w:w="28" w:type="dxa"/>
          <w:right w:w="28" w:type="dxa"/>
        </w:tblCellMar>
      </w:tblPr>
      <w:tblGrid>
        <w:gridCol w:w="1809"/>
        <w:gridCol w:w="1350"/>
        <w:gridCol w:w="1356"/>
        <w:gridCol w:w="281"/>
        <w:gridCol w:w="821"/>
        <w:gridCol w:w="145"/>
        <w:gridCol w:w="109"/>
        <w:gridCol w:w="109"/>
        <w:gridCol w:w="109"/>
        <w:gridCol w:w="357"/>
        <w:gridCol w:w="867"/>
        <w:gridCol w:w="184"/>
        <w:gridCol w:w="109"/>
        <w:gridCol w:w="109"/>
        <w:gridCol w:w="109"/>
        <w:gridCol w:w="225"/>
        <w:gridCol w:w="658"/>
        <w:gridCol w:w="116"/>
        <w:gridCol w:w="109"/>
        <w:gridCol w:w="109"/>
        <w:gridCol w:w="109"/>
        <w:gridCol w:w="252"/>
        <w:gridCol w:w="612"/>
        <w:gridCol w:w="191"/>
      </w:tblGrid>
      <w:tr>
        <w:trPr/>
        <w:tc>
          <w:tcPr>
            <w:tcW w:w="18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Diluted EPS</w:t>
            </w:r>
          </w:p>
        </w:tc>
      </w:tr>
      <w:tr>
        <w:trP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2025 U.S. GAAP</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charges</w:t>
            </w:r>
            <w:r>
              <w:rPr>
                <w:rFonts w:ascii="Times New Roman;serif" w:hAnsi="Times New Roman;serif"/>
                <w:b w:val="false"/>
                <w:color w:val="000000"/>
                <w:sz w:val="13"/>
              </w:rPr>
              <w:t>(1)</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Amortization of acquisition-related intangible assets</w:t>
            </w:r>
            <w:r>
              <w:rPr>
                <w:rFonts w:ascii="Times New Roman;serif" w:hAnsi="Times New Roman;serif"/>
                <w:b w:val="false"/>
                <w:color w:val="000000"/>
                <w:sz w:val="13"/>
              </w:rPr>
              <w:t>(3)</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2025 adjusted amounts (non-U.S. GAAP)</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ind w:left="0" w:right="0" w:hanging="360"/>
        <w:jc w:val="left"/>
        <w:rPr/>
      </w:pPr>
      <w:r>
        <w:rPr>
          <w:rFonts w:ascii="Times New Roman;serif" w:hAnsi="Times New Roman;serif"/>
          <w:b w:val="false"/>
          <w:color w:val="252525"/>
          <w:sz w:val="20"/>
        </w:rPr>
        <w:t>(1)During the</w:t>
      </w:r>
      <w:r>
        <w:rPr>
          <w:color w:val="000000"/>
        </w:rPr>
        <w:t xml:space="preserve"> </w:t>
      </w:r>
      <w:r>
        <w:rPr>
          <w:rFonts w:ascii="Times New Roman;serif" w:hAnsi="Times New Roman;serif"/>
          <w:b w:val="false"/>
          <w:color w:val="252525"/>
          <w:sz w:val="20"/>
        </w:rPr>
        <w:t>three months ended</w:t>
      </w:r>
      <w:r>
        <w:rPr>
          <w:color w:val="000000"/>
        </w:rPr>
        <w:t xml:space="preserve"> </w:t>
      </w:r>
      <w:r>
        <w:rPr>
          <w:rFonts w:ascii="Times New Roman;serif" w:hAnsi="Times New Roman;serif"/>
          <w:b w:val="false"/>
          <w:color w:val="000000"/>
          <w:sz w:val="20"/>
        </w:rPr>
        <w:t xml:space="preserve">March 31, 2026, the Company recorded pre-tax charges of $1.4 million related to our two existing restructuring programs: (i) $0.9 million within other expense (income), related to acceleration of depreciation and lease costs in connection with the Company's January 2025 restructuring plan and (ii) $0.5 million within selling, general and administrative expenses, for professional services relating to our 2024 plan to optimize the legal structure of the Company and its subsidiaries. In addition, we recorded a one-time tax cost of $12.0 million associated with an internal legal entity restructuring which occurred in the first quarter of 2026. During the </w:t>
      </w:r>
      <w:r>
        <w:rPr>
          <w:rFonts w:ascii="Times New Roman;serif" w:hAnsi="Times New Roman;serif"/>
          <w:b w:val="false"/>
          <w:color w:val="252525"/>
          <w:sz w:val="20"/>
        </w:rPr>
        <w:t>three months ended</w:t>
      </w:r>
      <w:r>
        <w:rPr>
          <w:color w:val="000000"/>
        </w:rPr>
        <w:t xml:space="preserve"> </w:t>
      </w:r>
      <w:r>
        <w:rPr>
          <w:rFonts w:ascii="Times New Roman;serif" w:hAnsi="Times New Roman;serif"/>
          <w:b w:val="false"/>
          <w:color w:val="000000"/>
          <w:sz w:val="20"/>
        </w:rPr>
        <w:t>March 31, 2025, the Company recorded pre-tax charges of $17.8 million related to our two existing restructuring programs: (i) $16.4 million within other expense (income), related to severance, acceleration of depreciation and lease costs in connection with the Company's January 2025 restructuring plan and (ii) $1.4 million within selling, general and administrative expenses, for professional services relating to our 2024 plan to optimize the legal structure of the Company and its subsidiaries. In addition, we recorded income tax charges of $2.0 million related primarily to withholding tax and capital gains incurred in executing our plan to optimize our legal structure.</w:t>
      </w:r>
    </w:p>
    <w:p>
      <w:pPr>
        <w:pStyle w:val="TextBody"/>
        <w:bidi w:val="0"/>
        <w:spacing w:lineRule="auto" w:line="288" w:before="0" w:after="120"/>
        <w:ind w:left="0" w:right="0" w:hanging="360"/>
        <w:jc w:val="left"/>
        <w:rPr/>
      </w:pPr>
      <w:r>
        <w:rPr>
          <w:rFonts w:ascii="Times New Roman;serif" w:hAnsi="Times New Roman;serif"/>
          <w:b w:val="false"/>
          <w:color w:val="252525"/>
          <w:sz w:val="20"/>
        </w:rPr>
        <w:t>(2)During the</w:t>
      </w:r>
      <w:r>
        <w:rPr>
          <w:color w:val="000000"/>
        </w:rPr>
        <w:t xml:space="preserve"> </w:t>
      </w:r>
      <w:r>
        <w:rPr>
          <w:rFonts w:ascii="Times New Roman;serif" w:hAnsi="Times New Roman;serif"/>
          <w:b w:val="false"/>
          <w:color w:val="252525"/>
          <w:sz w:val="20"/>
        </w:rPr>
        <w:t>three months ended</w:t>
      </w:r>
      <w:r>
        <w:rPr>
          <w:color w:val="000000"/>
        </w:rPr>
        <w:t xml:space="preserve"> </w:t>
      </w:r>
      <w:r>
        <w:rPr>
          <w:rFonts w:ascii="Times New Roman;serif" w:hAnsi="Times New Roman;serif"/>
          <w:b w:val="false"/>
          <w:color w:val="000000"/>
          <w:sz w:val="20"/>
        </w:rPr>
        <w:t>March 31, 2026, the Company recorded charges of $1.9 million related to the Company's agreement to sell its SmartDose® 3.5mL On-Body Delivery System and associated facilities to AbbVie. The Company recorded $0.9 million of the charges within other expense (income), related to employee benefit costs in connection with the sale agreement. The Company recorded the remaining $1.0 million within selling, general and administrative expenses, relating to professional services in connection with the sale agreement.</w:t>
      </w:r>
    </w:p>
    <w:p>
      <w:pPr>
        <w:pStyle w:val="TextBody"/>
        <w:bidi w:val="0"/>
        <w:spacing w:lineRule="auto" w:line="288" w:before="0" w:after="120"/>
        <w:ind w:left="0" w:right="0" w:hanging="360"/>
        <w:jc w:val="left"/>
        <w:rPr/>
      </w:pPr>
      <w:r>
        <w:rPr>
          <w:rFonts w:ascii="Times New Roman;serif" w:hAnsi="Times New Roman;serif"/>
          <w:b w:val="false"/>
          <w:color w:val="000000"/>
          <w:sz w:val="20"/>
        </w:rPr>
        <w:t>(3)</w:t>
      </w:r>
      <w:r>
        <w:rPr>
          <w:rFonts w:ascii="Times New Roman;serif" w:hAnsi="Times New Roman;serif"/>
          <w:b w:val="false"/>
          <w:color w:val="252525"/>
          <w:sz w:val="20"/>
        </w:rPr>
        <w:t>During the</w:t>
      </w:r>
      <w:r>
        <w:rPr>
          <w:color w:val="000000"/>
        </w:rPr>
        <w:t xml:space="preserve"> </w:t>
      </w:r>
      <w:r>
        <w:rPr>
          <w:rFonts w:ascii="Times New Roman;serif" w:hAnsi="Times New Roman;serif"/>
          <w:b w:val="false"/>
          <w:color w:val="252525"/>
          <w:sz w:val="20"/>
        </w:rPr>
        <w:t>three months ended</w:t>
      </w:r>
      <w:r>
        <w:rPr>
          <w:color w:val="000000"/>
        </w:rPr>
        <w:t xml:space="preserve"> </w:t>
      </w:r>
      <w:r>
        <w:rPr>
          <w:rFonts w:ascii="Times New Roman;serif" w:hAnsi="Times New Roman;serif"/>
          <w:b w:val="false"/>
          <w:color w:val="000000"/>
          <w:sz w:val="20"/>
        </w:rPr>
        <w:t>March 31, 2026</w:t>
      </w:r>
      <w:r>
        <w:rPr>
          <w:rFonts w:ascii="Times New Roman;serif" w:hAnsi="Times New Roman;serif"/>
          <w:b w:val="false"/>
          <w:color w:val="252525"/>
          <w:sz w:val="20"/>
        </w:rPr>
        <w:t xml:space="preserve">, and </w:t>
      </w:r>
      <w:r>
        <w:rPr>
          <w:rFonts w:ascii="Times New Roman;serif" w:hAnsi="Times New Roman;serif"/>
          <w:b w:val="false"/>
          <w:color w:val="000000"/>
          <w:sz w:val="20"/>
        </w:rPr>
        <w:t>2025,</w:t>
      </w:r>
      <w:r>
        <w:rPr>
          <w:color w:val="252525"/>
        </w:rPr>
        <w:t xml:space="preserve"> </w:t>
      </w:r>
      <w:r>
        <w:rPr>
          <w:rFonts w:ascii="Times New Roman;serif" w:hAnsi="Times New Roman;serif"/>
          <w:b w:val="false"/>
          <w:color w:val="252525"/>
          <w:sz w:val="20"/>
        </w:rPr>
        <w:t>the Company recorded</w:t>
      </w:r>
      <w:r>
        <w:rPr>
          <w:color w:val="000000"/>
        </w:rPr>
        <w:t xml:space="preserve"> </w:t>
      </w:r>
      <w:r>
        <w:rPr>
          <w:rFonts w:ascii="Times New Roman;serif" w:hAnsi="Times New Roman;serif"/>
          <w:b w:val="false"/>
          <w:color w:val="000000"/>
          <w:sz w:val="20"/>
        </w:rPr>
        <w:t xml:space="preserve">$0.0 million and $0.2 million, respectively, </w:t>
      </w:r>
      <w:r>
        <w:rPr>
          <w:rFonts w:ascii="Times New Roman;serif" w:hAnsi="Times New Roman;serif"/>
          <w:b w:val="false"/>
          <w:color w:val="252525"/>
          <w:sz w:val="20"/>
        </w:rPr>
        <w:t xml:space="preserve">of amortization expense </w:t>
      </w:r>
      <w:r>
        <w:rPr>
          <w:rFonts w:ascii="Times New Roman;serif" w:hAnsi="Times New Roman;serif"/>
          <w:b w:val="false"/>
          <w:color w:val="000000"/>
          <w:sz w:val="20"/>
        </w:rPr>
        <w:t>within selling, general and administrative expenses</w:t>
      </w:r>
      <w:r>
        <w:rPr>
          <w:color w:val="252525"/>
        </w:rPr>
        <w:t xml:space="preserve"> </w:t>
      </w:r>
      <w:r>
        <w:rPr>
          <w:rFonts w:ascii="Times New Roman;serif" w:hAnsi="Times New Roman;serif"/>
          <w:b w:val="false"/>
          <w:color w:val="252525"/>
          <w:sz w:val="20"/>
        </w:rPr>
        <w:t xml:space="preserve">associated with an intangible asset acquired during </w:t>
      </w:r>
      <w:r>
        <w:rPr>
          <w:rFonts w:ascii="Times New Roman;serif" w:hAnsi="Times New Roman;serif"/>
          <w:b w:val="false"/>
          <w:color w:val="000000"/>
          <w:sz w:val="20"/>
        </w:rPr>
        <w:t xml:space="preserve">the second quarter of 2020. During the </w:t>
      </w:r>
      <w:r>
        <w:rPr>
          <w:rFonts w:ascii="Times New Roman;serif" w:hAnsi="Times New Roman;serif"/>
          <w:b w:val="false"/>
          <w:color w:val="252525"/>
          <w:sz w:val="20"/>
        </w:rPr>
        <w:t>three months ended</w:t>
      </w:r>
      <w:r>
        <w:rPr>
          <w:color w:val="000000"/>
        </w:rPr>
        <w:t xml:space="preserve"> </w:t>
      </w:r>
      <w:r>
        <w:rPr>
          <w:rFonts w:ascii="Times New Roman;serif" w:hAnsi="Times New Roman;serif"/>
          <w:b w:val="false"/>
          <w:color w:val="000000"/>
          <w:sz w:val="20"/>
        </w:rPr>
        <w:t>March 31, 2026, and 2025, the Company recorded $0.5 million and $0.4 million, respectively, of amortization expense in association with an acquisition of increased ownership interest in Daikyo.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pStyle w:val="TextBody"/>
        <w:bidi w:val="0"/>
        <w:spacing w:lineRule="auto" w:line="288" w:before="0" w:after="120"/>
        <w:jc w:val="left"/>
        <w:rPr/>
      </w:pPr>
      <w:r>
        <w:rPr>
          <w:rFonts w:ascii="Times New Roman;serif" w:hAnsi="Times New Roman;serif"/>
          <w:b w:val="false"/>
          <w:color w:val="000000"/>
          <w:sz w:val="20"/>
        </w:rPr>
        <w:t xml:space="preserve">Percentages in the following tables and throughout the </w:t>
      </w:r>
      <w:r>
        <w:rPr>
          <w:rFonts w:ascii="Times New Roman;serif" w:hAnsi="Times New Roman;serif"/>
          <w:b w:val="false"/>
          <w:i/>
          <w:color w:val="000000"/>
          <w:sz w:val="20"/>
        </w:rPr>
        <w:t xml:space="preserve">Results of Operations </w:t>
      </w:r>
      <w:r>
        <w:rPr>
          <w:rFonts w:ascii="Times New Roman;serif" w:hAnsi="Times New Roman;serif"/>
          <w:b w:val="false"/>
          <w:color w:val="000000"/>
          <w:sz w:val="20"/>
        </w:rPr>
        <w:t>section may reflect rounding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net sales, consolidated and by reportable segment,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and 2025:</w:t>
      </w:r>
    </w:p>
    <w:tbl>
      <w:tblPr>
        <w:tblW w:w="7009" w:type="dxa"/>
        <w:jc w:val="left"/>
        <w:tblInd w:w="0" w:type="dxa"/>
        <w:tblLayout w:type="fixed"/>
        <w:tblCellMar>
          <w:top w:w="28" w:type="dxa"/>
          <w:left w:w="28" w:type="dxa"/>
          <w:bottom w:w="28" w:type="dxa"/>
          <w:right w:w="28" w:type="dxa"/>
        </w:tblCellMar>
      </w:tblPr>
      <w:tblGrid>
        <w:gridCol w:w="705"/>
        <w:gridCol w:w="619"/>
        <w:gridCol w:w="625"/>
        <w:gridCol w:w="211"/>
        <w:gridCol w:w="616"/>
        <w:gridCol w:w="109"/>
        <w:gridCol w:w="109"/>
        <w:gridCol w:w="109"/>
        <w:gridCol w:w="109"/>
        <w:gridCol w:w="211"/>
        <w:gridCol w:w="616"/>
        <w:gridCol w:w="109"/>
        <w:gridCol w:w="109"/>
        <w:gridCol w:w="109"/>
        <w:gridCol w:w="109"/>
        <w:gridCol w:w="255"/>
        <w:gridCol w:w="256"/>
        <w:gridCol w:w="626"/>
        <w:gridCol w:w="138"/>
        <w:gridCol w:w="138"/>
        <w:gridCol w:w="138"/>
        <w:gridCol w:w="255"/>
        <w:gridCol w:w="256"/>
        <w:gridCol w:w="47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Organic</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pPr>
      <w:r>
        <w:rPr>
          <w:rFonts w:ascii="Times New Roman;serif" w:hAnsi="Times New Roman;serif"/>
          <w:b w:val="false"/>
          <w:color w:val="000000"/>
          <w:sz w:val="20"/>
        </w:rPr>
        <w:t xml:space="preserve">Consolidated net sales increased by $146.9 million, or 21.0%,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including a favorable foreign currency translation impact of $40.0 million. Excluding foreign currency translation effects, consolidated net sales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increased by $106.9 million, or 15.3%, as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pPr>
      <w:r>
        <w:rPr>
          <w:rFonts w:ascii="Times New Roman;serif" w:hAnsi="Times New Roman;serif"/>
          <w:b/>
          <w:color w:val="000000"/>
          <w:sz w:val="20"/>
        </w:rPr>
        <w:t>Proprietary Products –</w:t>
      </w:r>
      <w:r>
        <w:rPr>
          <w:color w:val="000000"/>
        </w:rPr>
        <w:t xml:space="preserve"> </w:t>
      </w:r>
      <w:r>
        <w:rPr>
          <w:rFonts w:ascii="Times New Roman;serif" w:hAnsi="Times New Roman;serif"/>
          <w:b w:val="false"/>
          <w:color w:val="000000"/>
          <w:sz w:val="20"/>
        </w:rPr>
        <w:t xml:space="preserve">Proprietary Products net sales increased by $131.3 million, or 23.3%,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including a favorable foreign currency translation impact of $32.8 million. Excluding foreign currency translation effects, net sales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increased by $98.5 million, or 17.5%, as compared to the same period in 2025, due primarily to an increase in sales of Westar®, NovaPure® and FluroTec® products, as well as self-injection device platforms.</w:t>
      </w:r>
    </w:p>
    <w:p>
      <w:pPr>
        <w:pStyle w:val="TextBody"/>
        <w:bidi w:val="0"/>
        <w:spacing w:lineRule="auto" w:line="288" w:before="0" w:after="120"/>
        <w:jc w:val="left"/>
        <w:rPr/>
      </w:pPr>
      <w:r>
        <w:rPr>
          <w:rFonts w:ascii="Times New Roman;serif" w:hAnsi="Times New Roman;serif"/>
          <w:b/>
          <w:color w:val="000000"/>
          <w:sz w:val="20"/>
        </w:rPr>
        <w:t>West Vantage –</w:t>
      </w:r>
      <w:r>
        <w:rPr>
          <w:color w:val="000000"/>
        </w:rPr>
        <w:t xml:space="preserve"> </w:t>
      </w:r>
      <w:r>
        <w:rPr>
          <w:rFonts w:ascii="Times New Roman;serif" w:hAnsi="Times New Roman;serif"/>
          <w:b w:val="false"/>
          <w:color w:val="000000"/>
          <w:sz w:val="20"/>
        </w:rPr>
        <w:t xml:space="preserve">West Vantage net sales increased by $15.6 million, or 11.6%,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including a favorable foreign currency translation impact of $7.2 million. Excluding foreign currency translation effects, net sales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increased by $8.4 million, or 6.2%, as compared to the same period in 2025, due primarily to an increase in sales of self-injection devices for obesity and diabetes.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profit and related gross profit margins, consolidated and by reportable segment:</w:t>
      </w:r>
    </w:p>
    <w:tbl>
      <w:tblPr>
        <w:tblW w:w="5793" w:type="dxa"/>
        <w:jc w:val="left"/>
        <w:tblInd w:w="0" w:type="dxa"/>
        <w:tblLayout w:type="fixed"/>
        <w:tblCellMar>
          <w:top w:w="28" w:type="dxa"/>
          <w:left w:w="28" w:type="dxa"/>
          <w:bottom w:w="28" w:type="dxa"/>
          <w:right w:w="28" w:type="dxa"/>
        </w:tblCellMar>
      </w:tblPr>
      <w:tblGrid>
        <w:gridCol w:w="1009"/>
        <w:gridCol w:w="887"/>
        <w:gridCol w:w="893"/>
        <w:gridCol w:w="211"/>
        <w:gridCol w:w="616"/>
        <w:gridCol w:w="271"/>
        <w:gridCol w:w="109"/>
        <w:gridCol w:w="109"/>
        <w:gridCol w:w="109"/>
        <w:gridCol w:w="211"/>
        <w:gridCol w:w="616"/>
        <w:gridCol w:w="271"/>
        <w:gridCol w:w="109"/>
        <w:gridCol w:w="10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margin</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20"/>
        </w:rPr>
        <w:t xml:space="preserve">Consolidated - </w:t>
      </w:r>
      <w:r>
        <w:rPr>
          <w:rFonts w:ascii="Times New Roman;serif" w:hAnsi="Times New Roman;serif"/>
          <w:b w:val="false"/>
          <w:color w:val="000000"/>
          <w:sz w:val="20"/>
        </w:rPr>
        <w:t xml:space="preserve">Consolidated gross profit increased by $64.5 million, or 27.8%,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including a favorable foreign currency translation impact of $16.2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Consolidated gross profit margin increased by 1.9 margin points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Proprietary Products - </w:t>
      </w:r>
      <w:r>
        <w:rPr>
          <w:rFonts w:ascii="Times New Roman;serif" w:hAnsi="Times New Roman;serif"/>
          <w:b w:val="false"/>
          <w:color w:val="000000"/>
          <w:sz w:val="20"/>
        </w:rPr>
        <w:t xml:space="preserve">Proprietary Products gross profit increased by $62.9 million, or 29.9%,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 including a favorable foreign currency translation impact of $14.9 million</w:t>
      </w:r>
      <w:r>
        <w:rPr>
          <w:rFonts w:ascii="Times New Roman;serif" w:hAnsi="Times New Roman;serif"/>
          <w:b w:val="false"/>
          <w:color w:val="000000"/>
          <w:sz w:val="20"/>
          <w:shd w:fill="FFFFFF" w:val="clear"/>
        </w:rPr>
        <w:t xml:space="preserve">. Proprietary Products gross profit margin increased by 2.0 margin points for the three months ended March 31, 2026, as compared to the same periods in 2025, </w:t>
      </w:r>
      <w:r>
        <w:rPr>
          <w:rFonts w:ascii="Times New Roman;serif" w:hAnsi="Times New Roman;serif"/>
          <w:b w:val="false"/>
          <w:color w:val="000000"/>
          <w:sz w:val="20"/>
        </w:rPr>
        <w:t>due primarily</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o increased customer demand, primarily of high value components, and sales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West Vantage - </w:t>
      </w:r>
      <w:r>
        <w:rPr>
          <w:rFonts w:ascii="Times New Roman;serif" w:hAnsi="Times New Roman;serif"/>
          <w:b w:val="false"/>
          <w:color w:val="000000"/>
          <w:sz w:val="20"/>
        </w:rPr>
        <w:t xml:space="preserve">West Vantage gross profit increased by $1.6 million, or 7.4%,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as compared to the same period in 2025, including a </w:t>
      </w:r>
      <w:r>
        <w:rPr>
          <w:rFonts w:ascii="Times New Roman;serif" w:hAnsi="Times New Roman;serif"/>
          <w:b w:val="false"/>
          <w:color w:val="000000"/>
          <w:sz w:val="20"/>
        </w:rPr>
        <w:t>favorable f</w:t>
      </w:r>
      <w:r>
        <w:rPr>
          <w:rFonts w:ascii="Times New Roman;serif" w:hAnsi="Times New Roman;serif"/>
          <w:b w:val="false"/>
          <w:color w:val="000000"/>
          <w:sz w:val="20"/>
          <w:shd w:fill="FFFFFF" w:val="clear"/>
        </w:rPr>
        <w:t xml:space="preserve">oreign currency translation impact of $1.3 million. West Vantage gross profit margin decreased by 0.6 margin points for the three months ended March 31, 2026, as compared to the same period in 2025, </w:t>
      </w:r>
      <w:r>
        <w:rPr>
          <w:rFonts w:ascii="Times New Roman;serif" w:hAnsi="Times New Roman;serif"/>
          <w:b w:val="false"/>
          <w:color w:val="000000"/>
          <w:sz w:val="20"/>
        </w:rPr>
        <w:t>due primarily to increased production costs, partially offset by sales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Research and Development (“R&amp;D”)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consolidated R&amp;D costs:</w:t>
      </w:r>
    </w:p>
    <w:tbl>
      <w:tblPr>
        <w:tblW w:w="4600" w:type="dxa"/>
        <w:jc w:val="left"/>
        <w:tblInd w:w="0" w:type="dxa"/>
        <w:tblLayout w:type="fixed"/>
        <w:tblCellMar>
          <w:top w:w="28" w:type="dxa"/>
          <w:left w:w="28" w:type="dxa"/>
          <w:bottom w:w="28" w:type="dxa"/>
          <w:right w:w="28" w:type="dxa"/>
        </w:tblCellMar>
      </w:tblPr>
      <w:tblGrid>
        <w:gridCol w:w="771"/>
        <w:gridCol w:w="677"/>
        <w:gridCol w:w="682"/>
        <w:gridCol w:w="211"/>
        <w:gridCol w:w="511"/>
        <w:gridCol w:w="109"/>
        <w:gridCol w:w="109"/>
        <w:gridCol w:w="109"/>
        <w:gridCol w:w="109"/>
        <w:gridCol w:w="211"/>
        <w:gridCol w:w="511"/>
        <w:gridCol w:w="109"/>
        <w:gridCol w:w="109"/>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R&amp;D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Consolidated R&amp;D costs decreased by $0.5 million, </w:t>
      </w:r>
      <w:r>
        <w:rPr>
          <w:rFonts w:ascii="Times New Roman;serif" w:hAnsi="Times New Roman;serif"/>
          <w:b w:val="false"/>
          <w:color w:val="000000"/>
          <w:sz w:val="20"/>
          <w:shd w:fill="FFFFFF" w:val="clear"/>
        </w:rPr>
        <w:t xml:space="preserve">or 3.1%, for the three 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respectively, as compared to the same period in 2025</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 xml:space="preserve">Efforts remain focused on the continued investment in (1) primary injectables in elastomeric components, formulation development &amp; packaging and (2) drug containment systems, self-injection systems, and drug administration consumables. </w:t>
      </w:r>
    </w:p>
    <w:p>
      <w:pPr>
        <w:pStyle w:val="TextBody"/>
        <w:bidi w:val="0"/>
        <w:spacing w:lineRule="auto" w:line="288" w:before="0" w:after="120"/>
        <w:jc w:val="left"/>
        <w:rPr/>
      </w:pPr>
      <w:r>
        <w:rPr>
          <w:rFonts w:ascii="Times New Roman;serif" w:hAnsi="Times New Roman;serif"/>
          <w:b w:val="false"/>
          <w:color w:val="000000"/>
          <w:sz w:val="20"/>
        </w:rPr>
        <w:t xml:space="preserve">All of the R&amp;D costs incurred in the </w:t>
      </w:r>
      <w:r>
        <w:rPr>
          <w:rFonts w:ascii="Times New Roman;serif" w:hAnsi="Times New Roman;serif"/>
          <w:b w:val="false"/>
          <w:color w:val="000000"/>
          <w:sz w:val="20"/>
          <w:shd w:fill="FFFFFF" w:val="clear"/>
        </w:rPr>
        <w:t xml:space="preserve">three months ended </w:t>
      </w:r>
      <w:r>
        <w:rPr>
          <w:rFonts w:ascii="Times New Roman;serif" w:hAnsi="Times New Roman;serif"/>
          <w:b w:val="false"/>
          <w:color w:val="000000"/>
          <w:sz w:val="20"/>
        </w:rPr>
        <w:t xml:space="preserve">March 31,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related to Proprietary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Selling, General and Administrative (“SG&amp;A”) Costs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SG&amp;A costs, consolidated and by reportable segment and corporate and unallocated items:</w:t>
      </w:r>
    </w:p>
    <w:tbl>
      <w:tblPr>
        <w:tblW w:w="5553" w:type="dxa"/>
        <w:jc w:val="left"/>
        <w:tblInd w:w="0" w:type="dxa"/>
        <w:tblLayout w:type="fixed"/>
        <w:tblCellMar>
          <w:top w:w="28" w:type="dxa"/>
          <w:left w:w="28" w:type="dxa"/>
          <w:bottom w:w="28" w:type="dxa"/>
          <w:right w:w="28" w:type="dxa"/>
        </w:tblCellMar>
      </w:tblPr>
      <w:tblGrid>
        <w:gridCol w:w="998"/>
        <w:gridCol w:w="877"/>
        <w:gridCol w:w="884"/>
        <w:gridCol w:w="211"/>
        <w:gridCol w:w="511"/>
        <w:gridCol w:w="271"/>
        <w:gridCol w:w="109"/>
        <w:gridCol w:w="109"/>
        <w:gridCol w:w="109"/>
        <w:gridCol w:w="211"/>
        <w:gridCol w:w="511"/>
        <w:gridCol w:w="271"/>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SG&amp;A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as a % of net sales</w:t>
            </w:r>
          </w:p>
        </w:tc>
        <w:tc>
          <w:tcPr>
            <w:tcW w:w="72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20"/>
        </w:rPr>
        <w:t>Consolidated</w:t>
      </w:r>
      <w:r>
        <w:rPr>
          <w:color w:val="000000"/>
        </w:rPr>
        <w:t xml:space="preserve"> </w:t>
      </w:r>
      <w:r>
        <w:rPr>
          <w:rFonts w:ascii="Times New Roman;serif" w:hAnsi="Times New Roman;serif"/>
          <w:b w:val="false"/>
          <w:color w:val="000000"/>
          <w:sz w:val="20"/>
        </w:rPr>
        <w:t>- Consolidated SG&amp;A costs increased by $11.5 million, or 13.1%</w:t>
      </w:r>
      <w:r>
        <w:rPr>
          <w:rFonts w:ascii="Times New Roman;serif" w:hAnsi="Times New Roman;serif"/>
          <w:b w:val="false"/>
          <w:color w:val="000000"/>
          <w:sz w:val="20"/>
          <w:shd w:fill="FFFFFF" w:val="clear"/>
        </w:rPr>
        <w:t>, for the three months ended March 31, 2026, as compared to the same period in 2025,</w:t>
      </w:r>
      <w:r>
        <w:rPr>
          <w:color w:val="000000"/>
        </w:rPr>
        <w:t xml:space="preserve"> </w:t>
      </w:r>
      <w:r>
        <w:rPr>
          <w:rFonts w:ascii="Times New Roman;serif" w:hAnsi="Times New Roman;serif"/>
          <w:b w:val="false"/>
          <w:color w:val="000000"/>
          <w:sz w:val="20"/>
        </w:rPr>
        <w:t xml:space="preserve">including an unfavorable foreign currency translation impact of </w:t>
      </w:r>
      <w:r>
        <w:rPr>
          <w:rFonts w:ascii="Times New Roman;serif" w:hAnsi="Times New Roman;serif"/>
          <w:b w:val="false"/>
          <w:color w:val="000000"/>
          <w:sz w:val="20"/>
          <w:shd w:fill="FFFFFF" w:val="clear"/>
        </w:rPr>
        <w:t>$2.2 million</w:t>
      </w:r>
      <w:r>
        <w:rPr>
          <w:rFonts w:ascii="Times New Roman;serif" w:hAnsi="Times New Roman;serif"/>
          <w:b w:val="false"/>
          <w:color w:val="000000"/>
          <w:sz w:val="20"/>
        </w:rPr>
        <w:t>, due primarily to increased expense related to stock-based compensation and increased salary and wages.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 xml:space="preserve">Proprietary Products - </w:t>
      </w:r>
      <w:r>
        <w:rPr>
          <w:rFonts w:ascii="Times New Roman;serif" w:hAnsi="Times New Roman;serif"/>
          <w:b w:val="false"/>
          <w:color w:val="000000"/>
          <w:sz w:val="20"/>
          <w:shd w:fill="FFFFFF" w:val="clear"/>
        </w:rPr>
        <w:t xml:space="preserve">Proprietary Products SG&amp;A costs increased by </w:t>
      </w:r>
      <w:r>
        <w:rPr>
          <w:rFonts w:ascii="Times New Roman;serif" w:hAnsi="Times New Roman;serif"/>
          <w:b w:val="false"/>
          <w:color w:val="000000"/>
          <w:sz w:val="20"/>
        </w:rPr>
        <w:t>$4.7 million</w:t>
      </w:r>
      <w:r>
        <w:rPr>
          <w:rFonts w:ascii="Times New Roman;serif" w:hAnsi="Times New Roman;serif"/>
          <w:b w:val="false"/>
          <w:color w:val="000000"/>
          <w:sz w:val="20"/>
          <w:shd w:fill="FFFFFF" w:val="clear"/>
        </w:rPr>
        <w:t xml:space="preserve">, or 7.8%, for the three months ended March 31, 2026, as compared to the same period in 2025, </w:t>
      </w:r>
      <w:r>
        <w:rPr>
          <w:rFonts w:ascii="Times New Roman;serif" w:hAnsi="Times New Roman;serif"/>
          <w:b w:val="false"/>
          <w:color w:val="000000"/>
          <w:sz w:val="20"/>
        </w:rPr>
        <w:t xml:space="preserve">including an unfavorable foreign currency translation impact of </w:t>
      </w:r>
      <w:r>
        <w:rPr>
          <w:rFonts w:ascii="Times New Roman;serif" w:hAnsi="Times New Roman;serif"/>
          <w:b w:val="false"/>
          <w:color w:val="000000"/>
          <w:sz w:val="20"/>
          <w:shd w:fill="FFFFFF" w:val="clear"/>
        </w:rPr>
        <w:t xml:space="preserve">$2.0 million, </w:t>
      </w:r>
      <w:r>
        <w:rPr>
          <w:rFonts w:ascii="Times New Roman;serif" w:hAnsi="Times New Roman;serif"/>
          <w:b w:val="false"/>
          <w:color w:val="000000"/>
          <w:sz w:val="20"/>
        </w:rPr>
        <w:t>due primarily to increased salary and wages.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 xml:space="preserve">West Vantage - </w:t>
      </w:r>
      <w:r>
        <w:rPr>
          <w:rFonts w:ascii="Times New Roman;serif" w:hAnsi="Times New Roman;serif"/>
          <w:b w:val="false"/>
          <w:color w:val="000000"/>
          <w:sz w:val="20"/>
          <w:shd w:fill="FFFFFF" w:val="clear"/>
        </w:rPr>
        <w:t xml:space="preserve">West Vantage SG&amp;A costs increased by </w:t>
      </w:r>
      <w:r>
        <w:rPr>
          <w:rFonts w:ascii="Times New Roman;serif" w:hAnsi="Times New Roman;serif"/>
          <w:b w:val="false"/>
          <w:color w:val="000000"/>
          <w:sz w:val="20"/>
        </w:rPr>
        <w:t>$0.2 million</w:t>
      </w:r>
      <w:r>
        <w:rPr>
          <w:rFonts w:ascii="Times New Roman;serif" w:hAnsi="Times New Roman;serif"/>
          <w:b w:val="false"/>
          <w:color w:val="000000"/>
          <w:sz w:val="20"/>
          <w:shd w:fill="FFFFFF" w:val="clear"/>
        </w:rPr>
        <w:t xml:space="preserve">, or 2.6%, for the three months ended March 31, 2026, as compared to the same period in 2025, </w:t>
      </w:r>
      <w:r>
        <w:rPr>
          <w:rFonts w:ascii="Times New Roman;serif" w:hAnsi="Times New Roman;serif"/>
          <w:b w:val="false"/>
          <w:color w:val="000000"/>
          <w:sz w:val="20"/>
        </w:rPr>
        <w:t xml:space="preserve">including an unfavorable foreign currency translation impact of </w:t>
      </w:r>
      <w:r>
        <w:rPr>
          <w:rFonts w:ascii="Times New Roman;serif" w:hAnsi="Times New Roman;serif"/>
          <w:b w:val="false"/>
          <w:color w:val="000000"/>
          <w:sz w:val="20"/>
          <w:shd w:fill="FFFFFF" w:val="clear"/>
        </w:rPr>
        <w:t>$0.2 million</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 xml:space="preserve">Corporate and unallocated items - </w:t>
      </w:r>
      <w:r>
        <w:rPr>
          <w:rFonts w:ascii="Times New Roman;serif" w:hAnsi="Times New Roman;serif"/>
          <w:b w:val="false"/>
          <w:color w:val="000000"/>
          <w:sz w:val="20"/>
          <w:shd w:fill="FFFFFF" w:val="clear"/>
        </w:rPr>
        <w:t xml:space="preserve">Corporate SG&amp;A costs increased by </w:t>
      </w:r>
      <w:r>
        <w:rPr>
          <w:rFonts w:ascii="Times New Roman;serif" w:hAnsi="Times New Roman;serif"/>
          <w:b w:val="false"/>
          <w:color w:val="000000"/>
          <w:sz w:val="20"/>
        </w:rPr>
        <w:t>$6.6 million</w:t>
      </w:r>
      <w:r>
        <w:rPr>
          <w:rFonts w:ascii="Times New Roman;serif" w:hAnsi="Times New Roman;serif"/>
          <w:b w:val="false"/>
          <w:color w:val="000000"/>
          <w:sz w:val="20"/>
          <w:shd w:fill="FFFFFF" w:val="clear"/>
        </w:rPr>
        <w:t xml:space="preserve">, or 32.8%, for the three months ended March 31, 2026, as compared to the same period in 2025, </w:t>
      </w:r>
      <w:r>
        <w:rPr>
          <w:rFonts w:ascii="Times New Roman;serif" w:hAnsi="Times New Roman;serif"/>
          <w:b w:val="false"/>
          <w:color w:val="000000"/>
          <w:sz w:val="20"/>
        </w:rPr>
        <w:t xml:space="preserve">due primarily to an increase in expense related to stock-based compensation and increased salary and wages.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Other Expense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income and expense items, consolidated and by reportable segment, corporate and unallocated items:</w:t>
      </w:r>
    </w:p>
    <w:tbl>
      <w:tblPr>
        <w:tblW w:w="5514" w:type="dxa"/>
        <w:jc w:val="left"/>
        <w:tblInd w:w="0" w:type="dxa"/>
        <w:tblLayout w:type="fixed"/>
        <w:tblCellMar>
          <w:top w:w="28" w:type="dxa"/>
          <w:left w:w="28" w:type="dxa"/>
          <w:bottom w:w="28" w:type="dxa"/>
          <w:right w:w="28" w:type="dxa"/>
        </w:tblCellMar>
      </w:tblPr>
      <w:tblGrid>
        <w:gridCol w:w="1142"/>
        <w:gridCol w:w="1001"/>
        <w:gridCol w:w="1006"/>
        <w:gridCol w:w="211"/>
        <w:gridCol w:w="406"/>
        <w:gridCol w:w="109"/>
        <w:gridCol w:w="109"/>
        <w:gridCol w:w="109"/>
        <w:gridCol w:w="109"/>
        <w:gridCol w:w="211"/>
        <w:gridCol w:w="511"/>
        <w:gridCol w:w="109"/>
        <w:gridCol w:w="109"/>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 (Income) </w:t>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expense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expense and income items consist of restructuring and related charges, foreign exchange transaction gains and losses, contingent consideration, gains and losses on oil hedges, asset impairments and miscellaneous income and charges.</w:t>
      </w:r>
    </w:p>
    <w:p>
      <w:pPr>
        <w:pStyle w:val="TextBody"/>
        <w:bidi w:val="0"/>
        <w:spacing w:lineRule="auto" w:line="288" w:before="0" w:after="120"/>
        <w:jc w:val="left"/>
        <w:rPr/>
      </w:pPr>
      <w:r>
        <w:rPr>
          <w:rFonts w:ascii="Times New Roman;serif" w:hAnsi="Times New Roman;serif"/>
          <w:b/>
          <w:color w:val="000000"/>
          <w:sz w:val="20"/>
          <w:shd w:fill="FFFFFF" w:val="clear"/>
        </w:rPr>
        <w:t>Consolidated</w:t>
      </w:r>
      <w:r>
        <w:rPr>
          <w:color w:val="000000"/>
          <w:shd w:fill="FFFFFF" w:val="clear"/>
        </w:rPr>
        <w:t xml:space="preserve"> </w:t>
      </w:r>
      <w:r>
        <w:rPr>
          <w:rFonts w:ascii="Times New Roman;serif" w:hAnsi="Times New Roman;serif"/>
          <w:b w:val="false"/>
          <w:color w:val="000000"/>
          <w:sz w:val="20"/>
          <w:shd w:fill="FFFFFF" w:val="clear"/>
        </w:rPr>
        <w:t>- Consolidated other expense (income) changed by $16.6 million for the three months ended March 31, 2026, as compared to the same period in 2025, due to the factors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Proprietary Products -</w:t>
      </w:r>
      <w:r>
        <w:rPr>
          <w:color w:val="000000"/>
          <w:shd w:fill="FFFFFF" w:val="clear"/>
        </w:rPr>
        <w:t xml:space="preserve"> </w:t>
      </w:r>
      <w:r>
        <w:rPr>
          <w:rFonts w:ascii="Times New Roman;serif" w:hAnsi="Times New Roman;serif"/>
          <w:b w:val="false"/>
          <w:color w:val="000000"/>
          <w:sz w:val="20"/>
          <w:shd w:fill="FFFFFF" w:val="clear"/>
        </w:rPr>
        <w:t>Proprietary Products other expense (income)</w:t>
      </w:r>
      <w:r>
        <w:rPr>
          <w:color w:val="000000"/>
        </w:rPr>
        <w:t xml:space="preserve"> </w:t>
      </w:r>
      <w:r>
        <w:rPr>
          <w:rFonts w:ascii="Times New Roman;serif" w:hAnsi="Times New Roman;serif"/>
          <w:b w:val="false"/>
          <w:color w:val="000000"/>
          <w:sz w:val="20"/>
        </w:rPr>
        <w:t xml:space="preserve">changed by $0.1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due primarily to increased contingent consideration expense and foreign exchange losses being recorded in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This was partially offset by gains being recorded on oil hedges in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losses being recorded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shd w:fill="FFFFFF" w:val="clear"/>
        </w:rPr>
        <w:t>West Vantage</w:t>
      </w:r>
      <w:r>
        <w:rPr>
          <w:color w:val="000000"/>
        </w:rPr>
        <w:t xml:space="preserve"> </w:t>
      </w:r>
      <w:r>
        <w:rPr>
          <w:rFonts w:ascii="Times New Roman;serif" w:hAnsi="Times New Roman;serif"/>
          <w:b/>
          <w:color w:val="000000"/>
          <w:sz w:val="20"/>
        </w:rPr>
        <w:t xml:space="preserve">- </w:t>
      </w:r>
      <w:r>
        <w:rPr>
          <w:rFonts w:ascii="Times New Roman;serif" w:hAnsi="Times New Roman;serif"/>
          <w:b w:val="false"/>
          <w:color w:val="000000"/>
          <w:sz w:val="20"/>
        </w:rPr>
        <w:t xml:space="preserve">West Vantage </w:t>
      </w:r>
      <w:r>
        <w:rPr>
          <w:rFonts w:ascii="Times New Roman;serif" w:hAnsi="Times New Roman;serif"/>
          <w:b w:val="false"/>
          <w:color w:val="000000"/>
          <w:sz w:val="20"/>
          <w:shd w:fill="FFFFFF" w:val="clear"/>
        </w:rPr>
        <w:t>other expense (income</w:t>
      </w:r>
      <w:r>
        <w:rPr>
          <w:rFonts w:ascii="Times New Roman;serif" w:hAnsi="Times New Roman;serif"/>
          <w:b w:val="false"/>
          <w:color w:val="000000"/>
          <w:sz w:val="20"/>
        </w:rPr>
        <w:t xml:space="preserve">) changed by $0.7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as compared to the same period in </w:t>
      </w:r>
      <w:r>
        <w:rPr>
          <w:rFonts w:ascii="Times New Roman;serif" w:hAnsi="Times New Roman;serif"/>
          <w:b w:val="false"/>
          <w:color w:val="000000"/>
          <w:sz w:val="20"/>
          <w:shd w:fill="FFFFFF" w:val="clear"/>
        </w:rPr>
        <w:t>2025, due primarily</w:t>
      </w:r>
      <w:r>
        <w:rPr>
          <w:color w:val="000000"/>
        </w:rPr>
        <w:t xml:space="preserve"> </w:t>
      </w:r>
      <w:r>
        <w:rPr>
          <w:rFonts w:ascii="Times New Roman;serif" w:hAnsi="Times New Roman;serif"/>
          <w:b w:val="false"/>
          <w:color w:val="000000"/>
          <w:sz w:val="20"/>
        </w:rPr>
        <w:t xml:space="preserve">to foreign exchange gains being recorded in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foreign exchange losses being recorded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Corporate and unallocated items - </w:t>
      </w:r>
      <w:r>
        <w:rPr>
          <w:rFonts w:ascii="Times New Roman;serif" w:hAnsi="Times New Roman;serif"/>
          <w:b w:val="false"/>
          <w:color w:val="000000"/>
          <w:sz w:val="20"/>
        </w:rPr>
        <w:t xml:space="preserve">Corporate and unallocated items changed by $16.0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 due primarily to the Company recording restructuring and other charges of $1.8 million within the three months ended March 31, 2026, as compared to $16.4 million being recorded during the same period in 2025. The Company's 2026 restructuring and other charges within other expense (income) were (i) $0.9 million related to acceleration of depreciation and lease costs in connection with the Company's January 2025 restructuring plan and (ii) $0.9 million related to employee benefit costs in connection with the Company's agreement to sell its SmartDose® 3.5mL On-Body Delivery System and associated facilities to AbbVie. The Company's 2025 restructuring and other charges of $16.4 million related to severance, acceleration of depreciation and lease costs in connection with the Company's January 2025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Profit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adjusted operating profit, consolidated and by reportable segment, corporate and unallocated items:</w:t>
      </w:r>
    </w:p>
    <w:tbl>
      <w:tblPr>
        <w:tblW w:w="6888" w:type="dxa"/>
        <w:jc w:val="left"/>
        <w:tblInd w:w="0" w:type="dxa"/>
        <w:tblLayout w:type="fixed"/>
        <w:tblCellMar>
          <w:top w:w="28" w:type="dxa"/>
          <w:left w:w="28" w:type="dxa"/>
          <w:bottom w:w="28" w:type="dxa"/>
          <w:right w:w="28" w:type="dxa"/>
        </w:tblCellMar>
      </w:tblPr>
      <w:tblGrid>
        <w:gridCol w:w="1405"/>
        <w:gridCol w:w="1234"/>
        <w:gridCol w:w="1245"/>
        <w:gridCol w:w="211"/>
        <w:gridCol w:w="616"/>
        <w:gridCol w:w="271"/>
        <w:gridCol w:w="109"/>
        <w:gridCol w:w="109"/>
        <w:gridCol w:w="109"/>
        <w:gridCol w:w="211"/>
        <w:gridCol w:w="616"/>
        <w:gridCol w:w="271"/>
        <w:gridCol w:w="109"/>
        <w:gridCol w:w="109"/>
        <w:gridCol w:w="109"/>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Vantage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profit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items</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operating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operating profit margin</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20"/>
        </w:rPr>
        <w:t>Consolidated</w:t>
      </w:r>
      <w:r>
        <w:rPr>
          <w:color w:val="000000"/>
        </w:rPr>
        <w:t xml:space="preserve"> </w:t>
      </w:r>
      <w:r>
        <w:rPr>
          <w:rFonts w:ascii="Times New Roman;serif" w:hAnsi="Times New Roman;serif"/>
          <w:b w:val="false"/>
          <w:color w:val="000000"/>
          <w:sz w:val="20"/>
        </w:rPr>
        <w:t xml:space="preserve">- Consolidated operating profit increased by $70.1 million, or 65.5%,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including a favorable foreign currency translation impact of $13.4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Proprietary Products - </w:t>
      </w:r>
      <w:r>
        <w:rPr>
          <w:rFonts w:ascii="Times New Roman;serif" w:hAnsi="Times New Roman;serif"/>
          <w:b w:val="false"/>
          <w:color w:val="000000"/>
          <w:sz w:val="20"/>
        </w:rPr>
        <w:t xml:space="preserve">Proprietary Products operating profit increased by $58.6 million, or 44.9%,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 including a favorable foreign currency translation impa</w:t>
      </w:r>
      <w:r>
        <w:rPr>
          <w:rFonts w:ascii="Times New Roman;serif" w:hAnsi="Times New Roman;serif"/>
          <w:b w:val="false"/>
          <w:color w:val="000000"/>
          <w:sz w:val="20"/>
          <w:shd w:fill="FFFFFF" w:val="clear"/>
        </w:rPr>
        <w:t xml:space="preserve">ct of </w:t>
      </w:r>
      <w:r>
        <w:rPr>
          <w:rFonts w:ascii="Times New Roman;serif" w:hAnsi="Times New Roman;serif"/>
          <w:b w:val="false"/>
          <w:color w:val="000000"/>
          <w:sz w:val="20"/>
        </w:rPr>
        <w:t>$12.4 million</w:t>
      </w:r>
      <w:r>
        <w:rPr>
          <w:rFonts w:ascii="Times New Roman;serif" w:hAnsi="Times New Roman;serif"/>
          <w:b w:val="false"/>
          <w:color w:val="000000"/>
          <w:sz w:val="20"/>
          <w:shd w:fill="FFFFFF" w:val="clear"/>
        </w:rPr>
        <w:t>, due to the factors described above, most no</w:t>
      </w:r>
      <w:r>
        <w:rPr>
          <w:rFonts w:ascii="Times New Roman;serif" w:hAnsi="Times New Roman;serif"/>
          <w:b w:val="false"/>
          <w:color w:val="000000"/>
          <w:sz w:val="20"/>
        </w:rPr>
        <w:t>tably increased customer demand, primarily of high value components, and sales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West Vantage</w:t>
      </w:r>
      <w:r>
        <w:rPr>
          <w:color w:val="000000"/>
          <w:shd w:fill="FFFFFF" w:val="clear"/>
        </w:rPr>
        <w:t xml:space="preserve"> </w:t>
      </w:r>
      <w:r>
        <w:rPr>
          <w:rFonts w:ascii="Times New Roman;serif" w:hAnsi="Times New Roman;serif"/>
          <w:b/>
          <w:color w:val="000000"/>
          <w:sz w:val="20"/>
          <w:shd w:fill="FFFFFF" w:val="clear"/>
        </w:rPr>
        <w:t xml:space="preserve">- </w:t>
      </w:r>
      <w:r>
        <w:rPr>
          <w:rFonts w:ascii="Times New Roman;serif" w:hAnsi="Times New Roman;serif"/>
          <w:b w:val="false"/>
          <w:color w:val="000000"/>
          <w:sz w:val="20"/>
          <w:shd w:fill="FFFFFF" w:val="clear"/>
        </w:rPr>
        <w:t xml:space="preserve">West Vantage operating profit increased by </w:t>
      </w:r>
      <w:r>
        <w:rPr>
          <w:rFonts w:ascii="Times New Roman;serif" w:hAnsi="Times New Roman;serif"/>
          <w:b w:val="false"/>
          <w:color w:val="000000"/>
          <w:sz w:val="20"/>
        </w:rPr>
        <w:t>$2.1 million</w:t>
      </w:r>
      <w:r>
        <w:rPr>
          <w:rFonts w:ascii="Times New Roman;serif" w:hAnsi="Times New Roman;serif"/>
          <w:b w:val="false"/>
          <w:color w:val="000000"/>
          <w:sz w:val="20"/>
          <w:shd w:fill="FFFFFF" w:val="clear"/>
        </w:rPr>
        <w:t>, or 15.6%, for the three months ended March 31, 2026, as compared to the same period in 2025, including</w:t>
      </w:r>
      <w:r>
        <w:rPr>
          <w:color w:val="000000"/>
        </w:rPr>
        <w:t xml:space="preserve"> </w:t>
      </w:r>
      <w:r>
        <w:rPr>
          <w:rFonts w:ascii="Times New Roman;serif" w:hAnsi="Times New Roman;serif"/>
          <w:b w:val="false"/>
          <w:color w:val="000000"/>
          <w:sz w:val="20"/>
        </w:rPr>
        <w:t>a favorable</w:t>
      </w:r>
      <w:r>
        <w:rPr>
          <w:color w:val="000000"/>
          <w:shd w:fill="FFFFFF" w:val="clear"/>
        </w:rPr>
        <w:t xml:space="preserve"> </w:t>
      </w:r>
      <w:r>
        <w:rPr>
          <w:rFonts w:ascii="Times New Roman;serif" w:hAnsi="Times New Roman;serif"/>
          <w:b w:val="false"/>
          <w:color w:val="000000"/>
          <w:sz w:val="20"/>
          <w:shd w:fill="FFFFFF" w:val="clear"/>
        </w:rPr>
        <w:t xml:space="preserve">foreign currency translation impact of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 due to the factors described abov</w:t>
      </w:r>
      <w:r>
        <w:rPr>
          <w:rFonts w:ascii="Times New Roman;serif" w:hAnsi="Times New Roman;serif"/>
          <w:b w:val="false"/>
          <w:color w:val="000000"/>
          <w:sz w:val="20"/>
        </w:rPr>
        <w:t>e, most notably sales price increases and foreign exchange gains, partially offset by increased production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 xml:space="preserve">Corporate and unallocated - </w:t>
      </w:r>
      <w:r>
        <w:rPr>
          <w:rFonts w:ascii="Times New Roman;serif" w:hAnsi="Times New Roman;serif"/>
          <w:b w:val="false"/>
          <w:color w:val="000000"/>
          <w:sz w:val="20"/>
        </w:rPr>
        <w:t xml:space="preserve">Excluding the unallocated items, Corporate costs increased by $4.7 million, or 24.6%,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w:t>
      </w:r>
      <w:r>
        <w:rPr>
          <w:rFonts w:ascii="Times New Roman;serif" w:hAnsi="Times New Roman;serif"/>
          <w:b w:val="false"/>
          <w:color w:val="000000"/>
          <w:sz w:val="20"/>
          <w:shd w:fill="FFFFFF" w:val="clear"/>
        </w:rPr>
        <w:t>to the same period in 2025, due to the factors described above, m</w:t>
      </w:r>
      <w:r>
        <w:rPr>
          <w:rFonts w:ascii="Times New Roman;serif" w:hAnsi="Times New Roman;serif"/>
          <w:b w:val="false"/>
          <w:color w:val="000000"/>
          <w:sz w:val="20"/>
        </w:rPr>
        <w:t>ost notably the increase in expense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Interest Expense, Net and Interest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by significant component:</w:t>
      </w:r>
    </w:p>
    <w:tbl>
      <w:tblPr>
        <w:tblW w:w="4179" w:type="dxa"/>
        <w:jc w:val="left"/>
        <w:tblInd w:w="0" w:type="dxa"/>
        <w:tblLayout w:type="fixed"/>
        <w:tblCellMar>
          <w:top w:w="28" w:type="dxa"/>
          <w:left w:w="28" w:type="dxa"/>
          <w:bottom w:w="28" w:type="dxa"/>
          <w:right w:w="28" w:type="dxa"/>
        </w:tblCellMar>
      </w:tblPr>
      <w:tblGrid>
        <w:gridCol w:w="641"/>
        <w:gridCol w:w="562"/>
        <w:gridCol w:w="566"/>
        <w:gridCol w:w="211"/>
        <w:gridCol w:w="481"/>
        <w:gridCol w:w="109"/>
        <w:gridCol w:w="109"/>
        <w:gridCol w:w="109"/>
        <w:gridCol w:w="109"/>
        <w:gridCol w:w="211"/>
        <w:gridCol w:w="481"/>
        <w:gridCol w:w="109"/>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rPr>
        <w:t xml:space="preserve">Interest expense, net, increased by $1.5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due primarily to a decline in interest rates on the Company's Term Loan in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as well as a decrease in capitalized interest. </w:t>
      </w:r>
    </w:p>
    <w:p>
      <w:pPr>
        <w:pStyle w:val="TextBody"/>
        <w:bidi w:val="0"/>
        <w:spacing w:lineRule="auto" w:line="288" w:before="0" w:after="120"/>
        <w:jc w:val="left"/>
        <w:rPr/>
      </w:pPr>
      <w:r>
        <w:rPr>
          <w:rFonts w:ascii="Times New Roman;serif" w:hAnsi="Times New Roman;serif"/>
          <w:b w:val="false"/>
          <w:color w:val="000000"/>
          <w:sz w:val="20"/>
        </w:rPr>
        <w:t xml:space="preserve">Interest income increased by $1.0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as compared to the same period in 2025, due primarily to the Company having a higher average cash balance in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Nonoperating Expense (Income)</w:t>
      </w:r>
    </w:p>
    <w:p>
      <w:pPr>
        <w:pStyle w:val="TextBody"/>
        <w:bidi w:val="0"/>
        <w:spacing w:lineRule="auto" w:line="288" w:before="0" w:after="120"/>
        <w:jc w:val="left"/>
        <w:rPr/>
      </w:pPr>
      <w:r>
        <w:rPr>
          <w:rFonts w:ascii="Times New Roman;serif" w:hAnsi="Times New Roman;serif"/>
          <w:b w:val="false"/>
          <w:color w:val="000000"/>
          <w:sz w:val="20"/>
        </w:rPr>
        <w:t xml:space="preserve">Other nonoperating expense (income) was $0.2 million and $0.2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20"/>
        <w:jc w:val="left"/>
        <w:rPr/>
      </w:pPr>
      <w:r>
        <w:rPr>
          <w:rFonts w:ascii="Times New Roman;serif" w:hAnsi="Times New Roman;serif"/>
          <w:b w:val="false"/>
          <w:color w:val="000000"/>
          <w:sz w:val="20"/>
        </w:rPr>
        <w:t xml:space="preserve">The provision for income taxes was $44.7 million and $24.1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and 2025, respectively, and the effective tax rate was 24.8% and 21.8%, respectively. The increase in the effective tax rate is due primarily to a one-time tax cost of $12.0 million associated with an internal legal entity restructuring which occurred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in Net Income of Affiliated Companies</w:t>
      </w:r>
    </w:p>
    <w:p>
      <w:pPr>
        <w:pStyle w:val="TextBody"/>
        <w:bidi w:val="0"/>
        <w:spacing w:lineRule="auto" w:line="288" w:before="0" w:after="120"/>
        <w:jc w:val="left"/>
        <w:rPr/>
      </w:pPr>
      <w:r>
        <w:rPr>
          <w:rFonts w:ascii="Times New Roman;serif" w:hAnsi="Times New Roman;serif"/>
          <w:b w:val="false"/>
          <w:color w:val="000000"/>
          <w:sz w:val="20"/>
        </w:rPr>
        <w:t xml:space="preserve">Equity in net income of affiliated companies was $3.4 million and $3.4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0"/>
        <w:jc w:val="left"/>
        <w:rPr/>
      </w:pPr>
      <w:r>
        <w:rPr>
          <w:rFonts w:ascii="Times New Roman;serif" w:hAnsi="Times New Roman;serif"/>
          <w:b w:val="false"/>
          <w:color w:val="000000"/>
          <w:sz w:val="20"/>
        </w:rPr>
        <w:t xml:space="preserve">The following table presents cash flow data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w:t>
      </w:r>
    </w:p>
    <w:tbl>
      <w:tblPr>
        <w:tblW w:w="5858" w:type="dxa"/>
        <w:jc w:val="left"/>
        <w:tblInd w:w="0" w:type="dxa"/>
        <w:tblLayout w:type="fixed"/>
        <w:tblCellMar>
          <w:top w:w="28" w:type="dxa"/>
          <w:left w:w="28" w:type="dxa"/>
          <w:bottom w:w="28" w:type="dxa"/>
          <w:right w:w="28" w:type="dxa"/>
        </w:tblCellMar>
      </w:tblPr>
      <w:tblGrid>
        <w:gridCol w:w="1254"/>
        <w:gridCol w:w="1101"/>
        <w:gridCol w:w="1109"/>
        <w:gridCol w:w="211"/>
        <w:gridCol w:w="691"/>
        <w:gridCol w:w="109"/>
        <w:gridCol w:w="109"/>
        <w:gridCol w:w="109"/>
        <w:gridCol w:w="109"/>
        <w:gridCol w:w="211"/>
        <w:gridCol w:w="69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color w:val="000000"/>
          <w:sz w:val="20"/>
        </w:rPr>
        <w:t>Net Cash Provided by Operating Activities –</w:t>
      </w:r>
      <w:r>
        <w:rPr>
          <w:color w:val="000000"/>
        </w:rPr>
        <w:t xml:space="preserve"> </w:t>
      </w:r>
      <w:r>
        <w:rPr>
          <w:rFonts w:ascii="Times New Roman;serif" w:hAnsi="Times New Roman;serif"/>
          <w:b w:val="false"/>
          <w:color w:val="000000"/>
          <w:sz w:val="20"/>
        </w:rPr>
        <w:t xml:space="preserve">Net cash provided by operating activities decreased by $39.5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 due primarily to fluctuations in working capital and increased incentive payments, partially offset by improved operating results.</w:t>
      </w:r>
    </w:p>
    <w:p>
      <w:pPr>
        <w:pStyle w:val="TextBody"/>
        <w:bidi w:val="0"/>
        <w:spacing w:lineRule="auto" w:line="288" w:before="0" w:after="120"/>
        <w:jc w:val="left"/>
        <w:rPr/>
      </w:pPr>
      <w:r>
        <w:rPr>
          <w:rFonts w:ascii="Times New Roman;serif" w:hAnsi="Times New Roman;serif"/>
          <w:b/>
          <w:color w:val="000000"/>
          <w:sz w:val="20"/>
        </w:rPr>
        <w:t>Net Cash Used in Investing Activities –</w:t>
      </w:r>
      <w:r>
        <w:rPr>
          <w:color w:val="000000"/>
        </w:rPr>
        <w:t xml:space="preserve"> </w:t>
      </w:r>
      <w:r>
        <w:rPr>
          <w:rFonts w:ascii="Times New Roman;serif" w:hAnsi="Times New Roman;serif"/>
          <w:b w:val="false"/>
          <w:color w:val="000000"/>
          <w:sz w:val="20"/>
        </w:rPr>
        <w:t xml:space="preserve">Net cash used in investing activities decreased by $28.6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 due to a decrease in capital expenditures.</w:t>
      </w:r>
    </w:p>
    <w:p>
      <w:pPr>
        <w:pStyle w:val="TextBody"/>
        <w:bidi w:val="0"/>
        <w:spacing w:lineRule="auto" w:line="288" w:before="0" w:after="120"/>
        <w:jc w:val="left"/>
        <w:rPr/>
      </w:pPr>
      <w:r>
        <w:rPr>
          <w:rFonts w:ascii="Times New Roman;serif" w:hAnsi="Times New Roman;serif"/>
          <w:b/>
          <w:color w:val="000000"/>
          <w:sz w:val="20"/>
        </w:rPr>
        <w:t>Net Cash Used in Financing Activities –</w:t>
      </w:r>
      <w:r>
        <w:rPr>
          <w:color w:val="000000"/>
        </w:rPr>
        <w:t xml:space="preserve"> </w:t>
      </w:r>
      <w:r>
        <w:rPr>
          <w:rFonts w:ascii="Times New Roman;serif" w:hAnsi="Times New Roman;serif"/>
          <w:b w:val="false"/>
          <w:color w:val="000000"/>
          <w:sz w:val="20"/>
        </w:rPr>
        <w:t xml:space="preserve">Net cash used in financing activities increased by $161.7 million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as compared to the same period in 2025, due primarily to an increase in purchases under our share repurchase programs.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liquidity and capital measures:</w:t>
      </w:r>
    </w:p>
    <w:tbl>
      <w:tblPr>
        <w:tblW w:w="4937" w:type="dxa"/>
        <w:jc w:val="left"/>
        <w:tblInd w:w="0" w:type="dxa"/>
        <w:tblLayout w:type="fixed"/>
        <w:tblCellMar>
          <w:top w:w="28" w:type="dxa"/>
          <w:left w:w="28" w:type="dxa"/>
          <w:bottom w:w="28" w:type="dxa"/>
          <w:right w:w="28" w:type="dxa"/>
        </w:tblCellMar>
      </w:tblPr>
      <w:tblGrid>
        <w:gridCol w:w="819"/>
        <w:gridCol w:w="720"/>
        <w:gridCol w:w="725"/>
        <w:gridCol w:w="211"/>
        <w:gridCol w:w="766"/>
        <w:gridCol w:w="109"/>
        <w:gridCol w:w="109"/>
        <w:gridCol w:w="109"/>
        <w:gridCol w:w="109"/>
        <w:gridCol w:w="235"/>
        <w:gridCol w:w="854"/>
        <w:gridCol w:w="171"/>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all instruments that have maturities of ninety days or less when purchased. Working capital is defined as current assets less current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pPr>
      <w:r>
        <w:rPr>
          <w:rFonts w:ascii="Times New Roman;serif" w:hAnsi="Times New Roman;serif"/>
          <w:b/>
          <w:color w:val="000000"/>
          <w:sz w:val="20"/>
        </w:rPr>
        <w:t>Cash and cash equivalents –</w:t>
      </w:r>
      <w:r>
        <w:rPr>
          <w:color w:val="000000"/>
        </w:rPr>
        <w:t xml:space="preserve"> </w:t>
      </w:r>
      <w:r>
        <w:rPr>
          <w:rFonts w:ascii="Times New Roman;serif" w:hAnsi="Times New Roman;serif"/>
          <w:b w:val="false"/>
          <w:color w:val="000000"/>
          <w:sz w:val="20"/>
        </w:rPr>
        <w:t xml:space="preserve">Our cash and cash equivalents balance at March 31, 2026 consisted of cash held in depository accounts with banks around the world and cash invested in high-quality, short-term investments. The cash and cash equivalents balance at March 31, 2026 included $98.4 million of cash held by subsidiaries within the U.S., and $423.0 million of cash held by subsidiaries outside of the U.S. During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March 31, 2026, we purchased 1,222,019 shares of our common stock under the share repurchase program at a cost of $297.6 million, or an average price of $243.57 per share.</w:t>
      </w:r>
    </w:p>
    <w:p>
      <w:pPr>
        <w:pStyle w:val="TextBody"/>
        <w:bidi w:val="0"/>
        <w:spacing w:lineRule="auto" w:line="288" w:before="0" w:after="120"/>
        <w:jc w:val="left"/>
        <w:rPr/>
      </w:pPr>
      <w:r>
        <w:rPr>
          <w:rFonts w:ascii="Times New Roman;serif" w:hAnsi="Times New Roman;serif"/>
          <w:b/>
          <w:color w:val="000000"/>
          <w:sz w:val="20"/>
          <w:shd w:fill="FFFFFF" w:val="clear"/>
        </w:rPr>
        <w:t>Working capital –</w:t>
      </w:r>
      <w:r>
        <w:rPr>
          <w:color w:val="000000"/>
          <w:shd w:fill="FFFFFF" w:val="clear"/>
        </w:rPr>
        <w:t xml:space="preserve"> </w:t>
      </w:r>
      <w:r>
        <w:rPr>
          <w:rFonts w:ascii="Times New Roman;serif" w:hAnsi="Times New Roman;serif"/>
          <w:b w:val="false"/>
          <w:color w:val="000000"/>
          <w:sz w:val="20"/>
          <w:shd w:fill="FFFFFF" w:val="clear"/>
        </w:rPr>
        <w:t xml:space="preserve">Working capital at March 31, 2026 decreased by $170.5 million, or 12.9%, as compared to December 31, 2025, which includes a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 xml:space="preserve">$6.5 million due to </w:t>
      </w:r>
      <w:r>
        <w:rPr>
          <w:rFonts w:ascii="Times New Roman;serif" w:hAnsi="Times New Roman;serif"/>
          <w:b w:val="false"/>
          <w:color w:val="000000"/>
          <w:sz w:val="20"/>
          <w:shd w:fill="FFFFFF" w:val="clear"/>
        </w:rPr>
        <w:t xml:space="preserve">foreign currency translation. Excluding the impact of currency exchange rates, cash and cash equivalents decreased by </w:t>
      </w:r>
      <w:r>
        <w:rPr>
          <w:rFonts w:ascii="Times New Roman;serif" w:hAnsi="Times New Roman;serif"/>
          <w:b w:val="false"/>
          <w:color w:val="000000"/>
          <w:sz w:val="20"/>
        </w:rPr>
        <w:t>$261.4 million</w:t>
      </w:r>
      <w:r>
        <w:rPr>
          <w:rFonts w:ascii="Times New Roman;serif" w:hAnsi="Times New Roman;serif"/>
          <w:b w:val="false"/>
          <w:color w:val="000000"/>
          <w:sz w:val="20"/>
          <w:shd w:fill="FFFFFF" w:val="clear"/>
        </w:rPr>
        <w:t xml:space="preserve">, while accounts receivable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$115.6 million.</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 xml:space="preserve">in cash and cash equivalents was </w:t>
      </w:r>
      <w:r>
        <w:rPr>
          <w:rFonts w:ascii="Times New Roman;serif" w:hAnsi="Times New Roman;serif"/>
          <w:b w:val="false"/>
          <w:color w:val="000000"/>
          <w:sz w:val="20"/>
        </w:rPr>
        <w:t xml:space="preserve">due to share repurchases and capital expenditures during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 xml:space="preserve">March 31, 2026, partially offset by cash from operations. The increase in accounts receivable was due to increased net sales leading up to the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balance sheet date as compared to the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balance sheet date.</w:t>
      </w:r>
    </w:p>
    <w:p>
      <w:pPr>
        <w:pStyle w:val="TextBody"/>
        <w:bidi w:val="0"/>
        <w:spacing w:lineRule="auto" w:line="288" w:before="0" w:after="120"/>
        <w:jc w:val="left"/>
        <w:rPr/>
      </w:pPr>
      <w:r>
        <w:rPr>
          <w:rFonts w:ascii="Times New Roman;serif" w:hAnsi="Times New Roman;serif"/>
          <w:b/>
          <w:color w:val="000000"/>
          <w:sz w:val="20"/>
        </w:rPr>
        <w:t>Debt and credit facilities –</w:t>
      </w:r>
      <w:r>
        <w:rPr>
          <w:color w:val="000000"/>
        </w:rPr>
        <w:t xml:space="preserve"> </w:t>
      </w:r>
      <w:r>
        <w:rPr>
          <w:rFonts w:ascii="Times New Roman;serif" w:hAnsi="Times New Roman;serif"/>
          <w:b w:val="false"/>
          <w:color w:val="000000"/>
          <w:sz w:val="20"/>
        </w:rPr>
        <w:t>The total debt balance of $202.8 million at March 31, 2026 is consistent with the total debt balance at December 31,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sources of liquidity include our multi-currency revolving credit facility. At March 31, 2026, we had no outstanding borrowings under the multi-currency revolving credit facility. At March 31, 2026, the borrowing capacity available under the multi-currency revolving credit facility, including outstanding letters of credit of $2.3 million, was $497.7 million. We do not expect any significant limitations on our ability to access this source of funds.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March 31, 2026, we were in compliance with all of our debt covenants.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Commitments and Contractual Obligations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summary of future material cash payments resulting from commitments and contractual obligations was provided in our 2025 Annual Report. During the three months ended March 31, 2026, there were no material changes outside of the ordinary course of business to our commitments and contractual obligations.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March 31, 2026, we had no off-balance sheet financing arrangements other than unconditional purchase obligations incurred in the ordinary course of business and outstanding letters of credit related to various insurance programs, as noted in our 2025 Annual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the Critical Accounting Policies and Estimates disclosed in Part II, Item 7 of our 2025 Annual Report.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0" w:after="120"/>
        <w:jc w:val="left"/>
        <w:rPr/>
      </w:pPr>
      <w:r>
        <w:rPr>
          <w:rFonts w:ascii="Times New Roman;serif" w:hAnsi="Times New Roman;serif"/>
          <w:b w:val="false"/>
          <w:color w:val="000000"/>
          <w:sz w:val="20"/>
        </w:rPr>
        <w:t xml:space="preserve">For information on new accounting standards see Note 2, </w:t>
      </w:r>
      <w:hyperlink w:anchor="i00128711c8ba4c558e59c1802285183d_37">
        <w:r>
          <w:rPr>
            <w:rStyle w:val="InternetLink"/>
            <w:rFonts w:ascii="Times New Roman;serif" w:hAnsi="Times New Roman;serif"/>
            <w:b w:val="false"/>
            <w:i/>
            <w:color w:val="0000FF"/>
            <w:sz w:val="20"/>
            <w:u w:val="single"/>
          </w:rPr>
          <w:t>New Accounting Standards</w:t>
        </w:r>
      </w:hyperlink>
      <w:r>
        <w:rPr>
          <w:rFonts w:ascii="Times New Roman;serif" w:hAnsi="Times New Roman;serif"/>
          <w:b w:val="false"/>
          <w:color w:val="000000"/>
          <w:sz w:val="20"/>
        </w:rPr>
        <w:t>, within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CAUTIONARY STATEMENT REGARDING FORWARD-LOOKING STATEMENTS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are some important factors that could cause our actual results to differ from our expectations in any forward-looking statements: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sales demand and our ability to meet that demand;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competition from other providers in our businesses, including customers’ in-house operations, and from lower-cost producers in emerging markets, which can impact unit volume, price and profitability;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customers’ changing inventory requirements and manufacturing plans that alter existing orders or ordering patterns for the products we supply to them;</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timing, regulatory approval and commercial success of customer products that incorporate our products and systems;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timely and adequate availability of filling capacity, which is essential to conducting definitive stability trials and the timing of first commercialization of customers’ products in Crystal Zenith prefilled syringes;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profitability, or mix, of the products sold in any reporting period, including lower-than-expected sales growth of our high-value proprietary product offerings;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maintaining or improving production efficiencies and overhead absorption;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dependence on third-party suppliers and partners, some of which are single-source suppliers of critical materials and products, including our Japanese partner and affiliate, Daikyo;</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loss of key personnel or highly skilled employees;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availability and cost of skilled employees required to meet increased production, managerial, research and other needs, including professional employees and persons employed under collective bargaining agreements;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successful and timely implementation of price increases necessary to offset rising production costs, including raw material prices, particularly petroleum-based raw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cost and progress of development, regulatory approval and marketing of new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obtain and maintain licenses in any jurisdiction in which we do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relative strength of USD in relation to other currencies, particularly the Euro, SGD, the Danish Krone, Yen, Colombian Peso, Brazilian Real, and the South Korean Won;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potential adverse effects of global healthcare legislation on customer demand, product pricing and profitability.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2025 Annual Report as well as Part II, section 1A of this quarterly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Except as required by law or regulation, we undertake no obligation to publicly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exposure to market risk or the information provided in Part II, Item 7A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ITEM 4</w:t>
      </w:r>
      <w:r>
        <w:rPr>
          <w:rFonts w:ascii="Times New Roman;serif" w:hAnsi="Times New Roman;serif"/>
          <w:b w:val="false"/>
          <w:color w:val="000000"/>
          <w:sz w:val="20"/>
        </w:rPr>
        <w:t>.  </w:t>
      </w:r>
      <w:r>
        <w:rPr>
          <w:rFonts w:ascii="Times New Roman;serif" w:hAnsi="Times New Roman;serif"/>
          <w:b/>
          <w:color w:val="000000"/>
          <w:sz w:val="20"/>
        </w:rPr>
        <w:t>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2026, our disclosure controls and procedures are effective.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there have been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amended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On December 18, 2025, the defendants filed their first motion to dismiss the amended complaint. Pursuant to the scheduling order entered by the court, the lead plaintiffs’ opposition to the motion to dismiss was filed on February 24, 2026, and the defendants filed their reply on March 31, 2026. We believe the claims in the amended complaint are without merit and we intend to vigorously defend against such claims. Given the nature of the case, including that the proceedings are in their early stages, we are unable at this time to reasonably estimate losses, if any, or form a judgment that an unfavorable outcome is either probable or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are no material changes to the risk factors disclosed in Part I, Item 1A of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information with respect to purchases of our common stock made during the three months ended March 31, 2026 by us or any of our “affiliated purchasers” as defined in Rule 10b-18(a)(3) under the Exchange Act: </w:t>
      </w:r>
    </w:p>
    <w:tbl>
      <w:tblPr>
        <w:tblW w:w="10205" w:type="dxa"/>
        <w:jc w:val="left"/>
        <w:tblInd w:w="0" w:type="dxa"/>
        <w:tblLayout w:type="fixed"/>
        <w:tblCellMar>
          <w:top w:w="28" w:type="dxa"/>
          <w:left w:w="28" w:type="dxa"/>
          <w:bottom w:w="28" w:type="dxa"/>
          <w:right w:w="28" w:type="dxa"/>
        </w:tblCellMar>
      </w:tblPr>
      <w:tblGrid>
        <w:gridCol w:w="414"/>
        <w:gridCol w:w="296"/>
        <w:gridCol w:w="300"/>
        <w:gridCol w:w="109"/>
        <w:gridCol w:w="109"/>
        <w:gridCol w:w="109"/>
        <w:gridCol w:w="726"/>
        <w:gridCol w:w="430"/>
        <w:gridCol w:w="431"/>
        <w:gridCol w:w="109"/>
        <w:gridCol w:w="109"/>
        <w:gridCol w:w="109"/>
        <w:gridCol w:w="266"/>
        <w:gridCol w:w="910"/>
        <w:gridCol w:w="137"/>
        <w:gridCol w:w="109"/>
        <w:gridCol w:w="109"/>
        <w:gridCol w:w="109"/>
        <w:gridCol w:w="926"/>
        <w:gridCol w:w="671"/>
        <w:gridCol w:w="673"/>
        <w:gridCol w:w="109"/>
        <w:gridCol w:w="109"/>
        <w:gridCol w:w="109"/>
        <w:gridCol w:w="336"/>
        <w:gridCol w:w="2127"/>
        <w:gridCol w:w="254"/>
      </w:tblGrid>
      <w:tr>
        <w:trPr/>
        <w:tc>
          <w:tcPr>
            <w:tcW w:w="4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plans or programs (1)</w:t>
            </w:r>
          </w:p>
        </w:tc>
      </w:tr>
      <w:tr>
        <w:trPr/>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1 - 28,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261,636 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261,636 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935,900,000 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960,383 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960,383 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702,350,000 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1,222,019 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1,222,019 </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702,350,000 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 February 2026, the Company’s Board of Directors authorized a new share repurchase program for the purchase of up to $1.0 billion of the Company’s common stock in open-market transactions, block transactions, through derivative transactions, privately negotiated transactions, or otherwise, including pursuant to any trading plan entered into by the Company under Rule 10b5-1 of the Exchange Act. This share repurchase program has no expiration date and it may be suspended or terminated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 except as follows: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11, 2026, Eric M. Green, our President and Chief Executive Officer and Chair of the Board of Directors, adopted a Rule 10b5-1 trading arrangement, which is intended to satisfy the affirmative defense of Rule 10b5-1(c) with respect to options that will be expiring on February 21, 2027. The Rule 10b5-1 trading arrangement provides for the acquisition by option exercise of 83,616 shares of our common stock on February 4, 2027 and then sold by February 19, 2027, in accordance with the terms specified in the trading arrangement. Actual sale transactions will be disclosed publicly in filings with the SEC in accordance with applicable securities laws, rules and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10"/>
        <w:gridCol w:w="359"/>
        <w:gridCol w:w="361"/>
        <w:gridCol w:w="2691"/>
        <w:gridCol w:w="2628"/>
        <w:gridCol w:w="3756"/>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Our Amended and Restated Articles of Incorporation, effective May 6, 2025 (incorporated by reference to Exhibit 5.7 to the Company's Form 8-K, filed May 8, 2025).</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Our Amended and Restated Bylaws, effective October 23, 2023 (incorporated by reference to Exhibit 3.2 to the Company's Form 10-Q report for the quarter ended September 30, 2023, filed October 26, 2023).</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Articles 5, 8(c) and 9 of our Amended and Restated Articles of Incorporation, effective May 6, 2025 (incorporated by reference to Exhibit 5.7 to the Company's Form 8-K, filed May 8, 2025).</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Articles I and IV of our Bylaws, as amended through October 23, 2023 (incorporated by reference to Exhibit 3.2 to the Company's Form 10-Q report for the quarter ended September 30, 2023, filed October 26, 2023).</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Description of Registered Securities</w:t>
              </w:r>
            </w:hyperlink>
            <w:hyperlink r:id="rId9">
              <w:r>
                <w:rPr>
                  <w:rStyle w:val="InternetLink"/>
                  <w:rFonts w:ascii="Times New Roman;serif" w:hAnsi="Times New Roman;serif"/>
                  <w:b w:val="false"/>
                  <w:color w:val="000080"/>
                  <w:sz w:val="20"/>
                  <w:u w:val="single"/>
                </w:rPr>
                <w:t xml:space="preserve"> (</w:t>
              </w:r>
            </w:hyperlink>
            <w:hyperlink r:id="rId10">
              <w:r>
                <w:rPr>
                  <w:rStyle w:val="InternetLink"/>
                  <w:rFonts w:ascii="Times New Roman;serif" w:hAnsi="Times New Roman;serif"/>
                  <w:b w:val="false"/>
                  <w:color w:val="000080"/>
                  <w:sz w:val="20"/>
                  <w:u w:val="single"/>
                </w:rPr>
                <w:t xml:space="preserve">incorporated by reference to Exhibit </w:t>
              </w:r>
            </w:hyperlink>
            <w:hyperlink r:id="rId11">
              <w:r>
                <w:rPr>
                  <w:rStyle w:val="InternetLink"/>
                  <w:rFonts w:ascii="Times New Roman;serif" w:hAnsi="Times New Roman;serif"/>
                  <w:b w:val="false"/>
                  <w:color w:val="000080"/>
                  <w:sz w:val="20"/>
                  <w:u w:val="single"/>
                </w:rPr>
                <w:t>4.3</w:t>
              </w:r>
            </w:hyperlink>
            <w:hyperlink r:id="rId12">
              <w:r>
                <w:rPr>
                  <w:rStyle w:val="InternetLink"/>
                  <w:rFonts w:ascii="Times New Roman;serif" w:hAnsi="Times New Roman;serif"/>
                  <w:b w:val="false"/>
                  <w:color w:val="000080"/>
                  <w:sz w:val="20"/>
                  <w:u w:val="single"/>
                </w:rPr>
                <w:t xml:space="preserve"> to the Company's Form 10-</w:t>
              </w:r>
            </w:hyperlink>
            <w:hyperlink r:id="rId13">
              <w:r>
                <w:rPr>
                  <w:rStyle w:val="InternetLink"/>
                  <w:rFonts w:ascii="Times New Roman;serif" w:hAnsi="Times New Roman;serif"/>
                  <w:b w:val="false"/>
                  <w:color w:val="000080"/>
                  <w:sz w:val="20"/>
                  <w:u w:val="single"/>
                </w:rPr>
                <w:t>K</w:t>
              </w:r>
            </w:hyperlink>
            <w:hyperlink r:id="rId14">
              <w:r>
                <w:rPr>
                  <w:rStyle w:val="InternetLink"/>
                  <w:rFonts w:ascii="Times New Roman;serif" w:hAnsi="Times New Roman;serif"/>
                  <w:b w:val="false"/>
                  <w:color w:val="000080"/>
                  <w:sz w:val="20"/>
                  <w:u w:val="single"/>
                </w:rPr>
                <w:t xml:space="preserve"> report for the </w:t>
              </w:r>
            </w:hyperlink>
            <w:hyperlink r:id="rId15">
              <w:r>
                <w:rPr>
                  <w:rStyle w:val="InternetLink"/>
                  <w:rFonts w:ascii="Times New Roman;serif" w:hAnsi="Times New Roman;serif"/>
                  <w:b w:val="false"/>
                  <w:color w:val="000080"/>
                  <w:sz w:val="20"/>
                  <w:u w:val="single"/>
                </w:rPr>
                <w:t>year</w:t>
              </w:r>
            </w:hyperlink>
            <w:hyperlink r:id="rId16">
              <w:r>
                <w:rPr>
                  <w:rStyle w:val="InternetLink"/>
                  <w:rFonts w:ascii="Times New Roman;serif" w:hAnsi="Times New Roman;serif"/>
                  <w:b w:val="false"/>
                  <w:color w:val="000080"/>
                  <w:sz w:val="20"/>
                  <w:u w:val="single"/>
                </w:rPr>
                <w:t xml:space="preserve"> ended </w:t>
              </w:r>
            </w:hyperlink>
            <w:hyperlink r:id="rId17">
              <w:r>
                <w:rPr>
                  <w:rStyle w:val="InternetLink"/>
                  <w:rFonts w:ascii="Times New Roman;serif" w:hAnsi="Times New Roman;serif"/>
                  <w:b w:val="false"/>
                  <w:color w:val="000080"/>
                  <w:sz w:val="20"/>
                  <w:u w:val="single"/>
                </w:rPr>
                <w:t>December 31, 2025</w:t>
              </w:r>
            </w:hyperlink>
            <w:hyperlink r:id="rId18">
              <w:r>
                <w:rPr>
                  <w:rStyle w:val="InternetLink"/>
                  <w:rFonts w:ascii="Times New Roman;serif" w:hAnsi="Times New Roman;serif"/>
                  <w:b w:val="false"/>
                  <w:color w:val="000080"/>
                  <w:sz w:val="20"/>
                  <w:u w:val="single"/>
                </w:rPr>
                <w:t xml:space="preserve">, filed </w:t>
              </w:r>
            </w:hyperlink>
            <w:hyperlink r:id="rId19">
              <w:r>
                <w:rPr>
                  <w:rStyle w:val="InternetLink"/>
                  <w:rFonts w:ascii="Times New Roman;serif" w:hAnsi="Times New Roman;serif"/>
                  <w:b w:val="false"/>
                  <w:color w:val="000080"/>
                  <w:sz w:val="20"/>
                  <w:u w:val="single"/>
                </w:rPr>
                <w:t>February 17, 2026)</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4.4 </w:t>
            </w:r>
            <w:r>
              <w:rPr>
                <w:rFonts w:ascii="Times New Roman;serif" w:hAnsi="Times New Roman;serif"/>
                <w:b w:val="false"/>
                <w:color w:val="000000"/>
                <w:sz w:val="13"/>
              </w:rPr>
              <w:t>(1)</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defining the rights of holders of long-term debt securities of West and its subsidiaries have been omitted.</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q12026.htm">
              <w:r>
                <w:rPr>
                  <w:rStyle w:val="InternetLink"/>
                  <w:rFonts w:ascii="Times New Roman;serif" w:hAnsi="Times New Roman;serif"/>
                  <w:b w:val="false"/>
                  <w:color w:val="0000FF"/>
                  <w:sz w:val="20"/>
                  <w:u w:val="single"/>
                </w:rPr>
                <w:t>Certification by the Chief Executive Officer Pursuant to Section 302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q12026.htm">
              <w:r>
                <w:rPr>
                  <w:rStyle w:val="InternetLink"/>
                  <w:rFonts w:ascii="Times New Roman;serif" w:hAnsi="Times New Roman;serif"/>
                  <w:b w:val="false"/>
                  <w:color w:val="0000FF"/>
                  <w:sz w:val="20"/>
                  <w:u w:val="single"/>
                </w:rPr>
                <w:t>Certification by the Chief Financial Officer Pursuant to Section 302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q12026.htm">
              <w:r>
                <w:rPr>
                  <w:rStyle w:val="InternetLink"/>
                  <w:rFonts w:ascii="Times New Roman;serif" w:hAnsi="Times New Roman;serif"/>
                  <w:b w:val="false"/>
                  <w:color w:val="0000FF"/>
                  <w:sz w:val="20"/>
                  <w:u w:val="single"/>
                </w:rPr>
                <w:t>Certification by the Chief Executive Officer Pursuant to 18 U.S.C. Section 1350, as Adopted Pursuant to Section 906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q12026.htm">
              <w:r>
                <w:rPr>
                  <w:rStyle w:val="InternetLink"/>
                  <w:rFonts w:ascii="Times New Roman;serif" w:hAnsi="Times New Roman;serif"/>
                  <w:b w:val="false"/>
                  <w:color w:val="0000FF"/>
                  <w:sz w:val="20"/>
                  <w:u w:val="single"/>
                </w:rPr>
                <w:t>Certification by the Chief Financial Officer Pursuant to 18 U.S.C. Section 1350, as Adopted Pursuant to Section 906 of the Sarbanes-Oxley Act of 2002.</w:t>
              </w:r>
            </w:hyperlink>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Quarterly Report on Form 10-Q, included in the Exhibit 101 Inline XBRL Document Set.</w:t>
            </w:r>
          </w:p>
        </w:tc>
      </w:tr>
    </w:tbl>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 agree to furnish to the SEC, upon request, a copy of each instrument with respect to issuances of long-term debt of the Company and its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0128711c8ba4c558e59c1802285183d_7">
        <w:r>
          <w:rPr>
            <w:rStyle w:val="InternetLink"/>
            <w:rFonts w:ascii="Times New Roman;serif" w:hAnsi="Times New Roman;serif"/>
            <w:b w:val="false"/>
            <w:i/>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West Pharmaceutical Services, Inc.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 PHARMACEUTICAL SERVICES,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April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Eric M. Green,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West Pharmaceutical Services,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Chair of the Board of Directors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W. McMahon,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West Pharmaceutical Services,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April 23,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West Pharmaceutical Services, Inc. (the “Company”) for the period ended March 31, 2026,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Eric M. Green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Chair of the Board of Directors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West Pharmaceutical Services, Inc. (the “Company”) for the period ended March 31, 2026, as filed with the Securities and Exchange Commission on the date hereof (the “Report”), I, Robert W. McMahon, Senior Vice President, Chief Financial Officer of the Company, certify, pursuant to 18 U.S.C. Section 1350, as adopted pursuant to Section 906 of the Sarbanes-Oxley Act of 2002,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W. McMahon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23,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105770/000010577026000010/wst-20251231.htm" TargetMode="External"/><Relationship Id="rId4" Type="http://schemas.openxmlformats.org/officeDocument/2006/relationships/hyperlink" Target="https://www.sec.gov/Archives/edgar/data/105770/000010577025000039/finalmay2025articlesofin.htm" TargetMode="External"/><Relationship Id="rId5" Type="http://schemas.openxmlformats.org/officeDocument/2006/relationships/hyperlink" Target="https://www.sec.gov/Archives/edgar/data/105770/000010577023000068/amendedrestatedbylawsoct20.htm" TargetMode="External"/><Relationship Id="rId6" Type="http://schemas.openxmlformats.org/officeDocument/2006/relationships/hyperlink" Target="https://www.sec.gov/Archives/edgar/data/105770/000010577025000039/finalmay2025articlesofin.htm" TargetMode="External"/><Relationship Id="rId7" Type="http://schemas.openxmlformats.org/officeDocument/2006/relationships/hyperlink" Target="https://www.sec.gov/Archives/edgar/data/105770/000010577023000068/amendedrestatedbylawsoct20.htm" TargetMode="External"/><Relationship Id="rId8" Type="http://schemas.openxmlformats.org/officeDocument/2006/relationships/hyperlink" Target="https://www.sec.gov/Archives/edgar/data/105770/000010577026000010/ex43descriptionofsecurities.htm" TargetMode="External"/><Relationship Id="rId9" Type="http://schemas.openxmlformats.org/officeDocument/2006/relationships/hyperlink" Target="https://www.sec.gov/Archives/edgar/data/105770/000010577026000010/ex43descriptionofsecurities.htm" TargetMode="External"/><Relationship Id="rId10" Type="http://schemas.openxmlformats.org/officeDocument/2006/relationships/hyperlink" Target="https://www.sec.gov/Archives/edgar/data/105770/000010577026000010/ex43descriptionofsecurities.htm" TargetMode="External"/><Relationship Id="rId11" Type="http://schemas.openxmlformats.org/officeDocument/2006/relationships/hyperlink" Target="https://www.sec.gov/Archives/edgar/data/105770/000010577026000010/ex43descriptionofsecurities.htm" TargetMode="External"/><Relationship Id="rId12" Type="http://schemas.openxmlformats.org/officeDocument/2006/relationships/hyperlink" Target="https://www.sec.gov/Archives/edgar/data/105770/000010577026000010/ex43descriptionofsecurities.htm" TargetMode="External"/><Relationship Id="rId13" Type="http://schemas.openxmlformats.org/officeDocument/2006/relationships/hyperlink" Target="https://www.sec.gov/Archives/edgar/data/105770/000010577026000010/ex43descriptionofsecurities.htm" TargetMode="External"/><Relationship Id="rId14" Type="http://schemas.openxmlformats.org/officeDocument/2006/relationships/hyperlink" Target="https://www.sec.gov/Archives/edgar/data/105770/000010577026000010/ex43descriptionofsecurities.htm" TargetMode="External"/><Relationship Id="rId15" Type="http://schemas.openxmlformats.org/officeDocument/2006/relationships/hyperlink" Target="https://www.sec.gov/Archives/edgar/data/105770/000010577026000010/ex43descriptionofsecurities.htm" TargetMode="External"/><Relationship Id="rId16" Type="http://schemas.openxmlformats.org/officeDocument/2006/relationships/hyperlink" Target="https://www.sec.gov/Archives/edgar/data/105770/000010577026000010/ex43descriptionofsecurities.htm" TargetMode="External"/><Relationship Id="rId17" Type="http://schemas.openxmlformats.org/officeDocument/2006/relationships/hyperlink" Target="https://www.sec.gov/Archives/edgar/data/105770/000010577026000010/ex43descriptionofsecurities.htm" TargetMode="External"/><Relationship Id="rId18" Type="http://schemas.openxmlformats.org/officeDocument/2006/relationships/hyperlink" Target="https://www.sec.gov/Archives/edgar/data/105770/000010577026000010/ex43descriptionofsecurities.htm" TargetMode="External"/><Relationship Id="rId19" Type="http://schemas.openxmlformats.org/officeDocument/2006/relationships/hyperlink" Target="https://www.sec.gov/Archives/edgar/data/105770/000010577026000010/ex43descriptionofsecurities.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16742</Words>
  <Characters>92132</Characters>
  <CharactersWithSpaces>107571</CharactersWithSpaces>
  <Paragraphs>2519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