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972185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00" w:hanging="33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500" w:hanging="337"/>
        <w:spacing w:after="0" w:line="201" w:lineRule="auto"/>
        <w:tabs>
          <w:tab w:leader="none" w:pos="500" w:val="left"/>
        </w:tabs>
        <w:numPr>
          <w:ilvl w:val="0"/>
          <w:numId w:val="2"/>
        </w:numPr>
        <w:rPr>
          <w:rFonts w:ascii="MS PGothic" w:cs="MS PGothic" w:eastAsia="MS PGothic" w:hAnsi="MS PGothic"/>
          <w:sz w:val="6"/>
          <w:szCs w:val="6"/>
          <w:color w:val="auto"/>
        </w:rPr>
      </w:pPr>
      <w:r>
        <w:rPr>
          <w:rFonts w:ascii="Arial" w:cs="Arial" w:eastAsia="Arial" w:hAnsi="Arial"/>
          <w:sz w:val="6"/>
          <w:szCs w:val="6"/>
          <w:b w:val="1"/>
          <w:bCs w:val="1"/>
          <w:color w:val="auto"/>
        </w:rPr>
        <w:t>TRANSITION REPORT PURSUANT TO SECTION 13 OR 15(d) OF THE SECURITIES EXCHANGE ACT OF 1934</w:t>
      </w:r>
    </w:p>
    <w:p>
      <w:pPr>
        <w:spacing w:after="0" w:line="338"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9"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320" w:type="dxa"/>
            <w:vAlign w:val="bottom"/>
          </w:tcPr>
          <w:p>
            <w:pPr>
              <w:jc w:val="center"/>
              <w:ind w:right="85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23-1210010</w:t>
            </w: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432"/>
        </w:trPr>
        <w:tc>
          <w:tcPr>
            <w:tcW w:w="532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19341-0645</w:t>
            </w:r>
          </w:p>
        </w:tc>
      </w:tr>
      <w:tr>
        <w:trPr>
          <w:trHeight w:val="270"/>
        </w:trPr>
        <w:tc>
          <w:tcPr>
            <w:tcW w:w="532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930"/>
              <w:spacing w:after="0"/>
              <w:rPr>
                <w:sz w:val="20"/>
                <w:szCs w:val="20"/>
                <w:color w:val="auto"/>
              </w:rPr>
            </w:pPr>
            <w:r>
              <w:rPr>
                <w:rFonts w:ascii="Arial" w:cs="Arial" w:eastAsia="Arial" w:hAnsi="Arial"/>
                <w:sz w:val="18"/>
                <w:szCs w:val="18"/>
                <w:color w:val="auto"/>
                <w:w w:val="94"/>
              </w:rPr>
              <w:t>(Zip Code)</w:t>
            </w:r>
          </w:p>
        </w:tc>
      </w:tr>
    </w:tbl>
    <w:p>
      <w:pPr>
        <w:spacing w:after="0" w:line="360"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440" w:right="459" w:bottom="1440" w:gutter="0" w:footer="0" w:header="0"/>
        </w:sectPr>
      </w:pPr>
    </w:p>
    <w:p>
      <w:pPr>
        <w:spacing w:after="0" w:line="167"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280" w:space="720"/>
            <w:col w:w="1520" w:space="720"/>
            <w:col w:w="3880"/>
          </w:cols>
          <w:pgMar w:left="320" w:top="1440" w:right="459" w:bottom="1440" w:gutter="0" w:footer="0" w:header="0"/>
          <w:type w:val="continuous"/>
        </w:sectPr>
      </w:pPr>
    </w:p>
    <w:p>
      <w:pPr>
        <w:ind w:left="82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WST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167" w:lineRule="exact"/>
        <w:rPr>
          <w:sz w:val="24"/>
          <w:szCs w:val="24"/>
          <w:color w:val="auto"/>
        </w:rPr>
      </w:pPr>
    </w:p>
    <w:p>
      <w:pPr>
        <w:sectPr>
          <w:pgSz w:w="11900" w:h="16838" w:orient="portrait"/>
          <w:cols w:equalWidth="0" w:num="3">
            <w:col w:w="4720" w:space="720"/>
            <w:col w:w="1780" w:space="720"/>
            <w:col w:w="3180"/>
          </w:cols>
          <w:pgMar w:left="320" w:top="1440" w:right="459" w:bottom="1440" w:gutter="0" w:footer="0" w:header="0"/>
          <w:type w:val="continuous"/>
        </w:sect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68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8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772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April 17, 2020, there were 73,602,233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type w:val="continuous"/>
        </w:sectPr>
      </w:pPr>
    </w:p>
    <w:bookmarkStart w:id="1" w:name="page2"/>
    <w:bookmarkEnd w:id="1"/>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160" w:type="dxa"/>
            <w:vAlign w:val="bottom"/>
            <w:gridSpan w:val="4"/>
          </w:tcPr>
          <w:p>
            <w:pPr>
              <w:ind w:left="100"/>
              <w:spacing w:after="0"/>
              <w:rPr>
                <w:sz w:val="20"/>
                <w:szCs w:val="20"/>
                <w:color w:val="auto"/>
              </w:rPr>
            </w:pPr>
            <w:r>
              <w:rPr>
                <w:rFonts w:ascii="Arial" w:cs="Arial" w:eastAsia="Arial" w:hAnsi="Arial"/>
                <w:sz w:val="18"/>
                <w:szCs w:val="18"/>
                <w:b w:val="1"/>
                <w:bCs w:val="1"/>
                <w:color w:val="auto"/>
              </w:rPr>
              <w:t>TABLE OF CONTENTS</w:t>
            </w:r>
          </w:p>
        </w:tc>
      </w:tr>
      <w:tr>
        <w:trPr>
          <w:trHeight w:val="769"/>
        </w:trPr>
        <w:tc>
          <w:tcPr>
            <w:tcW w:w="9700" w:type="dxa"/>
            <w:vAlign w:val="bottom"/>
            <w:gridSpan w:val="8"/>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r>
      <w:tr>
        <w:trPr>
          <w:trHeight w:val="283"/>
        </w:trPr>
        <w:tc>
          <w:tcPr>
            <w:tcW w:w="2620" w:type="dxa"/>
            <w:vAlign w:val="bottom"/>
          </w:tcPr>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ITEM 1.</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FINANCIAL STATEMENTS (UNAUDITED)</w:t>
            </w:r>
          </w:p>
        </w:tc>
      </w:tr>
      <w:tr>
        <w:trPr>
          <w:trHeight w:val="216"/>
        </w:trPr>
        <w:tc>
          <w:tcPr>
            <w:tcW w:w="2620" w:type="dxa"/>
            <w:vAlign w:val="bottom"/>
          </w:tcPr>
          <w:p>
            <w:pPr>
              <w:spacing w:after="0"/>
              <w:rPr>
                <w:sz w:val="18"/>
                <w:szCs w:val="18"/>
                <w:color w:val="auto"/>
              </w:rPr>
            </w:pPr>
          </w:p>
        </w:tc>
        <w:tc>
          <w:tcPr>
            <w:tcW w:w="7080" w:type="dxa"/>
            <w:vAlign w:val="bottom"/>
            <w:gridSpan w:val="7"/>
          </w:tcPr>
          <w:p>
            <w:pPr>
              <w:spacing w:after="0"/>
              <w:rPr>
                <w:rFonts w:ascii="Arial" w:cs="Arial" w:eastAsia="Arial" w:hAnsi="Arial"/>
                <w:sz w:val="18"/>
                <w:szCs w:val="18"/>
                <w:b w:val="1"/>
                <w:bCs w:val="1"/>
                <w:color w:val="0000FF"/>
                <w:w w:val="90"/>
              </w:rPr>
            </w:pPr>
            <w:hyperlink w:anchor="page3">
              <w:r>
                <w:rPr>
                  <w:rFonts w:ascii="Arial" w:cs="Arial" w:eastAsia="Arial" w:hAnsi="Arial"/>
                  <w:sz w:val="18"/>
                  <w:szCs w:val="18"/>
                  <w:b w:val="1"/>
                  <w:bCs w:val="1"/>
                  <w:color w:val="0000FF"/>
                  <w:w w:val="90"/>
                </w:rPr>
                <w:t>Condensed Consolidated Statements of Income for the Three Months ended March 31, 2020</w:t>
              </w:r>
            </w:hyperlink>
          </w:p>
        </w:tc>
      </w:tr>
      <w:tr>
        <w:trPr>
          <w:trHeight w:val="156"/>
        </w:trPr>
        <w:tc>
          <w:tcPr>
            <w:tcW w:w="2620" w:type="dxa"/>
            <w:vAlign w:val="bottom"/>
          </w:tcPr>
          <w:p>
            <w:pPr>
              <w:spacing w:after="0"/>
              <w:rPr>
                <w:sz w:val="13"/>
                <w:szCs w:val="13"/>
                <w:color w:val="auto"/>
              </w:rPr>
            </w:pPr>
          </w:p>
        </w:tc>
        <w:tc>
          <w:tcPr>
            <w:tcW w:w="7040" w:type="dxa"/>
            <w:vAlign w:val="bottom"/>
            <w:tcBorders>
              <w:top w:val="single" w:sz="8" w:color="0000FF"/>
            </w:tcBorders>
            <w:gridSpan w:val="5"/>
          </w:tcPr>
          <w:p>
            <w:pPr>
              <w:spacing w:after="0" w:line="156"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and 2019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620" w:type="dxa"/>
            <w:vAlign w:val="bottom"/>
          </w:tcPr>
          <w:p>
            <w:pPr>
              <w:spacing w:after="0"/>
              <w:rPr>
                <w:sz w:val="18"/>
                <w:szCs w:val="18"/>
                <w:color w:val="auto"/>
              </w:rPr>
            </w:pPr>
          </w:p>
        </w:tc>
        <w:tc>
          <w:tcPr>
            <w:tcW w:w="7080" w:type="dxa"/>
            <w:vAlign w:val="bottom"/>
            <w:gridSpan w:val="7"/>
          </w:tcPr>
          <w:p>
            <w:pPr>
              <w:spacing w:after="0"/>
              <w:rPr>
                <w:rFonts w:ascii="Arial" w:cs="Arial" w:eastAsia="Arial" w:hAnsi="Arial"/>
                <w:sz w:val="18"/>
                <w:szCs w:val="18"/>
                <w:b w:val="1"/>
                <w:bCs w:val="1"/>
                <w:color w:val="0000FF"/>
                <w:w w:val="89"/>
              </w:rPr>
            </w:pPr>
            <w:hyperlink w:anchor="page4">
              <w:r>
                <w:rPr>
                  <w:rFonts w:ascii="Arial" w:cs="Arial" w:eastAsia="Arial" w:hAnsi="Arial"/>
                  <w:sz w:val="18"/>
                  <w:szCs w:val="18"/>
                  <w:b w:val="1"/>
                  <w:bCs w:val="1"/>
                  <w:color w:val="0000FF"/>
                  <w:w w:val="89"/>
                </w:rPr>
                <w:t>Condensed Consolidated Statements of Comprehensive Income for the Three Months ended</w:t>
              </w:r>
            </w:hyperlink>
          </w:p>
        </w:tc>
      </w:tr>
      <w:tr>
        <w:trPr>
          <w:trHeight w:val="156"/>
        </w:trPr>
        <w:tc>
          <w:tcPr>
            <w:tcW w:w="2620" w:type="dxa"/>
            <w:vAlign w:val="bottom"/>
          </w:tcPr>
          <w:p>
            <w:pPr>
              <w:spacing w:after="0"/>
              <w:rPr>
                <w:sz w:val="13"/>
                <w:szCs w:val="13"/>
                <w:color w:val="auto"/>
              </w:rPr>
            </w:pPr>
          </w:p>
        </w:tc>
        <w:tc>
          <w:tcPr>
            <w:tcW w:w="7060" w:type="dxa"/>
            <w:vAlign w:val="bottom"/>
            <w:tcBorders>
              <w:top w:val="single" w:sz="8" w:color="0000FF"/>
            </w:tcBorders>
            <w:gridSpan w:val="6"/>
          </w:tcPr>
          <w:p>
            <w:pPr>
              <w:spacing w:after="0" w:line="156" w:lineRule="exact"/>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March 31, 2020 and 2019</w:t>
              </w:r>
            </w:hyperlink>
          </w:p>
        </w:tc>
        <w:tc>
          <w:tcPr>
            <w:tcW w:w="2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50"/>
        </w:trPr>
        <w:tc>
          <w:tcPr>
            <w:tcW w:w="2620" w:type="dxa"/>
            <w:vAlign w:val="bottom"/>
          </w:tcPr>
          <w:p>
            <w:pPr>
              <w:spacing w:after="0"/>
              <w:rPr>
                <w:sz w:val="21"/>
                <w:szCs w:val="21"/>
                <w:color w:val="auto"/>
              </w:rPr>
            </w:pPr>
          </w:p>
        </w:tc>
        <w:tc>
          <w:tcPr>
            <w:tcW w:w="7080" w:type="dxa"/>
            <w:vAlign w:val="bottom"/>
            <w:gridSpan w:val="7"/>
          </w:tcPr>
          <w:p>
            <w:pPr>
              <w:spacing w:after="0"/>
              <w:rPr>
                <w:rFonts w:ascii="Arial" w:cs="Arial" w:eastAsia="Arial" w:hAnsi="Arial"/>
                <w:sz w:val="18"/>
                <w:szCs w:val="18"/>
                <w:b w:val="1"/>
                <w:bCs w:val="1"/>
                <w:u w:val="single" w:color="auto"/>
                <w:color w:val="0000FF"/>
                <w:w w:val="98"/>
              </w:rPr>
            </w:pPr>
            <w:hyperlink w:anchor="page5">
              <w:r>
                <w:rPr>
                  <w:rFonts w:ascii="Arial" w:cs="Arial" w:eastAsia="Arial" w:hAnsi="Arial"/>
                  <w:sz w:val="18"/>
                  <w:szCs w:val="18"/>
                  <w:b w:val="1"/>
                  <w:bCs w:val="1"/>
                  <w:u w:val="single" w:color="auto"/>
                  <w:color w:val="0000FF"/>
                  <w:w w:val="98"/>
                </w:rPr>
                <w:t>Condensed Consolidated Balance Sheets at March 31, 2020 and December 31, 2019</w:t>
              </w:r>
            </w:hyperlink>
          </w:p>
        </w:tc>
      </w:tr>
      <w:tr>
        <w:trPr>
          <w:trHeight w:val="229"/>
        </w:trPr>
        <w:tc>
          <w:tcPr>
            <w:tcW w:w="2620" w:type="dxa"/>
            <w:vAlign w:val="bottom"/>
          </w:tcPr>
          <w:p>
            <w:pPr>
              <w:spacing w:after="0"/>
              <w:rPr>
                <w:sz w:val="19"/>
                <w:szCs w:val="19"/>
                <w:color w:val="auto"/>
              </w:rPr>
            </w:pPr>
          </w:p>
        </w:tc>
        <w:tc>
          <w:tcPr>
            <w:tcW w:w="7080" w:type="dxa"/>
            <w:vAlign w:val="bottom"/>
            <w:gridSpan w:val="7"/>
          </w:tcPr>
          <w:p>
            <w:pPr>
              <w:spacing w:after="0"/>
              <w:rPr>
                <w:rFonts w:ascii="Arial" w:cs="Arial" w:eastAsia="Arial" w:hAnsi="Arial"/>
                <w:sz w:val="18"/>
                <w:szCs w:val="18"/>
                <w:b w:val="1"/>
                <w:bCs w:val="1"/>
                <w:color w:val="0000FF"/>
                <w:w w:val="90"/>
              </w:rPr>
            </w:pPr>
            <w:hyperlink w:anchor="page6">
              <w:r>
                <w:rPr>
                  <w:rFonts w:ascii="Arial" w:cs="Arial" w:eastAsia="Arial" w:hAnsi="Arial"/>
                  <w:sz w:val="18"/>
                  <w:szCs w:val="18"/>
                  <w:b w:val="1"/>
                  <w:bCs w:val="1"/>
                  <w:color w:val="0000FF"/>
                  <w:w w:val="90"/>
                </w:rPr>
                <w:t>Condensed Consolidated Statements of Cash Flows for the Three Months ended March 31,</w:t>
              </w:r>
            </w:hyperlink>
          </w:p>
        </w:tc>
      </w:tr>
      <w:tr>
        <w:trPr>
          <w:trHeight w:val="156"/>
        </w:trPr>
        <w:tc>
          <w:tcPr>
            <w:tcW w:w="2620" w:type="dxa"/>
            <w:vAlign w:val="bottom"/>
          </w:tcPr>
          <w:p>
            <w:pPr>
              <w:spacing w:after="0"/>
              <w:rPr>
                <w:sz w:val="13"/>
                <w:szCs w:val="13"/>
                <w:color w:val="auto"/>
              </w:rPr>
            </w:pPr>
          </w:p>
        </w:tc>
        <w:tc>
          <w:tcPr>
            <w:tcW w:w="11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b w:val="1"/>
                <w:bCs w:val="1"/>
                <w:color w:val="0000FF"/>
                <w:w w:val="88"/>
              </w:rPr>
            </w:pPr>
            <w:hyperlink w:anchor="page6">
              <w:r>
                <w:rPr>
                  <w:rFonts w:ascii="Arial" w:cs="Arial" w:eastAsia="Arial" w:hAnsi="Arial"/>
                  <w:sz w:val="18"/>
                  <w:szCs w:val="18"/>
                  <w:b w:val="1"/>
                  <w:bCs w:val="1"/>
                  <w:color w:val="0000FF"/>
                  <w:w w:val="88"/>
                </w:rPr>
                <w:t>2020 and 2019</w:t>
              </w:r>
            </w:hyperlink>
          </w:p>
        </w:tc>
        <w:tc>
          <w:tcPr>
            <w:tcW w:w="5840" w:type="dxa"/>
            <w:vAlign w:val="bottom"/>
            <w:tcBorders>
              <w:top w:val="single" w:sz="8" w:color="0000FF"/>
            </w:tcBorders>
            <w:gridSpan w:val="2"/>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50"/>
        </w:trPr>
        <w:tc>
          <w:tcPr>
            <w:tcW w:w="2620" w:type="dxa"/>
            <w:vAlign w:val="bottom"/>
          </w:tcPr>
          <w:p>
            <w:pPr>
              <w:spacing w:after="0"/>
              <w:rPr>
                <w:sz w:val="21"/>
                <w:szCs w:val="21"/>
                <w:color w:val="auto"/>
              </w:rPr>
            </w:pPr>
          </w:p>
        </w:tc>
        <w:tc>
          <w:tcPr>
            <w:tcW w:w="7080" w:type="dxa"/>
            <w:vAlign w:val="bottom"/>
            <w:gridSpan w:val="7"/>
          </w:tcPr>
          <w:p>
            <w:pPr>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Notes to Condensed Consolidated Financial Statements</w:t>
              </w:r>
            </w:hyperlink>
          </w:p>
        </w:tc>
      </w:tr>
      <w:tr>
        <w:trPr>
          <w:trHeight w:val="265"/>
        </w:trPr>
        <w:tc>
          <w:tcPr>
            <w:tcW w:w="2620" w:type="dxa"/>
            <w:vAlign w:val="bottom"/>
          </w:tcPr>
          <w:p>
            <w:pPr>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ITEM 2.</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MANAGEMENT’S DISCUSSION AND ANALYSIS OF FINANCIAL CONDITION AND</w:t>
            </w:r>
          </w:p>
        </w:tc>
      </w:tr>
      <w:tr>
        <w:trPr>
          <w:trHeight w:val="234"/>
        </w:trPr>
        <w:tc>
          <w:tcPr>
            <w:tcW w:w="2620" w:type="dxa"/>
            <w:vAlign w:val="bottom"/>
          </w:tcPr>
          <w:p>
            <w:pPr>
              <w:spacing w:after="0"/>
              <w:rPr>
                <w:sz w:val="20"/>
                <w:szCs w:val="20"/>
                <w:color w:val="auto"/>
              </w:rPr>
            </w:pPr>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RESULTS OF OPERATIONS</w:t>
            </w:r>
          </w:p>
        </w:tc>
      </w:tr>
      <w:tr>
        <w:trPr>
          <w:trHeight w:val="270"/>
        </w:trPr>
        <w:tc>
          <w:tcPr>
            <w:tcW w:w="2620" w:type="dxa"/>
            <w:vAlign w:val="bottom"/>
          </w:tcPr>
          <w:p>
            <w:pPr>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ITEM 3.</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tc>
      </w:tr>
      <w:tr>
        <w:trPr>
          <w:trHeight w:val="270"/>
        </w:trPr>
        <w:tc>
          <w:tcPr>
            <w:tcW w:w="262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4.</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CONTROLS AND PROCEDURES</w:t>
            </w:r>
          </w:p>
        </w:tc>
      </w:tr>
      <w:tr>
        <w:trPr>
          <w:trHeight w:val="527"/>
        </w:trPr>
        <w:tc>
          <w:tcPr>
            <w:tcW w:w="9700" w:type="dxa"/>
            <w:vAlign w:val="bottom"/>
            <w:gridSpan w:val="8"/>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PART II. OTHER INFORMATION</w:t>
              </w:r>
            </w:hyperlink>
          </w:p>
        </w:tc>
      </w:tr>
      <w:tr>
        <w:trPr>
          <w:trHeight w:val="283"/>
        </w:trPr>
        <w:tc>
          <w:tcPr>
            <w:tcW w:w="262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1.</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LEGAL PROCEEDINGS</w:t>
            </w:r>
          </w:p>
        </w:tc>
      </w:tr>
      <w:tr>
        <w:trPr>
          <w:trHeight w:val="270"/>
        </w:trPr>
        <w:tc>
          <w:tcPr>
            <w:tcW w:w="2620" w:type="dxa"/>
            <w:vAlign w:val="bottom"/>
          </w:tcPr>
          <w:p>
            <w:pPr>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ITEM 1A.</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RISK FACTORS</w:t>
            </w:r>
          </w:p>
        </w:tc>
      </w:tr>
      <w:tr>
        <w:trPr>
          <w:trHeight w:val="270"/>
        </w:trPr>
        <w:tc>
          <w:tcPr>
            <w:tcW w:w="2620" w:type="dxa"/>
            <w:vAlign w:val="bottom"/>
          </w:tcPr>
          <w:p>
            <w:pPr>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2.</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tc>
      </w:tr>
      <w:tr>
        <w:trPr>
          <w:trHeight w:val="270"/>
        </w:trPr>
        <w:tc>
          <w:tcPr>
            <w:tcW w:w="2620" w:type="dxa"/>
            <w:vAlign w:val="bottom"/>
          </w:tcPr>
          <w:p>
            <w:pPr>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ITEM 6.</w:t>
              </w:r>
            </w:hyperlink>
          </w:p>
        </w:tc>
        <w:tc>
          <w:tcPr>
            <w:tcW w:w="7080" w:type="dxa"/>
            <w:vAlign w:val="bottom"/>
            <w:gridSpan w:val="7"/>
          </w:tcPr>
          <w:p>
            <w:pPr>
              <w:spacing w:after="0"/>
              <w:rPr>
                <w:sz w:val="20"/>
                <w:szCs w:val="20"/>
                <w:color w:val="auto"/>
              </w:rPr>
            </w:pPr>
            <w:r>
              <w:rPr>
                <w:rFonts w:ascii="Arial" w:cs="Arial" w:eastAsia="Arial" w:hAnsi="Arial"/>
                <w:sz w:val="18"/>
                <w:szCs w:val="18"/>
                <w:b w:val="1"/>
                <w:bCs w:val="1"/>
                <w:color w:val="auto"/>
              </w:rPr>
              <w:t>EXHIBITS</w:t>
            </w:r>
          </w:p>
        </w:tc>
      </w:tr>
    </w:tbl>
    <w:p>
      <w:pPr>
        <w:spacing w:after="0" w:line="292"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SIGNATURE</w:t>
        </w:r>
      </w:hyperlink>
    </w:p>
    <w:p>
      <w:pPr>
        <w:spacing w:after="0" w:line="29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EXHIBIT 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3</w:t>
        </w:r>
      </w:hyperlink>
    </w:p>
    <w:p>
      <w:pPr>
        <w:spacing w:after="0" w:line="19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4</w:t>
        </w:r>
      </w:hyperlink>
    </w:p>
    <w:p>
      <w:pPr>
        <w:spacing w:after="0" w:line="63"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5</w:t>
        </w:r>
      </w:hyperlink>
    </w:p>
    <w:p>
      <w:pPr>
        <w:spacing w:after="0" w:line="198"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6</w:t>
        </w:r>
      </w:hyperlink>
    </w:p>
    <w:p>
      <w:pPr>
        <w:spacing w:after="0" w:line="27" w:lineRule="exact"/>
        <w:rPr>
          <w:sz w:val="20"/>
          <w:szCs w:val="20"/>
          <w:color w:val="auto"/>
        </w:rPr>
      </w:pPr>
    </w:p>
    <w:p>
      <w:pPr>
        <w:ind w:left="140"/>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7</w:t>
        </w:r>
      </w:hyperlink>
    </w:p>
    <w:p>
      <w:pPr>
        <w:spacing w:after="0" w:line="315"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24</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3">
        <w:r>
          <w:rPr>
            <w:rFonts w:ascii="Arial" w:cs="Arial" w:eastAsia="Arial" w:hAnsi="Arial"/>
            <w:sz w:val="18"/>
            <w:szCs w:val="18"/>
            <w:b w:val="1"/>
            <w:bCs w:val="1"/>
            <w:u w:val="single" w:color="auto"/>
            <w:color w:val="0000FF"/>
          </w:rPr>
          <w:t>33</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34</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34</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4">
        <w:r>
          <w:rPr>
            <w:rFonts w:ascii="Arial" w:cs="Arial" w:eastAsia="Arial" w:hAnsi="Arial"/>
            <w:sz w:val="18"/>
            <w:szCs w:val="18"/>
            <w:b w:val="1"/>
            <w:bCs w:val="1"/>
            <w:u w:val="single" w:color="auto"/>
            <w:color w:val="0000FF"/>
          </w:rPr>
          <w:t>34</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35</w:t>
        </w:r>
      </w:hyperlink>
    </w:p>
    <w:p>
      <w:pPr>
        <w:spacing w:after="0" w:line="6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35</w:t>
        </w:r>
      </w:hyperlink>
    </w:p>
    <w:p>
      <w:pPr>
        <w:spacing w:after="0" w:line="293" w:lineRule="exact"/>
        <w:rPr>
          <w:sz w:val="20"/>
          <w:szCs w:val="20"/>
          <w:color w:val="auto"/>
        </w:rPr>
      </w:pPr>
    </w:p>
    <w:p>
      <w:pPr>
        <w:ind w:left="80"/>
        <w:spacing w:after="0"/>
        <w:rPr>
          <w:rFonts w:ascii="Arial" w:cs="Arial" w:eastAsia="Arial" w:hAnsi="Arial"/>
          <w:sz w:val="18"/>
          <w:szCs w:val="18"/>
          <w:b w:val="1"/>
          <w:bCs w:val="1"/>
          <w:u w:val="single" w:color="auto"/>
          <w:color w:val="0000FF"/>
        </w:rPr>
      </w:pPr>
      <w:hyperlink w:anchor="page36">
        <w:r>
          <w:rPr>
            <w:rFonts w:ascii="Arial" w:cs="Arial" w:eastAsia="Arial" w:hAnsi="Arial"/>
            <w:sz w:val="18"/>
            <w:szCs w:val="18"/>
            <w:b w:val="1"/>
            <w:bCs w:val="1"/>
            <w:u w:val="single" w:color="auto"/>
            <w:color w:val="0000FF"/>
          </w:rPr>
          <w:t>36</w:t>
        </w:r>
      </w:hyperlink>
    </w:p>
    <w:p>
      <w:pPr>
        <w:spacing w:after="0" w:line="293"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37">
        <w:r>
          <w:rPr>
            <w:rFonts w:ascii="Arial" w:cs="Arial" w:eastAsia="Arial" w:hAnsi="Arial"/>
            <w:sz w:val="18"/>
            <w:szCs w:val="18"/>
            <w:b w:val="1"/>
            <w:bCs w:val="1"/>
            <w:u w:val="single" w:color="auto"/>
            <w:color w:val="0000FF"/>
          </w:rPr>
          <w:t>F-1</w:t>
        </w:r>
      </w:hyperlink>
    </w:p>
    <w:p>
      <w:pPr>
        <w:sectPr>
          <w:pgSz w:w="11900" w:h="16838" w:orient="portrait"/>
          <w:cols w:equalWidth="0" w:num="2">
            <w:col w:w="9680" w:space="660"/>
            <w:col w:w="360"/>
          </w:cols>
          <w:pgMar w:left="320" w:top="130" w:right="879" w:bottom="1440" w:gutter="0" w:footer="0" w:header="0"/>
        </w:sectPr>
      </w:pPr>
    </w:p>
    <w:bookmarkStart w:id="2" w:name="page3"/>
    <w:bookmarkEnd w:id="2"/>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0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00" w:lineRule="exact"/>
        <w:rPr>
          <w:sz w:val="20"/>
          <w:szCs w:val="20"/>
          <w:color w:val="auto"/>
        </w:rPr>
      </w:pPr>
    </w:p>
    <w:p>
      <w:pPr>
        <w:spacing w:after="0" w:line="304"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22860</wp:posOffset>
            </wp:positionV>
            <wp:extent cx="1843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443.5</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296.7</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146.8</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income (Note 15)</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70.7</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nonoperating expense (income)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69.9</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63"/>
        </w:trPr>
        <w:tc>
          <w:tcPr>
            <w:tcW w:w="83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55.4</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5"/>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0.75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5"/>
        </w:trPr>
        <w:tc>
          <w:tcPr>
            <w:tcW w:w="8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8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92"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22860</wp:posOffset>
            </wp:positionV>
            <wp:extent cx="1843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r>
      <w:tr>
        <w:trPr>
          <w:trHeight w:val="243"/>
        </w:trPr>
        <w:tc>
          <w:tcPr>
            <w:tcW w:w="8340" w:type="dxa"/>
            <w:vAlign w:val="bottom"/>
          </w:tcPr>
          <w:p>
            <w:pPr>
              <w:ind w:left="220"/>
              <w:spacing w:after="0"/>
              <w:rPr>
                <w:sz w:val="20"/>
                <w:szCs w:val="20"/>
                <w:color w:val="auto"/>
              </w:rPr>
            </w:pPr>
            <w:r>
              <w:rPr>
                <w:rFonts w:ascii="Arial" w:cs="Arial" w:eastAsia="Arial" w:hAnsi="Arial"/>
                <w:sz w:val="18"/>
                <w:szCs w:val="18"/>
                <w:color w:val="auto"/>
              </w:rPr>
              <w:t>Defined benefit pension and other postretirement plan adjustments, net of tax of $0.6 and $0</w:t>
            </w:r>
          </w:p>
        </w:tc>
        <w:tc>
          <w:tcPr>
            <w:tcW w:w="30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gain (loss) on derivatives, net of tax of $1.3 and $(1.6)</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83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Arial" w:cs="Arial" w:eastAsia="Arial" w:hAnsi="Arial"/>
                <w:sz w:val="17"/>
                <w:szCs w:val="17"/>
                <w:color w:val="auto"/>
              </w:rPr>
              <w:t>March 31,</w:t>
            </w:r>
          </w:p>
        </w:tc>
        <w:tc>
          <w:tcPr>
            <w:tcW w:w="200" w:type="dxa"/>
            <w:vAlign w:val="bottom"/>
          </w:tcPr>
          <w:p>
            <w:pPr>
              <w:spacing w:after="0"/>
              <w:rPr>
                <w:sz w:val="17"/>
                <w:szCs w:val="17"/>
                <w:color w:val="auto"/>
              </w:rPr>
            </w:pPr>
          </w:p>
        </w:tc>
        <w:tc>
          <w:tcPr>
            <w:tcW w:w="1360" w:type="dxa"/>
            <w:vAlign w:val="bottom"/>
          </w:tcPr>
          <w:p>
            <w:pPr>
              <w:jc w:val="right"/>
              <w:ind w:right="214"/>
              <w:spacing w:after="0"/>
              <w:rPr>
                <w:sz w:val="20"/>
                <w:szCs w:val="20"/>
                <w:color w:val="auto"/>
              </w:rPr>
            </w:pPr>
            <w:r>
              <w:rPr>
                <w:rFonts w:ascii="Arial" w:cs="Arial" w:eastAsia="Arial" w:hAnsi="Arial"/>
                <w:sz w:val="17"/>
                <w:szCs w:val="17"/>
                <w:color w:val="auto"/>
                <w:w w:val="97"/>
              </w:rPr>
              <w:t>December 31,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534"/>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ind w:right="534"/>
              <w:spacing w:after="0"/>
              <w:rPr>
                <w:sz w:val="20"/>
                <w:szCs w:val="20"/>
                <w:color w:val="auto"/>
              </w:rPr>
            </w:pPr>
            <w:r>
              <w:rPr>
                <w:rFonts w:ascii="Arial" w:cs="Arial" w:eastAsia="Arial" w:hAnsi="Arial"/>
                <w:sz w:val="17"/>
                <w:szCs w:val="17"/>
                <w:color w:val="auto"/>
              </w:rPr>
              <w:t>2019</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335.3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439.1</w:t>
            </w:r>
          </w:p>
        </w:tc>
        <w:tc>
          <w:tcPr>
            <w:tcW w:w="0" w:type="dxa"/>
            <w:vAlign w:val="bottom"/>
          </w:tcPr>
          <w:p>
            <w:pPr>
              <w:spacing w:after="0"/>
              <w:rPr>
                <w:sz w:val="1"/>
                <w:szCs w:val="1"/>
                <w:color w:val="auto"/>
              </w:rPr>
            </w:pPr>
          </w:p>
        </w:tc>
      </w:tr>
      <w:tr>
        <w:trPr>
          <w:trHeight w:val="22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333.0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319.3</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251.0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235.7</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58.2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977.5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1,058.7</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1,816.9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1,820.1</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988.6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980.8</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828.3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839.3</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70.1</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197.7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192.7</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107.8</w:t>
            </w:r>
          </w:p>
        </w:tc>
        <w:tc>
          <w:tcPr>
            <w:tcW w:w="0" w:type="dxa"/>
            <w:vAlign w:val="bottom"/>
          </w:tcPr>
          <w:p>
            <w:pPr>
              <w:spacing w:after="0"/>
              <w:rPr>
                <w:sz w:val="1"/>
                <w:szCs w:val="1"/>
                <w:color w:val="auto"/>
              </w:rPr>
            </w:pPr>
          </w:p>
        </w:tc>
      </w:tr>
      <w:tr>
        <w:trPr>
          <w:trHeight w:val="226"/>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28.1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29.8</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48"/>
        </w:trPr>
        <w:tc>
          <w:tcPr>
            <w:tcW w:w="79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2,246.5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79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LIABILITIES AND EQUITY</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Notes payable and other current debt</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157.9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73.0</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Other current liabilities</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97.5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91.3</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344.4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341.6</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254.4</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255.0</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50.7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62.4</w:t>
            </w:r>
          </w:p>
        </w:tc>
        <w:tc>
          <w:tcPr>
            <w:tcW w:w="0" w:type="dxa"/>
            <w:vAlign w:val="bottom"/>
          </w:tcPr>
          <w:p>
            <w:pPr>
              <w:spacing w:after="0"/>
              <w:rPr>
                <w:sz w:val="1"/>
                <w:szCs w:val="1"/>
                <w:color w:val="auto"/>
              </w:rPr>
            </w:pP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756.3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768.2</w:t>
            </w:r>
          </w:p>
        </w:tc>
        <w:tc>
          <w:tcPr>
            <w:tcW w:w="0" w:type="dxa"/>
            <w:vAlign w:val="bottom"/>
          </w:tcPr>
          <w:p>
            <w:pPr>
              <w:spacing w:after="0"/>
              <w:rPr>
                <w:sz w:val="1"/>
                <w:szCs w:val="1"/>
                <w:color w:val="auto"/>
              </w:rPr>
            </w:pPr>
          </w:p>
        </w:tc>
      </w:tr>
      <w:tr>
        <w:trPr>
          <w:trHeight w:val="128"/>
        </w:trPr>
        <w:tc>
          <w:tcPr>
            <w:tcW w:w="79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 17)</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980" w:type="dxa"/>
            <w:vAlign w:val="bottom"/>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28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4"/>
        </w:trPr>
        <w:tc>
          <w:tcPr>
            <w:tcW w:w="7980" w:type="dxa"/>
            <w:vAlign w:val="bottom"/>
            <w:shd w:val="clear" w:color="auto" w:fill="CCEEFF"/>
          </w:tcPr>
          <w:p>
            <w:pPr>
              <w:ind w:left="220"/>
              <w:spacing w:after="0" w:line="164" w:lineRule="exact"/>
              <w:rPr>
                <w:sz w:val="20"/>
                <w:szCs w:val="20"/>
                <w:color w:val="auto"/>
              </w:rPr>
            </w:pPr>
            <w:r>
              <w:rPr>
                <w:rFonts w:ascii="Arial" w:cs="Arial" w:eastAsia="Arial" w:hAnsi="Arial"/>
                <w:sz w:val="17"/>
                <w:szCs w:val="17"/>
                <w:color w:val="auto"/>
                <w:w w:val="91"/>
              </w:rPr>
              <w:t>Common stock, par value $0.25 per share; 100.0 million shares authorized; shares issued: 75.3 million and 75.3</w:t>
            </w:r>
          </w:p>
        </w:tc>
        <w:tc>
          <w:tcPr>
            <w:tcW w:w="2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rPr>
              <w:t>18.8</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million; shares outstanding: 73.6 million and 74.1 million</w:t>
            </w:r>
          </w:p>
        </w:tc>
        <w:tc>
          <w:tcPr>
            <w:tcW w:w="2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Capital in excess of par value</w:t>
            </w:r>
          </w:p>
        </w:tc>
        <w:tc>
          <w:tcPr>
            <w:tcW w:w="280" w:type="dxa"/>
            <w:vAlign w:val="bottom"/>
          </w:tcPr>
          <w:p>
            <w:pPr>
              <w:spacing w:after="0"/>
              <w:rPr>
                <w:sz w:val="19"/>
                <w:szCs w:val="19"/>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267.6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74"/>
              <w:spacing w:after="0"/>
              <w:rPr>
                <w:sz w:val="20"/>
                <w:szCs w:val="20"/>
                <w:color w:val="auto"/>
              </w:rPr>
            </w:pPr>
            <w:r>
              <w:rPr>
                <w:rFonts w:ascii="Arial" w:cs="Arial" w:eastAsia="Arial" w:hAnsi="Arial"/>
                <w:sz w:val="17"/>
                <w:szCs w:val="17"/>
                <w:color w:val="auto"/>
              </w:rPr>
              <w:t>272.7</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1,611.8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rPr>
              <w:t>1,549.4</w:t>
            </w:r>
          </w:p>
        </w:tc>
        <w:tc>
          <w:tcPr>
            <w:tcW w:w="0" w:type="dxa"/>
            <w:vAlign w:val="bottom"/>
          </w:tcPr>
          <w:p>
            <w:pPr>
              <w:spacing w:after="0"/>
              <w:rPr>
                <w:sz w:val="1"/>
                <w:szCs w:val="1"/>
                <w:color w:val="auto"/>
              </w:rPr>
            </w:pPr>
          </w:p>
        </w:tc>
      </w:tr>
      <w:tr>
        <w:trPr>
          <w:trHeight w:val="225"/>
        </w:trPr>
        <w:tc>
          <w:tcPr>
            <w:tcW w:w="7980" w:type="dxa"/>
            <w:vAlign w:val="bottom"/>
          </w:tcPr>
          <w:p>
            <w:pPr>
              <w:ind w:left="22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(192.3)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31"/>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Treasury stock, at cost (1.7 million and 1.2 million shares)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(215.7)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19"/>
        </w:trPr>
        <w:tc>
          <w:tcPr>
            <w:tcW w:w="7980" w:type="dxa"/>
            <w:vAlign w:val="bottom"/>
          </w:tcPr>
          <w:p>
            <w:pPr>
              <w:ind w:left="20"/>
              <w:spacing w:after="0"/>
              <w:rPr>
                <w:sz w:val="20"/>
                <w:szCs w:val="20"/>
                <w:color w:val="auto"/>
              </w:rPr>
            </w:pPr>
            <w:r>
              <w:rPr>
                <w:rFonts w:ascii="Arial" w:cs="Arial" w:eastAsia="Arial" w:hAnsi="Arial"/>
                <w:sz w:val="17"/>
                <w:szCs w:val="17"/>
                <w:color w:val="auto"/>
              </w:rPr>
              <w:t>Total Equity</w:t>
            </w: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1,490.2</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74"/>
              <w:spacing w:after="0"/>
              <w:rPr>
                <w:sz w:val="20"/>
                <w:szCs w:val="20"/>
                <w:color w:val="auto"/>
              </w:rPr>
            </w:pPr>
            <w:r>
              <w:rPr>
                <w:rFonts w:ascii="Arial" w:cs="Arial" w:eastAsia="Arial" w:hAnsi="Arial"/>
                <w:sz w:val="17"/>
                <w:szCs w:val="17"/>
                <w:color w:val="auto"/>
              </w:rPr>
              <w:t>1,573.2</w:t>
            </w:r>
          </w:p>
        </w:tc>
        <w:tc>
          <w:tcPr>
            <w:tcW w:w="0" w:type="dxa"/>
            <w:vAlign w:val="bottom"/>
          </w:tcPr>
          <w:p>
            <w:pPr>
              <w:spacing w:after="0"/>
              <w:rPr>
                <w:sz w:val="1"/>
                <w:szCs w:val="1"/>
                <w:color w:val="auto"/>
              </w:rPr>
            </w:pPr>
          </w:p>
        </w:tc>
      </w:tr>
      <w:tr>
        <w:trPr>
          <w:trHeight w:val="31"/>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Equity</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2,246.5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2,341.4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36" w:gutter="0" w:footer="0" w:header="0"/>
          <w:type w:val="continuous"/>
        </w:sectPr>
      </w:pPr>
    </w:p>
    <w:bookmarkStart w:id="5" w:name="page6"/>
    <w:bookmarkEnd w:id="5"/>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32"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22860</wp:posOffset>
            </wp:positionV>
            <wp:extent cx="2065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restructuring charges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Pension settlement charge</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payments in excess of acquisition-date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Other non-cash items, net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47.6</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42"/>
        </w:trPr>
        <w:tc>
          <w:tcPr>
            <w:tcW w:w="79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0.1</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142"/>
        </w:trPr>
        <w:tc>
          <w:tcPr>
            <w:tcW w:w="79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Borrowings under revolving credit agreements</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28.0</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Repayments under revolving credit agreements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rates on cash</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62"/>
        </w:trPr>
        <w:tc>
          <w:tcPr>
            <w:tcW w:w="79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439.1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337.4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335.3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265.5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ind w:right="20"/>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months ended March 31, 2020 should be read in conjunction with the consolidated financial statements and notes thereto of West Pharmaceutical Services, Inc. and its majority-owned subsidiaries (which may be referred to as </w:t>
      </w:r>
      <w:hyperlink r:id="rId19">
        <w:r>
          <w:rPr>
            <w:rFonts w:ascii="Arial" w:cs="Arial" w:eastAsia="Arial" w:hAnsi="Arial"/>
            <w:sz w:val="16"/>
            <w:szCs w:val="16"/>
            <w:color w:val="auto"/>
          </w:rPr>
          <w:t>“West”, the “Company”, “we”, “us” or “our”) appearing in our Annual Report on Form 10-K for the year ended December 31, 2019 (the “</w:t>
        </w:r>
        <w:r>
          <w:rPr>
            <w:rFonts w:ascii="Arial" w:cs="Arial" w:eastAsia="Arial" w:hAnsi="Arial"/>
            <w:sz w:val="16"/>
            <w:szCs w:val="16"/>
            <w:u w:val="single" w:color="auto"/>
            <w:color w:val="0000FF"/>
          </w:rPr>
          <w:t>2019 Annual</w:t>
        </w:r>
      </w:hyperlink>
      <w:r>
        <w:rPr>
          <w:rFonts w:ascii="Arial" w:cs="Arial" w:eastAsia="Arial" w:hAnsi="Arial"/>
          <w:sz w:val="16"/>
          <w:szCs w:val="16"/>
          <w:color w:val="auto"/>
        </w:rPr>
        <w:t xml:space="preserve"> </w:t>
      </w:r>
      <w:hyperlink r:id="rId19">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West has been actively monitoring the novel coronavirus (“COVID-19”) situation and its impact globally. The financial results for the three months ended March 31, 2020 were not significantly impacted by COVID-19 and our production facilities continued to operate during the quarter as they had prior to the COVID-19 pandemic with very little change, other than for enhanced safety measures intended to prevent the spread of the virus. The remote working arrangements and travel restrictions imposed by various governments had limited impact on our ability to maintain operations during the quarter, as our manufacturing operations have generally been exempted from stay-at-home orders.</w:t>
      </w:r>
    </w:p>
    <w:p>
      <w:pPr>
        <w:spacing w:after="0" w:line="21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April 2019, we acquired the business of our distributor in South Korea for $18.9 million. As a result of the acquisition, we recorded inventories, property, plant and equipment, goodwill and a customer relationships intangible asset of $4.5 million, $0.6 million, $2.6 million and $11.2 million, respectively. The goodwill was recorded within our Proprietary Products reportable segment. The results of this acquisition have been included in our condensed consolidated financial statements since the acquisition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April 2019, the Financial Accounting Standards Board (“FASB”) issued guidance which clarifies and improves areas related to the new credit losses, hedging, and recognition and measurement standards. This guidance is effective for the same fiscal years in which the original standards are effective or, if already implemented, annual periods beginning after the issuance of this guidance. We adopted this guidance as of January 1, 2020, on a prospective basis. The adoption did not have a material impact on our financial statements.</w:t>
      </w:r>
    </w:p>
    <w:p>
      <w:pPr>
        <w:spacing w:after="0" w:line="21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 August 2018, the FASB issued guidance to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The accounting for the service element of a hosting arrangement that is a service contract is not affected by this update. This guidance is effective for fiscal years, and interim periods within those years, beginning after December 15, 2019. We adopted this guidance as of January 1, 2020, on a prospective basis. The adoption did not have a material impact on our financial statements.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August 2018, the FASB issued guidance which modifies the disclosure requirements on fair value measurements by removing, modifying, or adding certain disclosures. This guidance is effective for fiscal years, and interim periods within those years, beginning after December 15, 2019. We adopted this guidance as of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 w:name="page8"/>
    <w:bookmarkEnd w:id="7"/>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adoption did not have a material impact on our financial statements. Please refer to Note 10,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for additional details.</w:t>
      </w:r>
    </w:p>
    <w:p>
      <w:pPr>
        <w:spacing w:after="0" w:line="26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June 2016, the FASB issued guidance which provides financial statement users with more decision-useful information about the expected credit losses on financial instruments and other commitments held by a reporting entity, including accounts receivable, at each reporting date. Under the previous guidance, an entity reflected credit losses on financial assets measured on an amortized cost basis only when it was probable that losses had incurred, generally considering only past events and current conditions when determining incurred loss. The new guidance requires the recognition of an allowance that reflects the current estimate of credit losses expected to be incurred over the life of the financial asset, based not only on historical experience and current conditions, but also on reasonable and supportable forecasts. This guidance is effective for fiscal years, and interim periods within those years, beginning after December 15, 2019. We adopted this guidance as of January 1, 2020, on a modified retrospective basis, to the accounts receivable and contract asset balances as of January 1, 2020. Under the current expected credit loss model, we have adopted a provision matrix approach, utilizing historical loss rates based on the number of days past due, adjusted to reflect current economic conditions and forecasts of future economic conditions. The effect of the adoption on the financial statement line items of accounts receivable and contract assets was not material as of January 1, 2020. As a result of our adoption, we recorded a cumulative-effect adjustment of $0.1 million within retained earnings in our condensed consolidated balance sheet as of January 1, 2020, to reflect the incremental estimated lifetime expected credit losses on the accounts receivable balance as of January 1, 2020. We have not presented the amortized cost basis within each credit quality indicator by year of origination as all of our accounts receivable are due within one year or less.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Issued Not Yet Adopted</w:t>
      </w:r>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March 2020, the FASB issued guidance which provides optional expedients and exceptions to address the impact of reference rate reform where contracts, hedging relationships and other transactions that reference the London Interbank Offered Rate (“LIBOR”) or another reference rate need to be discontinued. This guidance was effective upon issuance and generally can be applied through December 31, 2022. We are currently evaluating </w:t>
      </w:r>
      <w:r>
        <w:rPr>
          <w:rFonts w:ascii="Arial" w:cs="Arial" w:eastAsia="Arial" w:hAnsi="Arial"/>
          <w:sz w:val="17"/>
          <w:szCs w:val="17"/>
          <w:color w:val="252525"/>
        </w:rPr>
        <w:t>the impact</w:t>
      </w:r>
      <w:r>
        <w:rPr>
          <w:rFonts w:ascii="Arial" w:cs="Arial" w:eastAsia="Arial" w:hAnsi="Arial"/>
          <w:sz w:val="17"/>
          <w:szCs w:val="17"/>
          <w:color w:val="auto"/>
        </w:rPr>
        <w:t xml:space="preserve"> </w:t>
      </w:r>
      <w:r>
        <w:rPr>
          <w:rFonts w:ascii="Arial" w:cs="Arial" w:eastAsia="Arial" w:hAnsi="Arial"/>
          <w:sz w:val="17"/>
          <w:szCs w:val="17"/>
          <w:color w:val="252525"/>
        </w:rPr>
        <w:t>to our financial statements, the transition, and disclosure requirements of this guidance</w:t>
      </w:r>
      <w:r>
        <w:rPr>
          <w:rFonts w:ascii="Arial" w:cs="Arial" w:eastAsia="Arial" w:hAnsi="Arial"/>
          <w:sz w:val="17"/>
          <w:szCs w:val="17"/>
          <w:color w:val="000000"/>
        </w:rPr>
        <w:t>.</w:t>
      </w:r>
    </w:p>
    <w:p>
      <w:pPr>
        <w:spacing w:after="0" w:line="19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December 2019, the FASB issued guidance which simplifies the accounting for income taxes by removing certain exceptions to the general principles in Accounting Standards Codification (“ASC”) Topic 740 and by clarifying and amending existing ASC Topic 740 guidance. This guidance is effective for fiscal years, and interim periods within those years, beginning after December 15, 2020. Early adoption is permitted. We are currently evaluating our adoption timing and the impact that this guidance may have on our financial statements.</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August 2018, the FASB issued guidance which modifies the disclosure requirements for defined benefit pension plans and other postretirement plans. The guidance removes disclosures that no longer are considered cost beneficial, clarifies the specific requirements of disclosures, and adds disclosure requirements identified as relevant. This guidance is effective for fiscal years ending after December 15, 2020. Early adoption is permitted. We believe that the adoption of this guidance will not have a material impact on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revenue results from the sale of goods or services and reflects the consideration to which we expect to be entitled in exchange for those goods or services. We record revenue based on a five-step model, in accordance with ASC Topic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8" w:name="page9"/>
    <w:bookmarkEnd w:id="8"/>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The following table presents the approximate percentage of our net sales by market group:</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7880" w:type="dxa"/>
            <w:vAlign w:val="bottom"/>
          </w:tcPr>
          <w:p>
            <w:pPr>
              <w:spacing w:after="0"/>
              <w:rPr>
                <w:sz w:val="23"/>
                <w:szCs w:val="23"/>
                <w:color w:val="auto"/>
              </w:rPr>
            </w:pPr>
          </w:p>
        </w:tc>
        <w:tc>
          <w:tcPr>
            <w:tcW w:w="336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p>
        </w:tc>
        <w:tc>
          <w:tcPr>
            <w:tcW w:w="2240" w:type="dxa"/>
            <w:vAlign w:val="bottom"/>
            <w:gridSpan w:val="4"/>
          </w:tcPr>
          <w:p>
            <w:pPr>
              <w:jc w:val="center"/>
              <w:ind w:left="1010"/>
              <w:spacing w:after="0"/>
              <w:rPr>
                <w:sz w:val="20"/>
                <w:szCs w:val="20"/>
                <w:color w:val="auto"/>
              </w:rPr>
            </w:pPr>
            <w:r>
              <w:rPr>
                <w:rFonts w:ascii="Arial" w:cs="Arial" w:eastAsia="Arial" w:hAnsi="Arial"/>
                <w:sz w:val="18"/>
                <w:szCs w:val="18"/>
                <w:color w:val="auto"/>
                <w:w w:val="92"/>
              </w:rPr>
              <w:t>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Generics</w:t>
            </w:r>
          </w:p>
        </w:tc>
        <w:tc>
          <w:tcPr>
            <w:tcW w:w="16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6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percentage of our net sales by product category:</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8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7880" w:type="dxa"/>
            <w:vAlign w:val="bottom"/>
          </w:tcPr>
          <w:p>
            <w:pPr>
              <w:spacing w:after="0"/>
              <w:rPr>
                <w:sz w:val="23"/>
                <w:szCs w:val="23"/>
                <w:color w:val="auto"/>
              </w:rPr>
            </w:pPr>
          </w:p>
        </w:tc>
        <w:tc>
          <w:tcPr>
            <w:tcW w:w="336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p>
        </w:tc>
        <w:tc>
          <w:tcPr>
            <w:tcW w:w="2240" w:type="dxa"/>
            <w:vAlign w:val="bottom"/>
            <w:gridSpan w:val="4"/>
          </w:tcPr>
          <w:p>
            <w:pPr>
              <w:jc w:val="center"/>
              <w:ind w:left="1010"/>
              <w:spacing w:after="0"/>
              <w:rPr>
                <w:sz w:val="20"/>
                <w:szCs w:val="20"/>
                <w:color w:val="auto"/>
              </w:rPr>
            </w:pPr>
            <w:r>
              <w:rPr>
                <w:rFonts w:ascii="Arial" w:cs="Arial" w:eastAsia="Arial" w:hAnsi="Arial"/>
                <w:sz w:val="18"/>
                <w:szCs w:val="18"/>
                <w:color w:val="auto"/>
                <w:w w:val="92"/>
              </w:rPr>
              <w:t>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High-Value Components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Standard Packaging</w:t>
            </w:r>
          </w:p>
        </w:tc>
        <w:tc>
          <w:tcPr>
            <w:tcW w:w="162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Delivery Devices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620" w:type="dxa"/>
            <w:vAlign w:val="bottom"/>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following table presents the approximate percentage of our net sales by geographic location:</w:t>
            </w: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78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880" w:type="dxa"/>
            <w:vAlign w:val="bottom"/>
          </w:tcPr>
          <w:p>
            <w:pPr>
              <w:spacing w:after="0"/>
              <w:rPr>
                <w:sz w:val="24"/>
                <w:szCs w:val="24"/>
                <w:color w:val="auto"/>
              </w:rPr>
            </w:pPr>
          </w:p>
        </w:tc>
        <w:tc>
          <w:tcPr>
            <w:tcW w:w="3360" w:type="dxa"/>
            <w:vAlign w:val="bottom"/>
            <w:gridSpan w:val="5"/>
          </w:tcPr>
          <w:p>
            <w:pPr>
              <w:jc w:val="center"/>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p>
        </w:tc>
        <w:tc>
          <w:tcPr>
            <w:tcW w:w="2240" w:type="dxa"/>
            <w:vAlign w:val="bottom"/>
            <w:gridSpan w:val="4"/>
          </w:tcPr>
          <w:p>
            <w:pPr>
              <w:jc w:val="center"/>
              <w:ind w:left="1010"/>
              <w:spacing w:after="0"/>
              <w:rPr>
                <w:sz w:val="20"/>
                <w:szCs w:val="20"/>
                <w:color w:val="auto"/>
              </w:rPr>
            </w:pPr>
            <w:r>
              <w:rPr>
                <w:rFonts w:ascii="Arial" w:cs="Arial" w:eastAsia="Arial" w:hAnsi="Arial"/>
                <w:sz w:val="18"/>
                <w:szCs w:val="18"/>
                <w:color w:val="auto"/>
                <w:w w:val="92"/>
              </w:rPr>
              <w:t>March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62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62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7"/>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80" w:type="dxa"/>
            <w:vAlign w:val="bottom"/>
            <w:vMerge w:val="continue"/>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78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0120" w:type="dxa"/>
            <w:vAlign w:val="bottom"/>
            <w:gridSpan w:val="5"/>
          </w:tcPr>
          <w:p>
            <w:pPr>
              <w:spacing w:after="0"/>
              <w:rPr>
                <w:sz w:val="20"/>
                <w:szCs w:val="20"/>
                <w:color w:val="auto"/>
              </w:rPr>
            </w:pPr>
            <w:r>
              <w:rPr>
                <w:rFonts w:ascii="Arial" w:cs="Arial" w:eastAsia="Arial" w:hAnsi="Arial"/>
                <w:sz w:val="18"/>
                <w:szCs w:val="18"/>
                <w:color w:val="auto"/>
                <w:w w:val="98"/>
              </w:rPr>
              <w:t>The following table summarizes our contract assets and liabilities, excluding contract assets included in accounts receivable, net:</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tcPr>
          <w:p>
            <w:pPr>
              <w:spacing w:after="0"/>
              <w:rPr>
                <w:sz w:val="24"/>
                <w:szCs w:val="24"/>
                <w:color w:val="auto"/>
              </w:rPr>
            </w:pPr>
          </w:p>
        </w:tc>
        <w:tc>
          <w:tcPr>
            <w:tcW w:w="224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December 31, 2019</w:t>
            </w:r>
          </w:p>
        </w:tc>
        <w:tc>
          <w:tcPr>
            <w:tcW w:w="224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Contract assets, March 31, 2020</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22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December 31, 2019</w:t>
            </w:r>
          </w:p>
        </w:tc>
        <w:tc>
          <w:tcPr>
            <w:tcW w:w="224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Deferred income, March 31, 2020</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22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2020, $10.2 million of revenue was recognized that was included in deferred income at the beginning of the year.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March 31, 2020, there was $5.4 million of unearned income related to this payment, of which $0.9 million was included in other current liabilities and $4.5 million was included in other long-term liabilities. The unearned income is being recognized as income on a straight-line basis over the remaining term of the agreement. The agreement does not include a future minimum purchase commitment from the customer.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Financing</w:t>
      </w:r>
    </w:p>
    <w:p>
      <w:pPr>
        <w:spacing w:after="0" w:line="28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entered into supply chain financing agreements with certain banks, pursuant to which we offer for sale certain accounts receivable to such banks from time to time, subject to the terms of the applicable agreements. These transactions result in a reduction in accounts receivable, as the agreements transfer effective control over, and credit risk related to, the receivables to the banks. These agreements do not allow for recourse in the event of uncollectibility, and we do not retain any interest in the underlying accounts receivable once sold. As of March 31, 2020 and 2019, we derecognized accounts receivable of $3.3 million and $1.8 million, respectively, under these agreements. Discount fees related to the sale of such accounts receivable on our condensed consolidated income statements for the three months ended March 31, 2020 and 2019 were not material.</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Voluntary Recall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On January 24, 2019, we issued a voluntary recall of our Vial2Bag</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 line due to reports of potential unpredictable or variable dosing under certain conditions. Our fourth quarter 2018 results included an $11.3 million provision for product returns, recorded as a reduction of sales, partially offset by a reduction in cost of goods sold, reflecting our inventory balance for these devices at December 31, 2018. During three months ended March 31, 2019, we recorded a provision of $4.5 million for inventory returns from our customers and related in-house inventory, partially offset by a reduction in our provision for product returns. We continue to work to get the product back on the market.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2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74.1</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effect of equity awards, based on the treasury stock method</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r>
      <w:tr>
        <w:trPr>
          <w:trHeight w:val="21"/>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three months ended March 31, 2020 and 2019, there were 0.1 million and 0.6 million shares, respectively, from stock-based compensation plans not included in the computation of diluted net income per share because their impact was antidilutive.</w:t>
      </w:r>
    </w:p>
    <w:p>
      <w:pPr>
        <w:spacing w:after="0" w:line="19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In December 2019, we announced a share repurchase program for calendar-year 2020 authorizing the repurchase of up to 848,000 shares of our common stock from time to time on the open market or in privately-negotiated transactions as permitted under the Securities Exchange Act of 1934 Rule 10b-18. The number of shares repurchased and the timing of such transactions will depend on a variety of factors, including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March 31, 2020, we purchased 761,500 shares of our common stock under the program at a cost of $115.5 million, or an average price of $151.65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valued at the lower of cost (on a first-in, first-out basis) and net realizable value. Inventory balances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100.9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37.4</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97.4</w:t>
            </w:r>
          </w:p>
        </w:tc>
      </w:tr>
      <w:tr>
        <w:trPr>
          <w:trHeight w:val="237"/>
        </w:trPr>
        <w:tc>
          <w:tcPr>
            <w:tcW w:w="79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235.7</w:t>
            </w:r>
          </w:p>
        </w:tc>
      </w:tr>
      <w:tr>
        <w:trPr>
          <w:trHeight w:val="27"/>
        </w:trPr>
        <w:tc>
          <w:tcPr>
            <w:tcW w:w="7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56"/>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0.2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were as follows:</w:t>
      </w:r>
    </w:p>
    <w:p>
      <w:pPr>
        <w:spacing w:after="0" w:line="6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22860</wp:posOffset>
            </wp:positionV>
            <wp:extent cx="20656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and December 31, 2019, the weighted average remaining lease term for operating leases was 11.4 years and 11.7 years,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December 31, 2019, the weighted average discount rate was 3.77% and 3.76%,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1" w:name="page12"/>
    <w:bookmarkEnd w:id="11"/>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3"/>
                <w:szCs w:val="23"/>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3"/>
                <w:szCs w:val="23"/>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Year</w:t>
            </w:r>
          </w:p>
        </w:tc>
        <w:tc>
          <w:tcPr>
            <w:tcW w:w="260" w:type="dxa"/>
            <w:vAlign w:val="bottom"/>
          </w:tcPr>
          <w:p>
            <w:pPr>
              <w:spacing w:after="0"/>
              <w:rPr>
                <w:sz w:val="23"/>
                <w:szCs w:val="23"/>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10.4</w:t>
            </w:r>
          </w:p>
        </w:tc>
      </w:tr>
      <w:tr>
        <w:trPr>
          <w:trHeight w:val="27"/>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7.8</w:t>
            </w:r>
          </w:p>
        </w:tc>
      </w:tr>
      <w:tr>
        <w:trPr>
          <w:trHeight w:val="27"/>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w:t>
            </w:r>
          </w:p>
        </w:tc>
      </w:tr>
      <w:tr>
        <w:trPr>
          <w:trHeight w:val="243"/>
        </w:trPr>
        <w:tc>
          <w:tcPr>
            <w:tcW w:w="80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41.8</w:t>
            </w:r>
          </w:p>
        </w:tc>
      </w:tr>
      <w:tr>
        <w:trPr>
          <w:trHeight w:val="27"/>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8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w:t>
            </w:r>
          </w:p>
        </w:tc>
      </w:tr>
      <w:tr>
        <w:trPr>
          <w:trHeight w:val="237"/>
        </w:trPr>
        <w:tc>
          <w:tcPr>
            <w:tcW w:w="8020" w:type="dxa"/>
            <w:vAlign w:val="bottom"/>
          </w:tcPr>
          <w:p>
            <w:pPr>
              <w:ind w:left="20"/>
              <w:spacing w:after="0"/>
              <w:rPr>
                <w:sz w:val="20"/>
                <w:szCs w:val="20"/>
                <w:color w:val="auto"/>
              </w:rPr>
            </w:pPr>
            <w:r>
              <w:rPr>
                <w:rFonts w:ascii="Arial" w:cs="Arial" w:eastAsia="Arial" w:hAnsi="Arial"/>
                <w:sz w:val="18"/>
                <w:szCs w:val="18"/>
                <w:color w:val="auto"/>
              </w:rPr>
              <w:t>Less: imputed lease interest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r>
      <w:tr>
        <w:trPr>
          <w:trHeight w:val="27"/>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At March 31, 2020 and December 31, 2019, the aggregate carrying amount of our investment in affiliated companies that are accounted for under the equity method was $184.3 million and $179.3 million, respectively, and the aggregate carrying amount of our investment in affiliated companies that are not accounted for under the equity method was $13.4 million at both period-ends.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On November 1, 2019, in connection with the amendment of certain commercial agreements with Daikyo Seiko, Ltd. (“Daikyo”), we increased our ownership interest from 25% to 49% in Daikyo in exchange for $85.1 million in cash and $4.9 million in shares of our treasury stock to certain stockholders of Daikyo. We believe that the increase in ownership interest will not have a material impact on our financial statements.</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purchases from, and royalty payments made to, affiliates totaled $32.5 million for the three months ended March 31, 2020, as compared to $24.6 million for the same period in 2019. As of March 31, 2020 and December 31, 2019, the payable balance due to affiliates was $22.3 million and $20.8 million, respectively. The majority of these transactions related to a distributorship agreement with Daikyo that allows us to purchase and re-sell Daikyo products.</w:t>
      </w:r>
    </w:p>
    <w:p>
      <w:pPr>
        <w:spacing w:after="0" w:line="21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Sales to affiliates were $2.2 million for both the three months ended March 31, 2020 and 2019. As of March 31, 2020 and December 31, 2019, the receivable balance due from affiliates was $2.6 million and $1.9 million, respectively.</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Please refer to Note 7, </w:t>
      </w:r>
      <w:r>
        <w:rPr>
          <w:rFonts w:ascii="Arial" w:cs="Arial" w:eastAsia="Arial" w:hAnsi="Arial"/>
          <w:sz w:val="18"/>
          <w:szCs w:val="18"/>
          <w:i w:val="1"/>
          <w:iCs w:val="1"/>
          <w:color w:val="auto"/>
        </w:rPr>
        <w:t>Affiliated Companies</w:t>
      </w:r>
      <w:r>
        <w:rPr>
          <w:rFonts w:ascii="Arial" w:cs="Arial" w:eastAsia="Arial" w:hAnsi="Arial"/>
          <w:sz w:val="18"/>
          <w:szCs w:val="18"/>
          <w:color w:val="auto"/>
        </w:rPr>
        <w:t xml:space="preserve">, to the consolidated financial statements in our </w:t>
      </w:r>
      <w:hyperlink r:id="rId19">
        <w:r>
          <w:rPr>
            <w:rFonts w:ascii="Arial" w:cs="Arial" w:eastAsia="Arial" w:hAnsi="Arial"/>
            <w:sz w:val="18"/>
            <w:szCs w:val="18"/>
            <w:u w:val="single" w:color="auto"/>
            <w:color w:val="0000FF"/>
          </w:rPr>
          <w:t>2019 Annual Report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March 31, 2020.</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March 31,</w:t>
            </w:r>
          </w:p>
        </w:tc>
        <w:tc>
          <w:tcPr>
            <w:tcW w:w="20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w w:val="93"/>
              </w:rPr>
              <w:t>December 31,</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due December 31, 2024 (2.78%)</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90.0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Series A notes, due July 5, 2022 (3.67%)</w:t>
            </w:r>
          </w:p>
        </w:tc>
        <w:tc>
          <w:tcPr>
            <w:tcW w:w="2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42.0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Series C notes, due July 5, 2027 (4.02%)</w:t>
            </w:r>
          </w:p>
        </w:tc>
        <w:tc>
          <w:tcPr>
            <w:tcW w:w="26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73.0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258.0</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0.7</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257.3</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Please refer to Note 10, </w:t>
      </w:r>
      <w:r>
        <w:rPr>
          <w:rFonts w:ascii="Arial" w:cs="Arial" w:eastAsia="Arial" w:hAnsi="Arial"/>
          <w:sz w:val="16"/>
          <w:szCs w:val="16"/>
          <w:i w:val="1"/>
          <w:iCs w:val="1"/>
          <w:color w:val="auto"/>
        </w:rPr>
        <w:t>Debt</w:t>
      </w:r>
      <w:r>
        <w:rPr>
          <w:rFonts w:ascii="Arial" w:cs="Arial" w:eastAsia="Arial" w:hAnsi="Arial"/>
          <w:sz w:val="16"/>
          <w:szCs w:val="16"/>
          <w:color w:val="auto"/>
        </w:rPr>
        <w:t xml:space="preserve">, to the consolidated financial statements in our </w:t>
      </w:r>
      <w:hyperlink r:id="rId19">
        <w:r>
          <w:rPr>
            <w:rFonts w:ascii="Arial" w:cs="Arial" w:eastAsia="Arial" w:hAnsi="Arial"/>
            <w:sz w:val="16"/>
            <w:szCs w:val="16"/>
            <w:u w:val="single" w:color="auto"/>
            <w:color w:val="0000FF"/>
          </w:rPr>
          <w:t>2019 Annual Report</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details regarding our debt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 Credit Facility</w:t>
      </w:r>
    </w:p>
    <w:p>
      <w:pPr>
        <w:spacing w:after="0" w:line="25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March 31, 2020, the borrowing capacity available under our $300.0 million multi-currency revolving credit facility (the “Credit Facility”), including outstanding letters of credit of $2.5 million, was $297.5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 - Term Loan</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At March 31, 2020, we had $89.4 million in borrowings under the Term Loan, of which $2.3 million was classified as current and $87.1 million was classified as long-term. Please refer to Note 9, </w:t>
      </w:r>
      <w:r>
        <w:rPr>
          <w:rFonts w:ascii="Arial" w:cs="Arial" w:eastAsia="Arial" w:hAnsi="Arial"/>
          <w:sz w:val="18"/>
          <w:szCs w:val="18"/>
          <w:i w:val="1"/>
          <w:iCs w:val="1"/>
          <w:color w:val="auto"/>
        </w:rPr>
        <w:t>Derivative Financial Instruments</w:t>
      </w:r>
      <w:r>
        <w:rPr>
          <w:rFonts w:ascii="Arial" w:cs="Arial" w:eastAsia="Arial" w:hAnsi="Arial"/>
          <w:sz w:val="18"/>
          <w:szCs w:val="18"/>
          <w:color w:val="auto"/>
        </w:rPr>
        <w:t>, for a discussion of the foreign currency hedge associated with the Term Loan.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entered into forward exchange contracts, designated as fair value hedges, to manage our exposure to fluctuating foreign exchange rates on cross-currency intercompany loans. As of both March 31, 2020 and December 31, 2019, the total amount of these forward exchange contracts was Singapore Dollar (“SGD”) 601.5 million and $13.4 million.</w:t>
      </w:r>
    </w:p>
    <w:p>
      <w:pPr>
        <w:spacing w:after="0" w:line="21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w:t>
      </w:r>
    </w:p>
    <w:p>
      <w:pPr>
        <w:sectPr>
          <w:pgSz w:w="11900" w:h="16838" w:orient="portrait"/>
          <w:cols w:equalWidth="0" w:num="1">
            <w:col w:w="11140"/>
          </w:cols>
          <w:pgMar w:left="320" w:top="13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type w:val="continuous"/>
        </w:sectPr>
      </w:pPr>
    </w:p>
    <w:bookmarkStart w:id="13" w:name="page14"/>
    <w:bookmarkEnd w:id="13"/>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denominated in foreign currencies. As of March 31, 2020,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40" w:type="dxa"/>
            <w:vAlign w:val="bottom"/>
          </w:tcPr>
          <w:p>
            <w:pPr>
              <w:jc w:val="right"/>
              <w:ind w:right="2150"/>
              <w:spacing w:after="0"/>
              <w:rPr>
                <w:sz w:val="20"/>
                <w:szCs w:val="20"/>
                <w:color w:val="auto"/>
              </w:rPr>
            </w:pPr>
            <w:r>
              <w:rPr>
                <w:rFonts w:ascii="Arial" w:cs="Arial" w:eastAsia="Arial" w:hAnsi="Arial"/>
                <w:sz w:val="18"/>
                <w:szCs w:val="18"/>
                <w:b w:val="1"/>
                <w:bCs w:val="1"/>
                <w:color w:val="auto"/>
                <w:w w:val="87"/>
              </w:rPr>
              <w:t>Sell</w:t>
            </w: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Currency</w:t>
            </w:r>
          </w:p>
        </w:tc>
        <w:tc>
          <w:tcPr>
            <w:tcW w:w="2500" w:type="dxa"/>
            <w:vAlign w:val="bottom"/>
            <w:gridSpan w:val="2"/>
          </w:tcPr>
          <w:p>
            <w:pPr>
              <w:ind w:left="840"/>
              <w:spacing w:after="0"/>
              <w:rPr>
                <w:sz w:val="20"/>
                <w:szCs w:val="20"/>
                <w:color w:val="auto"/>
              </w:rPr>
            </w:pPr>
            <w:r>
              <w:rPr>
                <w:rFonts w:ascii="Arial" w:cs="Arial" w:eastAsia="Arial" w:hAnsi="Arial"/>
                <w:sz w:val="18"/>
                <w:szCs w:val="18"/>
                <w:b w:val="1"/>
                <w:bCs w:val="1"/>
                <w:color w:val="auto"/>
              </w:rPr>
              <w:t>Purchase</w:t>
            </w:r>
          </w:p>
        </w:tc>
        <w:tc>
          <w:tcPr>
            <w:tcW w:w="2240" w:type="dxa"/>
            <w:vAlign w:val="bottom"/>
          </w:tcPr>
          <w:p>
            <w:pPr>
              <w:jc w:val="right"/>
              <w:ind w:right="770"/>
              <w:spacing w:after="0"/>
              <w:rPr>
                <w:sz w:val="20"/>
                <w:szCs w:val="20"/>
                <w:color w:val="auto"/>
              </w:rPr>
            </w:pPr>
            <w:r>
              <w:rPr>
                <w:rFonts w:ascii="Arial" w:cs="Arial" w:eastAsia="Arial" w:hAnsi="Arial"/>
                <w:sz w:val="18"/>
                <w:szCs w:val="18"/>
                <w:b w:val="1"/>
                <w:bCs w:val="1"/>
                <w:color w:val="auto"/>
              </w:rPr>
              <w:t>USD</w:t>
            </w:r>
          </w:p>
        </w:tc>
        <w:tc>
          <w:tcPr>
            <w:tcW w:w="2540" w:type="dxa"/>
            <w:vAlign w:val="bottom"/>
          </w:tcPr>
          <w:p>
            <w:pPr>
              <w:jc w:val="right"/>
              <w:ind w:right="910"/>
              <w:spacing w:after="0"/>
              <w:rPr>
                <w:sz w:val="20"/>
                <w:szCs w:val="20"/>
                <w:color w:val="auto"/>
              </w:rPr>
            </w:pPr>
            <w:r>
              <w:rPr>
                <w:rFonts w:ascii="Arial" w:cs="Arial" w:eastAsia="Arial" w:hAnsi="Arial"/>
                <w:sz w:val="18"/>
                <w:szCs w:val="18"/>
                <w:b w:val="1"/>
                <w:bCs w:val="1"/>
                <w:color w:val="auto"/>
              </w:rPr>
              <w:t>Euro</w:t>
            </w:r>
          </w:p>
        </w:tc>
      </w:tr>
      <w:tr>
        <w:trPr>
          <w:trHeight w:val="27"/>
        </w:trPr>
        <w:tc>
          <w:tcPr>
            <w:tcW w:w="38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USD</w:t>
            </w:r>
          </w:p>
        </w:tc>
        <w:tc>
          <w:tcPr>
            <w:tcW w:w="2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380" w:type="dxa"/>
            <w:vAlign w:val="bottom"/>
          </w:tcPr>
          <w:p>
            <w:pPr>
              <w:jc w:val="right"/>
              <w:ind w:right="50"/>
              <w:spacing w:after="0"/>
              <w:rPr>
                <w:sz w:val="20"/>
                <w:szCs w:val="20"/>
                <w:color w:val="auto"/>
              </w:rPr>
            </w:pPr>
            <w:r>
              <w:rPr>
                <w:rFonts w:ascii="Arial" w:cs="Arial" w:eastAsia="Arial" w:hAnsi="Arial"/>
                <w:sz w:val="18"/>
                <w:szCs w:val="18"/>
                <w:color w:val="auto"/>
              </w:rPr>
              <w:t>9,175.8</w:t>
            </w:r>
          </w:p>
        </w:tc>
        <w:tc>
          <w:tcPr>
            <w:tcW w:w="12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45.2</w:t>
            </w:r>
          </w:p>
        </w:tc>
        <w:tc>
          <w:tcPr>
            <w:tcW w:w="2540" w:type="dxa"/>
            <w:vAlign w:val="bottom"/>
          </w:tcPr>
          <w:p>
            <w:pPr>
              <w:jc w:val="right"/>
              <w:ind w:right="70"/>
              <w:spacing w:after="0"/>
              <w:rPr>
                <w:sz w:val="20"/>
                <w:szCs w:val="20"/>
                <w:color w:val="auto"/>
              </w:rPr>
            </w:pPr>
            <w:r>
              <w:rPr>
                <w:rFonts w:ascii="Arial" w:cs="Arial" w:eastAsia="Arial" w:hAnsi="Arial"/>
                <w:sz w:val="18"/>
                <w:szCs w:val="18"/>
                <w:color w:val="auto"/>
              </w:rPr>
              <w:t>36.2</w:t>
            </w:r>
          </w:p>
        </w:tc>
      </w:tr>
      <w:tr>
        <w:trPr>
          <w:trHeight w:val="27"/>
        </w:trPr>
        <w:tc>
          <w:tcPr>
            <w:tcW w:w="38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21"/>
                <w:szCs w:val="21"/>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6.7</w:t>
            </w:r>
          </w:p>
        </w:tc>
      </w:tr>
      <w:tr>
        <w:trPr>
          <w:trHeight w:val="27"/>
        </w:trPr>
        <w:tc>
          <w:tcPr>
            <w:tcW w:w="382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2019, we entered into the cross-currency swap for $90 million, which we designated as a hedge of our net investment in Daikyo. The notional amount of the cross-currency swap is ¥9.8 billion ($90 million) and the swap termination date is December 31, 2024. Under the cross-currency swap, we receive floating interest rate payments based on three-month U.S. Dollar (“USD”) LIBOR plus a margin, in return for paying floating interest rate payments based on three-month Japanese Yen (“Yen”) LIBOR plus a margin.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From November 2017 through March 2020, we purchased several series of call options for a total of 374,380 barrels of crude oil to mitigate our exposure to such oil-based surcharges and protect operating cash flows with regards to a portion of our forecasted elastomer purchases.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2020, we had outstanding contracts to purchase 128,191 barrels of crude oil from April 2020 to September 2021, at a weighted-average strike price of $68.06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Please refer to Note 10,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the balance sheet location and fair values of our derivative instruments as of March 31, 2020 and December 31, 2019.</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82" w:lineRule="exact"/>
        <w:rPr>
          <w:sz w:val="20"/>
          <w:szCs w:val="20"/>
          <w:color w:val="auto"/>
        </w:rPr>
      </w:pPr>
    </w:p>
    <w:p>
      <w:pPr>
        <w:ind w:left="6040"/>
        <w:spacing w:after="0"/>
        <w:rPr>
          <w:sz w:val="20"/>
          <w:szCs w:val="20"/>
          <w:color w:val="auto"/>
        </w:rPr>
      </w:pPr>
      <w:r>
        <w:rPr>
          <w:rFonts w:ascii="Arial" w:cs="Arial" w:eastAsia="Arial" w:hAnsi="Arial"/>
          <w:sz w:val="18"/>
          <w:szCs w:val="18"/>
          <w:b w:val="1"/>
          <w:bCs w:val="1"/>
          <w:color w:val="auto"/>
        </w:rPr>
        <w:t>Amount of Gain</w:t>
      </w:r>
    </w:p>
    <w:p>
      <w:pPr>
        <w:spacing w:after="0" w:line="27"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Recognized in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4"/>
        </w:trPr>
        <w:tc>
          <w:tcPr>
            <w:tcW w:w="5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ind w:left="120"/>
              <w:spacing w:after="0"/>
              <w:rPr>
                <w:sz w:val="20"/>
                <w:szCs w:val="20"/>
                <w:color w:val="auto"/>
              </w:rPr>
            </w:pPr>
            <w:r>
              <w:rPr>
                <w:rFonts w:ascii="Arial" w:cs="Arial" w:eastAsia="Arial" w:hAnsi="Arial"/>
                <w:sz w:val="18"/>
                <w:szCs w:val="18"/>
                <w:b w:val="1"/>
                <w:bCs w:val="1"/>
                <w:color w:val="auto"/>
                <w:w w:val="93"/>
              </w:rPr>
              <w:t>Location on Statement of Income</w:t>
            </w:r>
          </w:p>
        </w:tc>
      </w:tr>
      <w:tr>
        <w:trPr>
          <w:trHeight w:val="27"/>
        </w:trPr>
        <w:tc>
          <w:tcPr>
            <w:tcW w:w="5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income</w:t>
            </w:r>
          </w:p>
        </w:tc>
      </w:tr>
      <w:tr>
        <w:trPr>
          <w:trHeight w:val="27"/>
        </w:trPr>
        <w:tc>
          <w:tcPr>
            <w:tcW w:w="5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recognize in earnings the initial value of forward point components on a straight-line basis over the life of the fair value hedge. The amounts recognized in earnings, pre-tax, for forward point components for the three months ended March 31, 2020 and 2019 were $2.0 million and $1.9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Amount of Gain (Loss)</w:t>
            </w:r>
          </w:p>
        </w:tc>
        <w:tc>
          <w:tcPr>
            <w:tcW w:w="25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Recognized in OCI for the</w:t>
            </w:r>
          </w:p>
        </w:tc>
        <w:tc>
          <w:tcPr>
            <w:tcW w:w="240" w:type="dxa"/>
            <w:vAlign w:val="bottom"/>
          </w:tcPr>
          <w:p>
            <w:pPr>
              <w:spacing w:after="0"/>
              <w:rPr>
                <w:sz w:val="23"/>
                <w:szCs w:val="23"/>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b w:val="1"/>
                <w:bCs w:val="1"/>
                <w:color w:val="auto"/>
                <w:w w:val="93"/>
              </w:rPr>
              <w:t>OCI into Income for the</w:t>
            </w:r>
          </w:p>
        </w:tc>
        <w:tc>
          <w:tcPr>
            <w:tcW w:w="120" w:type="dxa"/>
            <w:vAlign w:val="bottom"/>
          </w:tcPr>
          <w:p>
            <w:pPr>
              <w:spacing w:after="0"/>
              <w:rPr>
                <w:sz w:val="23"/>
                <w:szCs w:val="23"/>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Location of (Gain) Loss</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Reclassified from Accumulated</w:t>
            </w:r>
          </w:p>
        </w:tc>
        <w:tc>
          <w:tcPr>
            <w:tcW w:w="0" w:type="dxa"/>
            <w:vAlign w:val="bottom"/>
          </w:tcPr>
          <w:p>
            <w:pPr>
              <w:spacing w:after="0"/>
              <w:rPr>
                <w:sz w:val="1"/>
                <w:szCs w:val="1"/>
                <w:color w:val="auto"/>
              </w:rPr>
            </w:pPr>
          </w:p>
        </w:tc>
      </w:tr>
      <w:tr>
        <w:trPr>
          <w:trHeight w:val="234"/>
        </w:trPr>
        <w:tc>
          <w:tcPr>
            <w:tcW w:w="3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3"/>
              </w:rPr>
              <w:t>March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ind w:left="660"/>
              <w:spacing w:after="0"/>
              <w:rPr>
                <w:sz w:val="20"/>
                <w:szCs w:val="20"/>
                <w:color w:val="auto"/>
              </w:rPr>
            </w:pPr>
            <w:r>
              <w:rPr>
                <w:rFonts w:ascii="Arial" w:cs="Arial" w:eastAsia="Arial" w:hAnsi="Arial"/>
                <w:sz w:val="18"/>
                <w:szCs w:val="18"/>
                <w:b w:val="1"/>
                <w:bCs w:val="1"/>
                <w:color w:val="auto"/>
                <w:w w:val="98"/>
              </w:rPr>
              <w:t>March 31,</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b w:val="1"/>
                <w:bCs w:val="1"/>
                <w:color w:val="auto"/>
                <w:w w:val="94"/>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ind w:left="4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760" w:type="dxa"/>
            <w:vAlign w:val="bottom"/>
            <w:gridSpan w:val="3"/>
          </w:tcPr>
          <w:p>
            <w:pPr>
              <w:ind w:left="400"/>
              <w:spacing w:after="0"/>
              <w:rPr>
                <w:sz w:val="20"/>
                <w:szCs w:val="20"/>
                <w:color w:val="auto"/>
              </w:rPr>
            </w:pPr>
            <w:r>
              <w:rPr>
                <w:rFonts w:ascii="Arial" w:cs="Arial" w:eastAsia="Arial" w:hAnsi="Arial"/>
                <w:sz w:val="18"/>
                <w:szCs w:val="18"/>
                <w:color w:val="auto"/>
              </w:rPr>
              <w:t>(0.1)   Cost of goods and services sold</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currency-denominated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effects of derivative instruments designated as fair value, cash flow, and net investment hedges by line item in our condensed consolidated statements of income: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center"/>
              <w:ind w:right="29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vMerge w:val="restart"/>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36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7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 of Loss Recognized in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4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tcPr>
          <w:p>
            <w:pPr>
              <w:ind w:left="620"/>
              <w:spacing w:after="0"/>
              <w:rPr>
                <w:sz w:val="20"/>
                <w:szCs w:val="20"/>
                <w:color w:val="auto"/>
              </w:rPr>
            </w:pPr>
            <w:r>
              <w:rPr>
                <w:rFonts w:ascii="Arial" w:cs="Arial" w:eastAsia="Arial" w:hAnsi="Arial"/>
                <w:sz w:val="18"/>
                <w:szCs w:val="18"/>
                <w:b w:val="1"/>
                <w:bCs w:val="1"/>
                <w:color w:val="auto"/>
              </w:rPr>
              <w:t>Location on Statement of Income</w:t>
            </w:r>
          </w:p>
        </w:tc>
      </w:tr>
      <w:tr>
        <w:trPr>
          <w:trHeight w:val="27"/>
        </w:trPr>
        <w:tc>
          <w:tcPr>
            <w:tcW w:w="40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500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8"/>
                <w:szCs w:val="18"/>
                <w:color w:val="auto"/>
              </w:rPr>
              <w:t>—   Cost of goods and services sold</w:t>
            </w:r>
          </w:p>
        </w:tc>
      </w:tr>
      <w:tr>
        <w:trPr>
          <w:trHeight w:val="263"/>
        </w:trPr>
        <w:tc>
          <w:tcPr>
            <w:tcW w:w="408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3900" w:type="dxa"/>
            <w:vAlign w:val="bottom"/>
            <w:gridSpan w:val="2"/>
          </w:tcPr>
          <w:p>
            <w:pPr>
              <w:spacing w:after="0"/>
              <w:rPr>
                <w:sz w:val="22"/>
                <w:szCs w:val="22"/>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and 2019, there was no material ineffectiveness related to our hedges.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assets and liabilities recorded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0"/>
                <w:szCs w:val="20"/>
                <w:color w:val="auto"/>
              </w:rPr>
            </w:pPr>
          </w:p>
        </w:tc>
        <w:tc>
          <w:tcPr>
            <w:tcW w:w="35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2"/>
              </w:rPr>
              <w:t>March 31,</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Balance at</w:t>
            </w:r>
          </w:p>
        </w:tc>
        <w:tc>
          <w:tcPr>
            <w:tcW w:w="300" w:type="dxa"/>
            <w:vAlign w:val="bottom"/>
          </w:tcPr>
          <w:p>
            <w:pPr>
              <w:spacing w:after="0"/>
              <w:rPr>
                <w:sz w:val="24"/>
                <w:szCs w:val="24"/>
                <w:color w:val="auto"/>
              </w:rPr>
            </w:pPr>
          </w:p>
        </w:tc>
        <w:tc>
          <w:tcPr>
            <w:tcW w:w="352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90"/>
              </w:rPr>
              <w:t>December 31,</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Level 1</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Level 2</w:t>
            </w:r>
          </w:p>
        </w:tc>
        <w:tc>
          <w:tcPr>
            <w:tcW w:w="4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w w:val="96"/>
              </w:rPr>
              <w:t>Level 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3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Deferred compensation assets are included within other noncurrent assets and are valued using a market approach based on quoted market prices in an active market. The fair value of our foreign currency contracts, included within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 xml:space="preserve">other current and other noncurrent assets, as well as other current and other long-term liabilities, is valued using an income approach based on quoted forward foreign exchange rates and spot rates at the reporting date. The fair value of our commodity call options, included within other current and other noncurrent assets, is valued using a market approach. The fair value of our contingent consideration, included within other current and other long-term liabilities, is discussed further in the section related to Level 3 fair value measurements. The fair value of deferred compensation liabilities is based on quoted prices of the underlying employees’ investment selections and is included within other long-term liabilities. The fair value of the cross-currency swap, included within other long-term liabilities, is valued using a market approach. Please refer to Note 9,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for further discussion of our derivatives.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 Fair Value Measurements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fair value of the contingent consideration liability related to the SmartDose technology platform (the “SmartDose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significant unobservable inputs used in the fair value measurement of the SmartDose contingent consideration are the sales projections, the probability of success factors, and the discount rate. Significant increases or decreases in any of those inputs in isolation would result in a significantly lower or higher fair value measurement. Sales projections were derived using upside, base and downside forecasted cases for each partnership and applying probability-weighted scenarios of 10%, 50% and 40% to the three cases, respectively, to reflect the likelihood of West meeting the estimated sales projection targets. The probability of success factors included the probabilities of successful FDA approval for each partnership drug, which was estimated in a range of 13% to 100% based on the development phase of each respective drug, and the probability of the successful execution of supply agreements with each partnership, which was estimated in the range of 15% to 100% based on historical, current, and future supply agreements with the respective partnerships. The fair value of this liability utilized a risk-adjusted discount rate of 19% to present value the cash flows. The discount rate is calculated by determining the after-tax required returns on debt and equity and weighting each return by the respective percent of debt and equity to total capital. Key inputs for the discount rate include the risk-free rate on the 20-Year United States Treasury maturity, equity risk premium, company-specific risk premium, pre-tax cost of debt, and U.S. tax rate, among others. As development and commercialization of the SmartDose technology platform progresses, we may need to update the sales projections, the probability of success factors, and the discount rate used. This could result in a material increase or decrease to the SmartDose contingent consideration.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The following table provides a summary of changes in our Level 3 fair value measurements: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96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9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2.1</w:t>
            </w:r>
          </w:p>
        </w:tc>
      </w:tr>
      <w:tr>
        <w:trPr>
          <w:trHeight w:val="27"/>
        </w:trPr>
        <w:tc>
          <w:tcPr>
            <w:tcW w:w="9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37"/>
        </w:trPr>
        <w:tc>
          <w:tcPr>
            <w:tcW w:w="96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4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9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fair value recorded in earnings</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96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estimated fair value of long-term debt is based on quoted market prices for debt issuances with similar terms and maturities and is classified as Level 2 within the fair value hierarchy. At March 31, 2020, the estimated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value of long-term debt was $260.8 million compared to a carrying amount of $254.4 million. At December 31, 2019, the estimated fair value of long-term debt was $263.3 million and the carrying amount was $255.0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loss, net of tax, for the three months ended March 31,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 gains</w:t>
            </w: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Defined benefit</w:t>
            </w: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Foreign</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color w:val="auto"/>
                <w:w w:val="97"/>
              </w:rPr>
              <w:t>(Losses) gains on</w:t>
            </w:r>
          </w:p>
        </w:tc>
        <w:tc>
          <w:tcPr>
            <w:tcW w:w="18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on investment</w:t>
            </w:r>
          </w:p>
        </w:tc>
        <w:tc>
          <w:tcPr>
            <w:tcW w:w="220" w:type="dxa"/>
            <w:vAlign w:val="bottom"/>
          </w:tcPr>
          <w:p>
            <w:pPr>
              <w:spacing w:after="0"/>
              <w:rPr>
                <w:sz w:val="18"/>
                <w:szCs w:val="18"/>
                <w:color w:val="auto"/>
              </w:rPr>
            </w:pP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rPr>
              <w:t>pension and other</w:t>
            </w:r>
          </w:p>
        </w:tc>
        <w:tc>
          <w:tcPr>
            <w:tcW w:w="1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currency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20"/>
                <w:szCs w:val="20"/>
                <w:color w:val="auto"/>
              </w:rPr>
            </w:pPr>
          </w:p>
        </w:tc>
        <w:tc>
          <w:tcPr>
            <w:tcW w:w="17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securities</w:t>
            </w:r>
          </w:p>
        </w:tc>
        <w:tc>
          <w:tcPr>
            <w:tcW w:w="220" w:type="dxa"/>
            <w:vAlign w:val="bottom"/>
          </w:tcPr>
          <w:p>
            <w:pPr>
              <w:spacing w:after="0"/>
              <w:rPr>
                <w:sz w:val="20"/>
                <w:szCs w:val="20"/>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postretirement plans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translation</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r>
      <w:tr>
        <w:trPr>
          <w:trHeight w:val="209"/>
        </w:trPr>
        <w:tc>
          <w:tcPr>
            <w:tcW w:w="3200" w:type="dxa"/>
            <w:vAlign w:val="bottom"/>
          </w:tcPr>
          <w:p>
            <w:pPr>
              <w:ind w:left="80"/>
              <w:spacing w:after="0"/>
              <w:rPr>
                <w:sz w:val="20"/>
                <w:szCs w:val="20"/>
                <w:color w:val="auto"/>
              </w:rPr>
            </w:pPr>
            <w:r>
              <w:rPr>
                <w:rFonts w:ascii="Arial" w:cs="Arial" w:eastAsia="Arial" w:hAnsi="Arial"/>
                <w:sz w:val="18"/>
                <w:szCs w:val="18"/>
                <w:color w:val="auto"/>
                <w:w w:val="91"/>
              </w:rPr>
              <w:t>Other comprehensive income (loss) before</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80"/>
              <w:spacing w:after="0"/>
              <w:rPr>
                <w:sz w:val="20"/>
                <w:szCs w:val="20"/>
                <w:color w:val="auto"/>
              </w:rPr>
            </w:pPr>
            <w:r>
              <w:rPr>
                <w:rFonts w:ascii="Arial" w:cs="Arial" w:eastAsia="Arial" w:hAnsi="Arial"/>
                <w:sz w:val="18"/>
                <w:szCs w:val="18"/>
                <w:color w:val="auto"/>
              </w:rPr>
              <w:t>reclassifications</w:t>
            </w:r>
          </w:p>
        </w:tc>
        <w:tc>
          <w:tcPr>
            <w:tcW w:w="180" w:type="dxa"/>
            <w:vAlign w:val="bottom"/>
          </w:tcPr>
          <w:p>
            <w:pPr>
              <w:spacing w:after="0"/>
              <w:rPr>
                <w:sz w:val="20"/>
                <w:szCs w:val="20"/>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Amounts reclassified out from</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6"/>
        </w:trPr>
        <w:tc>
          <w:tcPr>
            <w:tcW w:w="3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1"/>
              </w:rPr>
              <w:t>accumulated other comprehensive income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57"/>
        </w:trPr>
        <w:tc>
          <w:tcPr>
            <w:tcW w:w="3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(loss)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09"/>
        </w:trPr>
        <w:tc>
          <w:tcPr>
            <w:tcW w:w="3200" w:type="dxa"/>
            <w:vAlign w:val="bottom"/>
          </w:tcPr>
          <w:p>
            <w:pPr>
              <w:ind w:left="80"/>
              <w:spacing w:after="0"/>
              <w:rPr>
                <w:sz w:val="20"/>
                <w:szCs w:val="20"/>
                <w:color w:val="auto"/>
              </w:rPr>
            </w:pPr>
            <w:r>
              <w:rPr>
                <w:rFonts w:ascii="Arial" w:cs="Arial" w:eastAsia="Arial" w:hAnsi="Arial"/>
                <w:sz w:val="18"/>
                <w:szCs w:val="18"/>
                <w:color w:val="auto"/>
                <w:w w:val="91"/>
              </w:rPr>
              <w:t>Other comprehensive income (loss), net of</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80"/>
              <w:spacing w:after="0"/>
              <w:rPr>
                <w:sz w:val="20"/>
                <w:szCs w:val="20"/>
                <w:color w:val="auto"/>
              </w:rPr>
            </w:pPr>
            <w:r>
              <w:rPr>
                <w:rFonts w:ascii="Arial" w:cs="Arial" w:eastAsia="Arial" w:hAnsi="Arial"/>
                <w:sz w:val="18"/>
                <w:szCs w:val="18"/>
                <w:color w:val="auto"/>
              </w:rPr>
              <w:t>tax</w:t>
            </w:r>
          </w:p>
        </w:tc>
        <w:tc>
          <w:tcPr>
            <w:tcW w:w="180" w:type="dxa"/>
            <w:vAlign w:val="bottom"/>
          </w:tcPr>
          <w:p>
            <w:pPr>
              <w:spacing w:after="0"/>
              <w:rPr>
                <w:sz w:val="20"/>
                <w:szCs w:val="20"/>
                <w:color w:val="auto"/>
              </w:rPr>
            </w:pPr>
          </w:p>
        </w:tc>
        <w:tc>
          <w:tcPr>
            <w:tcW w:w="1120" w:type="dxa"/>
            <w:vAlign w:val="bottom"/>
          </w:tcPr>
          <w:p>
            <w:pPr>
              <w:jc w:val="center"/>
              <w:ind w:left="510"/>
              <w:spacing w:after="0"/>
              <w:rPr>
                <w:sz w:val="20"/>
                <w:szCs w:val="20"/>
                <w:color w:val="auto"/>
              </w:rPr>
            </w:pPr>
            <w:r>
              <w:rPr>
                <w:rFonts w:ascii="Arial" w:cs="Arial" w:eastAsia="Arial" w:hAnsi="Arial"/>
                <w:sz w:val="18"/>
                <w:szCs w:val="18"/>
                <w:color w:val="auto"/>
                <w:w w:val="95"/>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3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8"/>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5"/>
              </w:rPr>
              <w:t>1.8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of accumulated other comprehensive loss is presented in the following table: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jc w:val="right"/>
              <w:ind w:right="250"/>
              <w:spacing w:after="0"/>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spacing w:after="0"/>
              <w:rPr>
                <w:sz w:val="20"/>
                <w:szCs w:val="20"/>
                <w:color w:val="auto"/>
              </w:rPr>
            </w:pPr>
          </w:p>
        </w:tc>
        <w:tc>
          <w:tcPr>
            <w:tcW w:w="1700" w:type="dxa"/>
            <w:vAlign w:val="bottom"/>
            <w:gridSpan w:val="3"/>
          </w:tcPr>
          <w:p>
            <w:pPr>
              <w:jc w:val="right"/>
              <w:ind w:right="650"/>
              <w:spacing w:after="0"/>
              <w:rPr>
                <w:sz w:val="20"/>
                <w:szCs w:val="20"/>
                <w:color w:val="auto"/>
              </w:rPr>
            </w:pPr>
            <w:r>
              <w:rPr>
                <w:rFonts w:ascii="Arial" w:cs="Arial" w:eastAsia="Arial" w:hAnsi="Arial"/>
                <w:sz w:val="18"/>
                <w:szCs w:val="18"/>
                <w:color w:val="auto"/>
              </w:rPr>
              <w:t>March 31,</w:t>
            </w: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7"/>
        </w:trPr>
        <w:tc>
          <w:tcPr>
            <w:tcW w:w="4200" w:type="dxa"/>
            <w:vAlign w:val="bottom"/>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80" w:type="dxa"/>
            <w:vAlign w:val="bottom"/>
          </w:tcPr>
          <w:p>
            <w:pPr>
              <w:spacing w:after="0"/>
              <w:rPr>
                <w:sz w:val="2"/>
                <w:szCs w:val="2"/>
                <w:color w:val="auto"/>
              </w:rPr>
            </w:pPr>
          </w:p>
        </w:tc>
      </w:tr>
      <w:tr>
        <w:trPr>
          <w:trHeight w:val="237"/>
        </w:trPr>
        <w:tc>
          <w:tcPr>
            <w:tcW w:w="4200" w:type="dxa"/>
            <w:vAlign w:val="bottom"/>
            <w:gridSpan w:val="2"/>
          </w:tcPr>
          <w:p>
            <w:pPr>
              <w:ind w:left="1280"/>
              <w:spacing w:after="0"/>
              <w:rPr>
                <w:sz w:val="20"/>
                <w:szCs w:val="20"/>
                <w:color w:val="auto"/>
              </w:rPr>
            </w:pPr>
            <w:r>
              <w:rPr>
                <w:rFonts w:ascii="Arial" w:cs="Arial" w:eastAsia="Arial" w:hAnsi="Arial"/>
                <w:sz w:val="18"/>
                <w:szCs w:val="18"/>
                <w:color w:val="auto"/>
              </w:rPr>
              <w:t>Detail of components</w:t>
            </w:r>
          </w:p>
        </w:tc>
        <w:tc>
          <w:tcPr>
            <w:tcW w:w="1040" w:type="dxa"/>
            <w:vAlign w:val="bottom"/>
          </w:tcPr>
          <w:p>
            <w:pPr>
              <w:jc w:val="right"/>
              <w:spacing w:after="0"/>
              <w:rPr>
                <w:sz w:val="20"/>
                <w:szCs w:val="20"/>
                <w:color w:val="auto"/>
              </w:rPr>
            </w:pPr>
            <w:r>
              <w:rPr>
                <w:rFonts w:ascii="Arial" w:cs="Arial" w:eastAsia="Arial" w:hAnsi="Arial"/>
                <w:sz w:val="18"/>
                <w:szCs w:val="18"/>
                <w:color w:val="auto"/>
              </w:rPr>
              <w:t>2020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Pr>
          <w:p>
            <w:pPr>
              <w:spacing w:after="0"/>
              <w:rPr>
                <w:sz w:val="20"/>
                <w:szCs w:val="20"/>
                <w:color w:val="auto"/>
              </w:rPr>
            </w:pPr>
          </w:p>
        </w:tc>
        <w:tc>
          <w:tcPr>
            <w:tcW w:w="3780" w:type="dxa"/>
            <w:vAlign w:val="bottom"/>
          </w:tcPr>
          <w:p>
            <w:pPr>
              <w:ind w:left="680"/>
              <w:spacing w:after="0"/>
              <w:rPr>
                <w:sz w:val="20"/>
                <w:szCs w:val="20"/>
                <w:color w:val="auto"/>
              </w:rPr>
            </w:pPr>
            <w:r>
              <w:rPr>
                <w:rFonts w:ascii="Arial" w:cs="Arial" w:eastAsia="Arial" w:hAnsi="Arial"/>
                <w:sz w:val="18"/>
                <w:szCs w:val="18"/>
                <w:color w:val="auto"/>
              </w:rPr>
              <w:t>Location on Statement of Income</w:t>
            </w:r>
          </w:p>
        </w:tc>
      </w:tr>
      <w:tr>
        <w:trPr>
          <w:trHeight w:val="27"/>
        </w:trPr>
        <w:tc>
          <w:tcPr>
            <w:tcW w:w="4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43"/>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378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0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2.0</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3780" w:type="dxa"/>
            <w:vAlign w:val="bottom"/>
          </w:tcPr>
          <w:p>
            <w:pPr>
              <w:ind w:left="20"/>
              <w:spacing w:after="0"/>
              <w:rPr>
                <w:sz w:val="20"/>
                <w:szCs w:val="20"/>
                <w:color w:val="auto"/>
              </w:rPr>
            </w:pPr>
            <w:r>
              <w:rPr>
                <w:rFonts w:ascii="Arial" w:cs="Arial" w:eastAsia="Arial" w:hAnsi="Arial"/>
                <w:sz w:val="18"/>
                <w:szCs w:val="18"/>
                <w:color w:val="auto"/>
              </w:rPr>
              <w:t>Other income</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r>
      <w:tr>
        <w:trPr>
          <w:trHeight w:val="237"/>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0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2.3</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5.1</w:t>
            </w:r>
          </w:p>
        </w:tc>
        <w:tc>
          <w:tcPr>
            <w:tcW w:w="378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70"/>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0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3780" w:type="dxa"/>
            <w:vAlign w:val="bottom"/>
            <w:tcBorders>
              <w:bottom w:val="single" w:sz="8" w:color="CCEEFF"/>
            </w:tcBorders>
            <w:shd w:val="clear" w:color="auto" w:fill="CCEEFF"/>
          </w:tcPr>
          <w:p>
            <w:pPr>
              <w:spacing w:after="0"/>
              <w:rPr>
                <w:sz w:val="23"/>
                <w:szCs w:val="23"/>
                <w:color w:val="auto"/>
              </w:rPr>
            </w:pPr>
          </w:p>
        </w:tc>
      </w:tr>
      <w:tr>
        <w:trPr>
          <w:trHeight w:val="264"/>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3780" w:type="dxa"/>
            <w:vAlign w:val="bottom"/>
          </w:tcPr>
          <w:p>
            <w:pPr>
              <w:spacing w:after="0"/>
              <w:rPr>
                <w:sz w:val="22"/>
                <w:szCs w:val="22"/>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r>
      <w:tr>
        <w:trPr>
          <w:trHeight w:val="196"/>
        </w:trPr>
        <w:tc>
          <w:tcPr>
            <w:tcW w:w="42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Amortization of defined benefit pension and other</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780" w:type="dxa"/>
            <w:vAlign w:val="bottom"/>
            <w:shd w:val="clear" w:color="auto" w:fill="CCEEFF"/>
          </w:tcPr>
          <w:p>
            <w:pPr>
              <w:spacing w:after="0"/>
              <w:rPr>
                <w:sz w:val="17"/>
                <w:szCs w:val="17"/>
                <w:color w:val="auto"/>
              </w:rPr>
            </w:pPr>
          </w:p>
        </w:tc>
      </w:tr>
      <w:tr>
        <w:trPr>
          <w:trHeight w:val="237"/>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Prior service credit</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21"/>
                <w:szCs w:val="21"/>
                <w:color w:val="auto"/>
              </w:rPr>
            </w:pP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378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7"/>
        </w:trPr>
        <w:tc>
          <w:tcPr>
            <w:tcW w:w="4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780" w:type="dxa"/>
            <w:vAlign w:val="bottom"/>
          </w:tcPr>
          <w:p>
            <w:pPr>
              <w:spacing w:after="0"/>
              <w:rPr>
                <w:sz w:val="2"/>
                <w:szCs w:val="2"/>
                <w:color w:val="auto"/>
              </w:rPr>
            </w:pPr>
          </w:p>
        </w:tc>
      </w:tr>
      <w:tr>
        <w:trPr>
          <w:trHeight w:val="250"/>
        </w:trPr>
        <w:tc>
          <w:tcPr>
            <w:tcW w:w="4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Actuarial losses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w:t>
            </w:r>
          </w:p>
        </w:tc>
      </w:tr>
      <w:tr>
        <w:trPr>
          <w:trHeight w:val="243"/>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Settlements</w:t>
            </w:r>
          </w:p>
        </w:tc>
        <w:tc>
          <w:tcPr>
            <w:tcW w:w="10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780" w:type="dxa"/>
            <w:vAlign w:val="bottom"/>
          </w:tcPr>
          <w:p>
            <w:pPr>
              <w:ind w:left="20"/>
              <w:spacing w:after="0"/>
              <w:rPr>
                <w:sz w:val="20"/>
                <w:szCs w:val="20"/>
                <w:color w:val="auto"/>
              </w:rPr>
            </w:pPr>
            <w:r>
              <w:rPr>
                <w:rFonts w:ascii="Arial" w:cs="Arial" w:eastAsia="Arial" w:hAnsi="Arial"/>
                <w:sz w:val="18"/>
                <w:szCs w:val="18"/>
                <w:color w:val="auto"/>
              </w:rPr>
              <w:t>(a)</w:t>
            </w: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r>
      <w:tr>
        <w:trPr>
          <w:trHeight w:val="243"/>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37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Tax benefit (expense)</w:t>
            </w:r>
          </w:p>
        </w:tc>
        <w:tc>
          <w:tcPr>
            <w:tcW w:w="104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3780" w:type="dxa"/>
            <w:vAlign w:val="bottom"/>
          </w:tcPr>
          <w:p>
            <w:pPr>
              <w:spacing w:after="0"/>
              <w:rPr>
                <w:sz w:val="21"/>
                <w:szCs w:val="2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r>
      <w:tr>
        <w:trPr>
          <w:trHeight w:val="263"/>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780" w:type="dxa"/>
            <w:vAlign w:val="bottom"/>
            <w:tcBorders>
              <w:bottom w:val="single" w:sz="8" w:color="CCEEFF"/>
            </w:tcBorders>
            <w:shd w:val="clear" w:color="auto" w:fill="CCEEFF"/>
          </w:tcPr>
          <w:p>
            <w:pPr>
              <w:spacing w:after="0"/>
              <w:rPr>
                <w:sz w:val="22"/>
                <w:szCs w:val="22"/>
                <w:color w:val="auto"/>
              </w:rPr>
            </w:pPr>
          </w:p>
        </w:tc>
      </w:tr>
      <w:tr>
        <w:trPr>
          <w:trHeight w:val="264"/>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w:t>
            </w:r>
          </w:p>
        </w:tc>
        <w:tc>
          <w:tcPr>
            <w:tcW w:w="3780" w:type="dxa"/>
            <w:vAlign w:val="bottom"/>
          </w:tcPr>
          <w:p>
            <w:pPr>
              <w:spacing w:after="0"/>
              <w:rPr>
                <w:sz w:val="22"/>
                <w:szCs w:val="22"/>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 These components are included in the computation of net periodic benefit cost. Please refer to Note 14, </w:t>
      </w:r>
      <w:r>
        <w:rPr>
          <w:rFonts w:ascii="Arial" w:cs="Arial" w:eastAsia="Arial" w:hAnsi="Arial"/>
          <w:sz w:val="17"/>
          <w:szCs w:val="17"/>
          <w:i w:val="1"/>
          <w:iCs w:val="1"/>
          <w:color w:val="auto"/>
        </w:rPr>
        <w:t>Benefit Plans</w:t>
      </w:r>
      <w:r>
        <w:rPr>
          <w:rFonts w:ascii="Arial" w:cs="Arial" w:eastAsia="Arial" w:hAnsi="Arial"/>
          <w:sz w:val="17"/>
          <w:szCs w:val="17"/>
          <w:color w:val="auto"/>
        </w:rPr>
        <w:t>, for additional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three months ended March 31,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8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other</w:t>
            </w:r>
          </w:p>
        </w:tc>
        <w:tc>
          <w:tcPr>
            <w:tcW w:w="8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Retained</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comprehensive</w:t>
            </w:r>
          </w:p>
        </w:tc>
        <w:tc>
          <w:tcPr>
            <w:tcW w:w="860" w:type="dxa"/>
            <w:vAlign w:val="bottom"/>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 (118.1)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$ 1,549.4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$ 1,573.2</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w w:val="96"/>
              </w:rPr>
              <w:t>Effect of modified retrospective application of</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a new accounting standard (see Note 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12.8</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purchased under share repurchase</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7"/>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Dividends declared ($0.16 per share)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w:t>
            </w:r>
          </w:p>
        </w:tc>
      </w:tr>
      <w:tr>
        <w:trPr>
          <w:trHeight w:val="263"/>
        </w:trPr>
        <w:tc>
          <w:tcPr>
            <w:tcW w:w="350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 (215.7)</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87"/>
              </w:rPr>
              <w:t>$ 1,611.8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(192.3)</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0"/>
              </w:rPr>
              <w:t>$ 1,490.2</w:t>
            </w:r>
          </w:p>
        </w:tc>
      </w:tr>
      <w:tr>
        <w:trPr>
          <w:trHeight w:val="20"/>
        </w:trPr>
        <w:tc>
          <w:tcPr>
            <w:tcW w:w="3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three months ended March 31,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Accumulated</w:t>
            </w:r>
          </w:p>
        </w:tc>
        <w:tc>
          <w:tcPr>
            <w:tcW w:w="8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Common</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Capital in</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Number of</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other</w:t>
            </w:r>
          </w:p>
        </w:tc>
        <w:tc>
          <w:tcPr>
            <w:tcW w:w="8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Common</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Excess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Treasury</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Retained</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comprehensive</w:t>
            </w:r>
          </w:p>
        </w:tc>
        <w:tc>
          <w:tcPr>
            <w:tcW w:w="860" w:type="dxa"/>
            <w:vAlign w:val="bottom"/>
          </w:tcPr>
          <w:p>
            <w:pPr>
              <w:spacing w:after="0"/>
              <w:rPr>
                <w:sz w:val="18"/>
                <w:szCs w:val="18"/>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8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Issued</w:t>
            </w:r>
          </w:p>
        </w:tc>
        <w:tc>
          <w:tcPr>
            <w:tcW w:w="140" w:type="dxa"/>
            <w:vAlign w:val="bottom"/>
          </w:tcPr>
          <w:p>
            <w:pPr>
              <w:spacing w:after="0"/>
              <w:rPr>
                <w:sz w:val="20"/>
                <w:szCs w:val="2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Stock</w:t>
            </w:r>
          </w:p>
        </w:tc>
        <w:tc>
          <w:tcPr>
            <w:tcW w:w="960" w:type="dxa"/>
            <w:vAlign w:val="bottom"/>
            <w:gridSpan w:val="3"/>
          </w:tcPr>
          <w:p>
            <w:pPr>
              <w:ind w:left="80"/>
              <w:spacing w:after="0"/>
              <w:rPr>
                <w:sz w:val="20"/>
                <w:szCs w:val="20"/>
                <w:color w:val="auto"/>
              </w:rPr>
            </w:pPr>
            <w:r>
              <w:rPr>
                <w:rFonts w:ascii="Arial" w:cs="Arial" w:eastAsia="Arial" w:hAnsi="Arial"/>
                <w:sz w:val="18"/>
                <w:szCs w:val="18"/>
                <w:color w:val="auto"/>
              </w:rPr>
              <w:t>Par Value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Stock</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loss</w:t>
            </w: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 (103.7)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$ 1,353.4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$ 1,396.3</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55.4</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Activity related to stock-based compensation</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Shares purchased under share repurchase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program</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(83.1)</w:t>
            </w:r>
          </w:p>
        </w:tc>
      </w:tr>
      <w:tr>
        <w:trPr>
          <w:trHeight w:val="27"/>
        </w:trPr>
        <w:tc>
          <w:tcPr>
            <w:tcW w:w="3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($0.15 per share)</w:t>
            </w: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0.8</w:t>
            </w:r>
          </w:p>
        </w:tc>
      </w:tr>
      <w:tr>
        <w:trPr>
          <w:trHeight w:val="27"/>
        </w:trPr>
        <w:tc>
          <w:tcPr>
            <w:tcW w:w="35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9"/>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2019</w:t>
            </w: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278.5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 (172.6)</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$ 1,398.2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0"/>
              </w:rPr>
              <w:t>$ 1,369.5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9" w:name="page20"/>
    <w:bookmarkEnd w:id="19"/>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March 31, 2020, there were 2,750,037 shares remaining in the 2016 Plan for future grants.</w:t>
      </w:r>
    </w:p>
    <w:p>
      <w:pPr>
        <w:spacing w:after="0" w:line="21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During the three months ended March 31, 2020, we granted 222,564 stock options at a weighted average exercise price of $173.22 per share based on the grant-date fair value of our stock to employees under the 2016 Plan. The weighted average grant date fair value of options granted was $39.21 per share as determined by the Black-Scholes option valuation model using the following weighted average assumptions: a risk-free interest rate of 1.4%; expected life of 5.7 years based on prior experience; stock volatility of 22.3% based on historical data; and a dividend yield of 0.4%. Stock option expense is recognized over the vesting period, net of forfeitures.</w:t>
      </w:r>
    </w:p>
    <w:p>
      <w:pPr>
        <w:spacing w:after="0" w:line="21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three months ended March 31, 2020, we granted 50,459 stock-settled performance share unit (“PSU”) awards at a weighted average grant-date fair value of $173.22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During the three months ended March 31, 2020, we granted 5,424 stock-settled restricted share unit (“RSU”) awards at a weighted average grant-date fair value of $173.22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Total stock-based compensation expense was $5.4 million and $6.2 million for the three months ended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March 31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0"/>
                <w:szCs w:val="20"/>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Other retirement benefits</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Total</w:t>
            </w:r>
          </w:p>
        </w:tc>
        <w:tc>
          <w:tcPr>
            <w:tcW w:w="88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0.3</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center"/>
              <w:ind w:left="430"/>
              <w:spacing w:after="0"/>
              <w:rPr>
                <w:sz w:val="20"/>
                <w:szCs w:val="20"/>
                <w:color w:val="auto"/>
              </w:rPr>
            </w:pPr>
            <w:r>
              <w:rPr>
                <w:rFonts w:ascii="Arial" w:cs="Arial" w:eastAsia="Arial" w:hAnsi="Arial"/>
                <w:sz w:val="18"/>
                <w:szCs w:val="18"/>
                <w:color w:val="auto"/>
                <w:w w:val="87"/>
              </w:rPr>
              <w:t>2.0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2.5</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6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0.1</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center"/>
              <w:ind w:left="430"/>
              <w:spacing w:after="0"/>
              <w:rPr>
                <w:sz w:val="20"/>
                <w:szCs w:val="20"/>
                <w:color w:val="auto"/>
              </w:rPr>
            </w:pPr>
            <w:r>
              <w:rPr>
                <w:rFonts w:ascii="Arial" w:cs="Arial" w:eastAsia="Arial" w:hAnsi="Arial"/>
                <w:sz w:val="18"/>
                <w:szCs w:val="18"/>
                <w:color w:val="auto"/>
                <w:w w:val="87"/>
              </w:rPr>
              <w:t>1.4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0.6</w:t>
            </w:r>
          </w:p>
        </w:tc>
        <w:tc>
          <w:tcPr>
            <w:tcW w:w="1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95"/>
        </w:trPr>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340"/>
              <w:spacing w:after="0"/>
              <w:rPr>
                <w:sz w:val="20"/>
                <w:szCs w:val="20"/>
                <w:color w:val="auto"/>
              </w:rPr>
            </w:pPr>
            <w:r>
              <w:rPr>
                <w:rFonts w:ascii="Arial" w:cs="Arial" w:eastAsia="Arial" w:hAnsi="Arial"/>
                <w:sz w:val="18"/>
                <w:szCs w:val="18"/>
                <w:color w:val="auto"/>
              </w:rPr>
              <w:t>Pension benefits</w:t>
            </w:r>
          </w:p>
        </w:tc>
        <w:tc>
          <w:tcPr>
            <w:tcW w:w="240" w:type="dxa"/>
            <w:vAlign w:val="bottom"/>
          </w:tcPr>
          <w:p>
            <w:pPr>
              <w:spacing w:after="0"/>
              <w:rPr>
                <w:sz w:val="24"/>
                <w:szCs w:val="24"/>
                <w:color w:val="auto"/>
              </w:rPr>
            </w:pPr>
          </w:p>
        </w:tc>
        <w:tc>
          <w:tcPr>
            <w:tcW w:w="2460" w:type="dxa"/>
            <w:vAlign w:val="bottom"/>
            <w:gridSpan w:val="5"/>
          </w:tcPr>
          <w:p>
            <w:pPr>
              <w:ind w:left="140"/>
              <w:spacing w:after="0"/>
              <w:rPr>
                <w:sz w:val="20"/>
                <w:szCs w:val="20"/>
                <w:color w:val="auto"/>
              </w:rPr>
            </w:pPr>
            <w:r>
              <w:rPr>
                <w:rFonts w:ascii="Arial" w:cs="Arial" w:eastAsia="Arial" w:hAnsi="Arial"/>
                <w:sz w:val="18"/>
                <w:szCs w:val="18"/>
                <w:color w:val="auto"/>
              </w:rPr>
              <w:t>Other retirement benefits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Total</w:t>
            </w:r>
          </w:p>
        </w:tc>
        <w:tc>
          <w:tcPr>
            <w:tcW w:w="880" w:type="dxa"/>
            <w:vAlign w:val="bottom"/>
          </w:tcPr>
          <w:p>
            <w:pPr>
              <w:spacing w:after="0"/>
              <w:rPr>
                <w:sz w:val="24"/>
                <w:szCs w:val="24"/>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0.3</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40" w:type="dxa"/>
            <w:vAlign w:val="bottom"/>
          </w:tcPr>
          <w:p>
            <w:pPr>
              <w:jc w:val="center"/>
              <w:ind w:left="430"/>
              <w:spacing w:after="0"/>
              <w:rPr>
                <w:sz w:val="20"/>
                <w:szCs w:val="20"/>
                <w:color w:val="auto"/>
              </w:rPr>
            </w:pPr>
            <w:r>
              <w:rPr>
                <w:rFonts w:ascii="Arial" w:cs="Arial" w:eastAsia="Arial" w:hAnsi="Arial"/>
                <w:sz w:val="18"/>
                <w:szCs w:val="18"/>
                <w:color w:val="auto"/>
                <w:w w:val="87"/>
              </w:rPr>
              <w:t>0.3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0.6</w:t>
            </w:r>
          </w:p>
        </w:tc>
        <w:tc>
          <w:tcPr>
            <w:tcW w:w="5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three months ended March 31, 2020, we recorded a $1.4 million pension settlement charge within other nonoperating expense (income), as we determined that normal-course lump-sum payments for our U.S. qualified defined benefit pension plan exceeded the threshold for settlement accounting under U.S. GAAP for the year.</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Note 15: Other Income</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99"/>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Severance and post-employment benefits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center"/>
              <w:ind w:left="470"/>
              <w:spacing w:after="0"/>
              <w:rPr>
                <w:sz w:val="20"/>
                <w:szCs w:val="20"/>
                <w:color w:val="auto"/>
              </w:rPr>
            </w:pPr>
            <w:r>
              <w:rPr>
                <w:rFonts w:ascii="Arial" w:cs="Arial" w:eastAsia="Arial" w:hAnsi="Arial"/>
                <w:sz w:val="18"/>
                <w:szCs w:val="18"/>
                <w:color w:val="auto"/>
                <w:w w:val="87"/>
              </w:rPr>
              <w:t>0.3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charges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7"/>
              </w:rPr>
              <w:t>0.3</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color w:val="auto"/>
                <w:w w:val="87"/>
              </w:rPr>
              <w:t>0.6</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 and licensing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7"/>
              </w:rPr>
              <w:t>(0.2)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center"/>
              <w:ind w:left="470"/>
              <w:spacing w:after="0"/>
              <w:rPr>
                <w:sz w:val="20"/>
                <w:szCs w:val="20"/>
                <w:color w:val="auto"/>
              </w:rPr>
            </w:pPr>
            <w:r>
              <w:rPr>
                <w:rFonts w:ascii="Arial" w:cs="Arial" w:eastAsia="Arial" w:hAnsi="Arial"/>
                <w:sz w:val="18"/>
                <w:szCs w:val="18"/>
                <w:color w:val="auto"/>
                <w:w w:val="87"/>
              </w:rPr>
              <w:t>0.2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transaction gains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7"/>
              </w:rPr>
              <w:t>(3.8)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items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center"/>
              <w:ind w:left="470"/>
              <w:spacing w:after="0"/>
              <w:rPr>
                <w:sz w:val="20"/>
                <w:szCs w:val="20"/>
                <w:color w:val="auto"/>
              </w:rPr>
            </w:pPr>
            <w:r>
              <w:rPr>
                <w:rFonts w:ascii="Arial" w:cs="Arial" w:eastAsia="Arial" w:hAnsi="Arial"/>
                <w:sz w:val="18"/>
                <w:szCs w:val="18"/>
                <w:color w:val="auto"/>
                <w:w w:val="87"/>
              </w:rPr>
              <w:t>0.9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7"/>
              </w:rPr>
              <w:t>(2.3)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February 2018, our Board of Directors approved a restructuring plan designed to realign our manufacturing capacity with demand. These changes were expected to be implemented over a period of up to twenty-four months from the date of approval. The plan was expected to require restructuring and related charges of approximately $16.0 million. Since its approval, we have recorded $13.7 million in restructuring and related charges associated with this plan. The plan was considered complete as of December 31, 2019.</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March 31, 2019, we recorded $0.6 million in restructuring and related charges associated with this plan, consisting of $0.3 million for severance charges and $0.3 million for other non-cash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2018 restructuring plan: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3"/>
              </w:rPr>
              <w:t>Severance</w:t>
            </w: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Asset-related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and benefits</w:t>
            </w:r>
          </w:p>
        </w:tc>
        <w:tc>
          <w:tcPr>
            <w:tcW w:w="18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charges</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Other charges</w:t>
            </w:r>
          </w:p>
        </w:tc>
        <w:tc>
          <w:tcPr>
            <w:tcW w:w="320" w:type="dxa"/>
            <w:vAlign w:val="bottom"/>
          </w:tcPr>
          <w:p>
            <w:pPr>
              <w:spacing w:after="0"/>
              <w:rPr>
                <w:sz w:val="20"/>
                <w:szCs w:val="20"/>
                <w:color w:val="auto"/>
              </w:rPr>
            </w:pPr>
          </w:p>
        </w:tc>
        <w:tc>
          <w:tcPr>
            <w:tcW w:w="1120" w:type="dxa"/>
            <w:vAlign w:val="bottom"/>
          </w:tcPr>
          <w:p>
            <w:pPr>
              <w:ind w:left="220"/>
              <w:spacing w:after="0"/>
              <w:rPr>
                <w:sz w:val="20"/>
                <w:szCs w:val="20"/>
                <w:color w:val="auto"/>
              </w:rPr>
            </w:pPr>
            <w:r>
              <w:rPr>
                <w:rFonts w:ascii="Arial" w:cs="Arial" w:eastAsia="Arial" w:hAnsi="Arial"/>
                <w:sz w:val="18"/>
                <w:szCs w:val="18"/>
                <w:color w:val="auto"/>
              </w:rPr>
              <w:t>Total</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87"/>
              </w:rPr>
              <w:t>1.4</w:t>
            </w: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tcPr>
          <w:p>
            <w:pPr>
              <w:spacing w:after="0"/>
              <w:rPr>
                <w:sz w:val="21"/>
                <w:szCs w:val="21"/>
                <w:color w:val="auto"/>
              </w:rPr>
            </w:pPr>
          </w:p>
        </w:tc>
        <w:tc>
          <w:tcPr>
            <w:tcW w:w="1240" w:type="dxa"/>
            <w:vAlign w:val="bottom"/>
          </w:tcPr>
          <w:p>
            <w:pPr>
              <w:jc w:val="center"/>
              <w:ind w:left="590"/>
              <w:spacing w:after="0"/>
              <w:rPr>
                <w:sz w:val="20"/>
                <w:szCs w:val="20"/>
                <w:color w:val="auto"/>
              </w:rPr>
            </w:pPr>
            <w:r>
              <w:rPr>
                <w:rFonts w:ascii="Arial" w:cs="Arial" w:eastAsia="Arial" w:hAnsi="Arial"/>
                <w:sz w:val="18"/>
                <w:szCs w:val="18"/>
                <w:color w:val="auto"/>
                <w:w w:val="97"/>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center"/>
              <w:ind w:left="470"/>
              <w:spacing w:after="0"/>
              <w:rPr>
                <w:sz w:val="20"/>
                <w:szCs w:val="20"/>
                <w:color w:val="auto"/>
              </w:rPr>
            </w:pPr>
            <w:r>
              <w:rPr>
                <w:rFonts w:ascii="Arial" w:cs="Arial" w:eastAsia="Arial" w:hAnsi="Arial"/>
                <w:sz w:val="18"/>
                <w:szCs w:val="18"/>
                <w:color w:val="auto"/>
                <w:w w:val="97"/>
              </w:rPr>
              <w:t>(0.6)</w:t>
            </w:r>
          </w:p>
        </w:tc>
      </w:tr>
      <w:tr>
        <w:trPr>
          <w:trHeight w:val="27"/>
        </w:trPr>
        <w:tc>
          <w:tcPr>
            <w:tcW w:w="5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87"/>
              </w:rPr>
              <w:t>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87"/>
              </w:rPr>
              <w:t>0.8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15, 2016, our Board of Directors approved a restructuring plan designed to repurpose several of our production facilities in support of growing high-value proprietary products and to realign operational and commercial activities to meet the needs of our new market-focused commercial organization. As of March 31, 2020, we completed our remaining restructuring obligations related to the 2016 restructuring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256"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During both the three months ended March 31, 2020 and 2019, we recorded development income of $0.2 million related to a nonrefundable customer payment of $20.0 million received in June 2013 in return for the exclusive use of the SmartDose technology platform within a specific therapeutic area. Please refer to Note 3, </w:t>
      </w:r>
      <w:r>
        <w:rPr>
          <w:rFonts w:ascii="Arial" w:cs="Arial" w:eastAsia="Arial" w:hAnsi="Arial"/>
          <w:sz w:val="18"/>
          <w:szCs w:val="18"/>
          <w:i w:val="1"/>
          <w:iCs w:val="1"/>
          <w:color w:val="auto"/>
        </w:rPr>
        <w:t>Revenue</w:t>
      </w:r>
      <w:r>
        <w:rPr>
          <w:rFonts w:ascii="Arial" w:cs="Arial" w:eastAsia="Arial" w:hAnsi="Arial"/>
          <w:sz w:val="18"/>
          <w:szCs w:val="18"/>
          <w:color w:val="auto"/>
        </w:rPr>
        <w:t>, for additional information.</w:t>
      </w:r>
    </w:p>
    <w:p>
      <w:pPr>
        <w:spacing w:after="0" w:line="211" w:lineRule="exact"/>
        <w:rPr>
          <w:sz w:val="20"/>
          <w:szCs w:val="20"/>
          <w:color w:val="auto"/>
        </w:rPr>
      </w:pPr>
    </w:p>
    <w:p>
      <w:pPr>
        <w:ind w:right="1120"/>
        <w:spacing w:after="0" w:line="277" w:lineRule="auto"/>
        <w:rPr>
          <w:sz w:val="20"/>
          <w:szCs w:val="20"/>
          <w:color w:val="auto"/>
        </w:rPr>
      </w:pPr>
      <w:r>
        <w:rPr>
          <w:rFonts w:ascii="Arial" w:cs="Arial" w:eastAsia="Arial" w:hAnsi="Arial"/>
          <w:sz w:val="18"/>
          <w:szCs w:val="18"/>
          <w:color w:val="auto"/>
        </w:rPr>
        <w:t xml:space="preserve">Contingent consideration represents changes in the fair value of the SmartDose contingent consideration. Please refer to Note 10,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for additional details.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Other items consist of gains and losses on the sale of fixed assets and miscellaneous income and charges.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provision for income taxes was $15.0 million and $16.1 million for the three months ended March 31, 2020 and 2019, respectively, and the effective tax rate was 17.4% and 23.1%, respectively. The decrease in the effective tax rate is primarily due to an increase in stock-based compensation deductions for the three months ended March 31, 2020 as compared to the same period in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cannot be accurately predicted, we believe their ultimate resolution should not have a material adverse effect on our business, financial condition, results of operations or liquidity.</w:t>
      </w:r>
    </w:p>
    <w:p>
      <w:pPr>
        <w:spacing w:after="0" w:line="197"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19">
        <w:r>
          <w:rPr>
            <w:rFonts w:ascii="Arial" w:cs="Arial" w:eastAsia="Arial" w:hAnsi="Arial"/>
            <w:sz w:val="18"/>
            <w:szCs w:val="18"/>
            <w:u w:val="single" w:color="auto"/>
            <w:color w:val="0000FF"/>
          </w:rPr>
          <w:t>2019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jc w:val="both"/>
        <w:ind w:right="120"/>
        <w:spacing w:after="0" w:line="301"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and other services,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adjustments to annual incentive plan expense for over- or under-attainment of targets,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specifically-identified income or expense items.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w w:val="94"/>
              </w:rPr>
              <w:t>The following table presents information about our reportable segments, reconciled to consolidated totals: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373.5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Intersegment sales elimination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443.5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7980" w:type="dxa"/>
            <w:vAlign w:val="bottom"/>
          </w:tcPr>
          <w:p>
            <w:pPr>
              <w:ind w:left="220"/>
              <w:spacing w:after="0"/>
              <w:rPr>
                <w:sz w:val="20"/>
                <w:szCs w:val="20"/>
                <w:color w:val="auto"/>
              </w:rPr>
            </w:pPr>
            <w:r>
              <w:rPr>
                <w:rFonts w:ascii="Arial" w:cs="Arial" w:eastAsia="Arial" w:hAnsi="Arial"/>
                <w:sz w:val="18"/>
                <w:szCs w:val="18"/>
                <w:color w:val="auto"/>
              </w:rPr>
              <w:t>Other unallocated items</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nonoperating expense (income)</w:t>
            </w:r>
          </w:p>
        </w:tc>
        <w:tc>
          <w:tcPr>
            <w:tcW w:w="36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Other unallocated items during the three months ended March 31, 2019 consisted of $0.6 million in restructuring and related charges. Please refer to Note 15, </w:t>
      </w:r>
      <w:r>
        <w:rPr>
          <w:rFonts w:ascii="Arial" w:cs="Arial" w:eastAsia="Arial" w:hAnsi="Arial"/>
          <w:sz w:val="18"/>
          <w:szCs w:val="18"/>
          <w:i w:val="1"/>
          <w:iCs w:val="1"/>
          <w:color w:val="auto"/>
        </w:rPr>
        <w:t>Other Income</w:t>
      </w:r>
      <w:r>
        <w:rPr>
          <w:rFonts w:ascii="Arial" w:cs="Arial" w:eastAsia="Arial" w:hAnsi="Arial"/>
          <w:sz w:val="18"/>
          <w:szCs w:val="18"/>
          <w:color w:val="auto"/>
        </w:rPr>
        <w:t>, for further discussion of these items.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2019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2019 Annual Report and in Part II, Item 1A of this Form 10-Q.</w:t>
      </w:r>
    </w:p>
    <w:p>
      <w:pPr>
        <w:spacing w:after="0" w:line="2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financial results excluding the effects of unallocated items. The re-measured results excluding effects from currency translation, the impact from acquisitions and/or divestitures, and the effects of unallocated items are not in conformity with U.S. GAAP and should not be used as a substitute for the comparable U.S. GAAP financial measures. The non-U.S. GAAP financial measures are incorporated into our discussion and analysis as management uses them in evaluating our results of operations and believes that this information provides users a valuable insight into our overall performance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a leading global manufacturer in the design and production of technologically advanced, high-quality, integrated containment and delivery systems for injectable drugs and healthcare products. Our products include a variety of primary packaging, containment solutions, reconstitution and transfer systems, and drug delivery systems, as well as contract manufacturing, analytical lab and other services and integrated solutions. Our customers include the leading biologic, generic, pharmaceutical, diagnostic, and additional medical device companies in the world. Our top priority is delivering quality products that meet the exact product specifications and quality standards customers require and expect. This focus on quality includes excellence in manufacturing, scientific and technical expertise and management, and enables us to partner with our customers in order to deliver safe, effective drug products to patients quickly and efficiently. The Company was incorporated under the laws of the Commonwealth of Pennsylvania on July 27, 1923.</w:t>
      </w:r>
    </w:p>
    <w:p>
      <w:pPr>
        <w:spacing w:after="0" w:line="19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Our business operations are organized into two reportable segments, Proprietary Products and Contract-Manufactured Products. Our Proprietary Products reportable segment offers proprietary packaging, containment and drug delivery products, along with analytical lab services and integrated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partnerships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4" w:name="page25"/>
    <w:bookmarkEnd w:id="24"/>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West has been actively monitoring the COVID-19 situation and its impact globally. Our primary objectives have remained the same throughout the pandemic: to support the safety of our team members and their families and continue to support patients around the world. The financial results for the three months ended March 31, 2020 were not significantly impacted by COVID-19 and our production facilities continued to operate during the quarter as they had prior to the COVID-19 pandemic with very little change, other than for enhanced safety measures intended to prevent the spread of the virus. Our capital and financial resources, including overall liquidity, remain strong. The remote working arrangements and travel restrictions imposed by various governments had limited impact on our ability to maintain operations during the quarter, as our manufacturing operations have generally been exempted from stay-at-home orders. However, we cannot predict the impact of the progression of the COVID-19 pandemic on future results due to a variety of factors, including the continued good health of our employees, the ability of suppliers to continue to operate and deliver, the ability of West and its customers to maintain operations, continued access to transportation resources, the changing needs and priorities of customers, any further government and/or public actions taken in response to the pandemic and ultimately the length of the pandemic. We will continue to closely monitor the COVID-19 pandemic in order to ensure the safety of our people and our ability to serve our customers and patients worldwide.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Financial Performance Summary</w:t>
      </w:r>
    </w:p>
    <w:p>
      <w:pPr>
        <w:spacing w:after="0" w:line="25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Consolidated net sales increased by $48.0 million, or 10.8%, for the three months ended March 31, 2020, as compared to the same period in 2019. Excluding foreign currency translation effects, as well as incremental sales of $1.2 million from our 2019 acquisition, consolidated net sales for the three months ended March 31, 2020 increased by $56.5 million, or 12.7%, as compared to the same period in 2019. The increase in net sales was primarily driven by the performance of our Proprietary Products segment, which delivered 11.8% organic growth compared to the same period in 2019.</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for the three months ended March 31, 2020 was $74.3 million, or $0.99 per diluted share, as compared to $55.4 million, or $0.73 per diluted share, for the same period in 2019. Net income improvement of $18.9 million was largely driven by the $16.2 million improvement in our operating profit from growth in our Proprietary Products segment. Additionally, our results include a tax benefit of $5.1 million, or $0.07 per diluted share, associated with stock-based compensation compared to a tax benefit of $1.4 million, or $0.02 per diluted share, associated with stock-based compensation for the three months ended March 31,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adjustments to annual incentive plan expense for over- or under-attainment of targets, certain pension and other retirement benefit costs, and other corporate facilities and administrative expenses not allocated to the segments. Also excluded are items that we consider not representative of ongoing operations. Such items are referred to as other unallocated items and generally include restructuring and related charges, certain asset impairments and other specifically-identified income or expense items.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25" w:name="page26"/>
    <w:bookmarkEnd w:id="25"/>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three months ended March 31, 2020 and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40"/>
              <w:spacing w:after="0"/>
              <w:rPr>
                <w:sz w:val="20"/>
                <w:szCs w:val="20"/>
                <w:color w:val="auto"/>
              </w:rPr>
            </w:pPr>
            <w:r>
              <w:rPr>
                <w:rFonts w:ascii="Arial" w:cs="Arial" w:eastAsia="Arial" w:hAnsi="Arial"/>
                <w:sz w:val="18"/>
                <w:szCs w:val="18"/>
                <w:color w:val="auto"/>
              </w:rPr>
              <w:t>Three Months Ended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8"/>
                <w:szCs w:val="18"/>
                <w:color w:val="auto"/>
              </w:rPr>
              <w:t>March 31,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4"/>
          </w:tcPr>
          <w:p>
            <w:pPr>
              <w:ind w:left="1240"/>
              <w:spacing w:after="0"/>
              <w:rPr>
                <w:sz w:val="20"/>
                <w:szCs w:val="20"/>
                <w:color w:val="auto"/>
              </w:rPr>
            </w:pPr>
            <w:r>
              <w:rPr>
                <w:rFonts w:ascii="Arial" w:cs="Arial" w:eastAsia="Arial" w:hAnsi="Arial"/>
                <w:sz w:val="18"/>
                <w:szCs w:val="18"/>
                <w:color w:val="auto"/>
                <w:w w:val="95"/>
              </w:rPr>
              <w:t>% Change</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As-Reported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Organic</w:t>
            </w:r>
          </w:p>
        </w:tc>
        <w:tc>
          <w:tcPr>
            <w:tcW w:w="200" w:type="dxa"/>
            <w:vAlign w:val="bottom"/>
          </w:tcPr>
          <w:p>
            <w:pPr>
              <w:spacing w:after="0"/>
              <w:rPr>
                <w:sz w:val="20"/>
                <w:szCs w:val="20"/>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482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491.5</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Consolidated net sales increased by $48.0 million, or 10.8%, for the three months ended March 31, 2020, as compared to the same period in 2019, including an unfavorable foreign currency translation impact of $9.7 million. Excluding foreign currency translation effects, as well as incremental sales of $1.2 million from our 2019 acquisition, consolidated net sales for the three months ended March 31, 2020 increased by $56.5 million, or 12.7%, as compared to the same period in 2019.</w:t>
      </w:r>
    </w:p>
    <w:p>
      <w:pPr>
        <w:spacing w:after="0" w:line="210"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net sales increased by $33.1 million, or 9.7%, for the three months ended March 31, 2020,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2019, including an unfavorable foreign currency translation impact of $8.3 million. Excluding foreign currency translation effects, as well as incremental sales of $1.2 million from our 2019 acquisition, net sales for the three months ended March 31, 2020 increased by $40.2 million, or 11.8%, as compared to the same period in 2019, primarily due to growth in our high-value product offerings, including our Westar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components, Daikyo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components, our NovaPure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FluroTec</w:t>
      </w:r>
      <w:r>
        <w:rPr>
          <w:rFonts w:ascii="Arial" w:cs="Arial" w:eastAsia="Arial" w:hAnsi="Arial"/>
          <w:sz w:val="22"/>
          <w:szCs w:val="22"/>
          <w:color w:val="auto"/>
          <w:vertAlign w:val="superscript"/>
        </w:rPr>
        <w:t>®</w:t>
      </w:r>
      <w:r>
        <w:rPr>
          <w:rFonts w:ascii="Arial" w:cs="Arial" w:eastAsia="Arial" w:hAnsi="Arial"/>
          <w:sz w:val="17"/>
          <w:szCs w:val="17"/>
          <w:color w:val="auto"/>
        </w:rPr>
        <w:t>-coated components, and our Daikyo Crystal Zenith</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products.</w:t>
      </w:r>
    </w:p>
    <w:p>
      <w:pPr>
        <w:spacing w:after="0" w:line="11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net sales increased by $15.0 million, or 14.5%,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as compared to the same period in 2019, including an unfavorable foreign currency translation impact of $1.4 million. Excluding foreign currency translation effects, net sales for the three months ended March 31, 2020 increased by $16.4 million, or 15.9%, as compared to the same period in 2019, due to an increase in the sale of healthcare-related injection and diagnostic devices.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profit and related gross profit margins, consolidated and by reportable segment: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20" w:type="dxa"/>
            <w:vAlign w:val="bottom"/>
            <w:gridSpan w:val="5"/>
          </w:tcPr>
          <w:p>
            <w:pPr>
              <w:jc w:val="right"/>
              <w:ind w:right="650"/>
              <w:spacing w:after="0"/>
              <w:rPr>
                <w:sz w:val="20"/>
                <w:szCs w:val="20"/>
                <w:color w:val="auto"/>
              </w:rPr>
            </w:pPr>
            <w:r>
              <w:rPr>
                <w:rFonts w:ascii="Arial" w:cs="Arial" w:eastAsia="Arial" w:hAnsi="Arial"/>
                <w:sz w:val="18"/>
                <w:szCs w:val="18"/>
                <w:color w:val="auto"/>
              </w:rPr>
              <w:t>Three Months Ended</w:t>
            </w:r>
          </w:p>
        </w:tc>
        <w:tc>
          <w:tcPr>
            <w:tcW w:w="200" w:type="dxa"/>
            <w:vAlign w:val="bottom"/>
          </w:tcPr>
          <w:p>
            <w:pPr>
              <w:spacing w:after="0"/>
              <w:rPr>
                <w:sz w:val="18"/>
                <w:szCs w:val="18"/>
                <w:color w:val="auto"/>
              </w:rPr>
            </w:pPr>
          </w:p>
        </w:tc>
      </w:tr>
      <w:tr>
        <w:trPr>
          <w:trHeight w:val="230"/>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4"/>
          </w:tcPr>
          <w:p>
            <w:pPr>
              <w:jc w:val="right"/>
              <w:ind w:right="160"/>
              <w:spacing w:after="0"/>
              <w:rPr>
                <w:sz w:val="20"/>
                <w:szCs w:val="20"/>
                <w:color w:val="auto"/>
              </w:rPr>
            </w:pPr>
            <w:r>
              <w:rPr>
                <w:rFonts w:ascii="Arial" w:cs="Arial" w:eastAsia="Arial" w:hAnsi="Arial"/>
                <w:sz w:val="18"/>
                <w:szCs w:val="18"/>
                <w:color w:val="auto"/>
              </w:rPr>
              <w:t>March 31,</w:t>
            </w: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150.1</w:t>
            </w: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200" w:type="dxa"/>
            <w:vAlign w:val="bottom"/>
            <w:shd w:val="clear" w:color="auto" w:fill="CCEEFF"/>
          </w:tcPr>
          <w:p>
            <w:pPr>
              <w:spacing w:after="0"/>
              <w:rPr>
                <w:sz w:val="24"/>
                <w:szCs w:val="24"/>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7860" w:type="dxa"/>
            <w:vAlign w:val="bottom"/>
          </w:tcPr>
          <w:p>
            <w:pPr>
              <w:ind w:left="20"/>
              <w:spacing w:after="0"/>
              <w:rPr>
                <w:sz w:val="20"/>
                <w:szCs w:val="20"/>
                <w:color w:val="auto"/>
              </w:rPr>
            </w:pPr>
            <w:r>
              <w:rPr>
                <w:rFonts w:ascii="Arial" w:cs="Arial" w:eastAsia="Arial" w:hAnsi="Arial"/>
                <w:sz w:val="18"/>
                <w:szCs w:val="18"/>
                <w:color w:val="auto"/>
              </w:rPr>
              <w:t>Consolidated gross profit margin</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1"/>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Consolidated gross profit increased by $20.2 million, or 13.8%, for the three months ended March 31, 2020, as compared to the same period in 2019, including an unfavorable foreign currency translation impact of $3.3 million. Consolidated gross profit margin increased by 0.9 margin points for the three months ended March 31, 2020, as compared to the same period in 2019.</w:t>
      </w:r>
    </w:p>
    <w:p>
      <w:pPr>
        <w:spacing w:after="0" w:line="207"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gross profit increased by $17.8 million, or 13.5%, for the three months ended March 31, 2020,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same period in 2019, including an unfavorable foreign currency translation impact of $3.1 million. Proprietary Products gross profit margin increased by 1.3 margin points for the three months ended March 31, 2020, as compared to the same period in 2019, due to sales price increases, a favorable mix of products sold and production efficiencies, partially offset by increased overhead costs including compensation costs.</w:t>
      </w:r>
    </w:p>
    <w:p>
      <w:pPr>
        <w:spacing w:after="0" w:line="19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increased by $2.4 million, or 16.6%, for the three months ended</w:t>
      </w:r>
      <w:r>
        <w:rPr>
          <w:rFonts w:ascii="Arial" w:cs="Arial" w:eastAsia="Arial" w:hAnsi="Arial"/>
          <w:sz w:val="16"/>
          <w:szCs w:val="16"/>
          <w:b w:val="1"/>
          <w:bCs w:val="1"/>
          <w:color w:val="auto"/>
        </w:rPr>
        <w:t xml:space="preserve"> </w:t>
      </w:r>
      <w:r>
        <w:rPr>
          <w:rFonts w:ascii="Arial" w:cs="Arial" w:eastAsia="Arial" w:hAnsi="Arial"/>
          <w:sz w:val="16"/>
          <w:szCs w:val="16"/>
          <w:color w:val="auto"/>
        </w:rPr>
        <w:t>March 31, 2020, as compared to the same period in 2019, including an unfavorable foreign currency translation impact of $0.2 million. Contract-Manufactured Products gross profit margin increased by 0.3 margin points for the three months ended March 31, 2020, as compared to the same period in 2019, due to a favorable mix of products sold and production efficiencies, partially offset by increased overhead costs including compensation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Research and Development (“R&amp;D”)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R&amp;D costs, consolidated and by reportable segment: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99"/>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Consolidated R&amp;D costs increased by $0.9 million, or 9.2%, for the three months ended March 31, 2020, as compared to the same period in 2019. Efforts remain focused on the continued investment in self-injection systems development, fluid transfer admixture devices, elastomeric packaging components, and formulation development.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All of the R&amp;D costs incurred during the three months ended March 31, 2020 related to Proprietary Products.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(“SG&amp;A”) Costs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59"/>
        </w:trPr>
        <w:tc>
          <w:tcPr>
            <w:tcW w:w="7860" w:type="dxa"/>
            <w:vAlign w:val="bottom"/>
          </w:tcPr>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9"/>
        </w:trPr>
        <w:tc>
          <w:tcPr>
            <w:tcW w:w="7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4"/>
          </w:tcPr>
          <w:p>
            <w:pPr>
              <w:jc w:val="right"/>
              <w:ind w:right="850"/>
              <w:spacing w:after="0"/>
              <w:rPr>
                <w:sz w:val="20"/>
                <w:szCs w:val="20"/>
                <w:color w:val="auto"/>
              </w:rPr>
            </w:pPr>
            <w:r>
              <w:rPr>
                <w:rFonts w:ascii="Arial" w:cs="Arial" w:eastAsia="Arial" w:hAnsi="Arial"/>
                <w:sz w:val="18"/>
                <w:szCs w:val="18"/>
                <w:color w:val="auto"/>
              </w:rPr>
              <w:t>Three Months Ended</w:t>
            </w:r>
          </w:p>
        </w:tc>
      </w:tr>
      <w:tr>
        <w:trPr>
          <w:trHeight w:val="230"/>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6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ind w:right="550"/>
              <w:spacing w:after="0"/>
              <w:rPr>
                <w:sz w:val="20"/>
                <w:szCs w:val="20"/>
                <w:color w:val="auto"/>
              </w:rPr>
            </w:pPr>
            <w:r>
              <w:rPr>
                <w:rFonts w:ascii="Arial" w:cs="Arial" w:eastAsia="Arial" w:hAnsi="Arial"/>
                <w:sz w:val="18"/>
                <w:szCs w:val="18"/>
                <w:color w:val="auto"/>
              </w:rPr>
              <w:t>2019</w:t>
            </w: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48.8</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4.0</w:t>
            </w: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15.8</w:t>
            </w: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color w:val="auto"/>
              </w:rPr>
              <w:t>Consolidated SG&amp;A costs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68.6</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89"/>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SG&amp;A as a % of net sales</w:t>
            </w:r>
          </w:p>
        </w:tc>
        <w:tc>
          <w:tcPr>
            <w:tcW w:w="3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14.6 %</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15.5 %</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Consolidated SG&amp;A costs increased by $3.2 million, or 4.7%, for the three months ended March 31, 2020, as compared to the same period in 2019, including an unfavorable foreign currency translation impact of $0.8 million.</w:t>
      </w:r>
    </w:p>
    <w:p>
      <w:pPr>
        <w:spacing w:after="0" w:line="193" w:lineRule="exact"/>
        <w:rPr>
          <w:sz w:val="20"/>
          <w:szCs w:val="20"/>
          <w:color w:val="auto"/>
        </w:rPr>
      </w:pPr>
    </w:p>
    <w:p>
      <w:pPr>
        <w:ind w:right="60"/>
        <w:spacing w:after="0" w:line="314"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SG&amp;A costs increased by $1.1 million, or 2.3%, for the three months ended March 31, 2020,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in 2019. Proprietary Products SG&amp;A costs increased primarily due to an unfavorable foreign currency translation impact of $0.8 million and an increase in compensation costs, partially offset by a reduction in incremental costs incurred in 2019 associated with our voluntary recall.</w:t>
      </w:r>
    </w:p>
    <w:p>
      <w:pPr>
        <w:spacing w:after="0" w:line="169"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remained constant for the three months ended March 31,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w:t>
      </w:r>
    </w:p>
    <w:p>
      <w:pPr>
        <w:spacing w:after="0" w:line="18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SG&amp;A costs increased by $2.1 million, or 13.3%, for the three months ended March 31, 2020, as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2019, primarily due to an increase in professional fees.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income and expense items, consolidated and by reportable segment, corporate and unallocated items: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220" w:type="dxa"/>
            <w:vAlign w:val="bottom"/>
          </w:tcPr>
          <w:p>
            <w:pPr>
              <w:jc w:val="center"/>
              <w:ind w:left="590"/>
              <w:spacing w:after="0"/>
              <w:rPr>
                <w:sz w:val="20"/>
                <w:szCs w:val="20"/>
                <w:color w:val="auto"/>
              </w:rPr>
            </w:pPr>
            <w:r>
              <w:rPr>
                <w:rFonts w:ascii="Arial" w:cs="Arial" w:eastAsia="Arial" w:hAnsi="Arial"/>
                <w:sz w:val="18"/>
                <w:szCs w:val="18"/>
                <w:color w:val="auto"/>
                <w:w w:val="87"/>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color w:val="auto"/>
              </w:rPr>
              <w:t>Consolidated other income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center"/>
              <w:ind w:left="550"/>
              <w:spacing w:after="0"/>
              <w:rPr>
                <w:sz w:val="20"/>
                <w:szCs w:val="20"/>
                <w:color w:val="auto"/>
              </w:rPr>
            </w:pPr>
            <w:r>
              <w:rPr>
                <w:rFonts w:ascii="Arial" w:cs="Arial" w:eastAsia="Arial" w:hAnsi="Arial"/>
                <w:sz w:val="18"/>
                <w:szCs w:val="18"/>
                <w:color w:val="auto"/>
                <w:w w:val="91"/>
              </w:rPr>
              <w:t>(3.5)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Other income and expense items, consisting of foreign exchange transaction gains and losses, gains and losses on the sale of fixed assets, development and licensing income, contingent consideration, and miscellaneous income and charges, are generally recorded within segment results.</w:t>
      </w:r>
    </w:p>
    <w:p>
      <w:pPr>
        <w:spacing w:after="0" w:line="15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Consolidated other income changed by $1.2 million for the three months ended March 31, 2020, as compared to the same period in 2019. Corporate and unallocated items decreased by $0.9 million for the three months ended March 31, 2020, as compared to the same period in 2019. During the three months ended March 31, 2019, we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recorded $0.6 million in restructuring and related charges. Please refer to Note 15, </w:t>
      </w:r>
      <w:r>
        <w:rPr>
          <w:rFonts w:ascii="Arial" w:cs="Arial" w:eastAsia="Arial" w:hAnsi="Arial"/>
          <w:sz w:val="18"/>
          <w:szCs w:val="18"/>
          <w:i w:val="1"/>
          <w:iCs w:val="1"/>
          <w:color w:val="auto"/>
        </w:rPr>
        <w:t>Other Income</w:t>
      </w:r>
      <w:r>
        <w:rPr>
          <w:rFonts w:ascii="Arial" w:cs="Arial" w:eastAsia="Arial" w:hAnsi="Arial"/>
          <w:sz w:val="18"/>
          <w:szCs w:val="18"/>
          <w:color w:val="auto"/>
        </w:rPr>
        <w:t>, 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adjusted operating profit, consolidated and by reportable segment, corporate and unallocated items: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40" w:type="dxa"/>
            <w:vAlign w:val="bottom"/>
            <w:gridSpan w:val="5"/>
          </w:tcPr>
          <w:p>
            <w:pPr>
              <w:jc w:val="right"/>
              <w:ind w:right="67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r>
      <w:tr>
        <w:trPr>
          <w:trHeight w:val="230"/>
        </w:trPr>
        <w:tc>
          <w:tcPr>
            <w:tcW w:w="7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gridSpan w:val="4"/>
          </w:tcPr>
          <w:p>
            <w:pPr>
              <w:jc w:val="right"/>
              <w:ind w:right="70"/>
              <w:spacing w:after="0"/>
              <w:rPr>
                <w:sz w:val="20"/>
                <w:szCs w:val="20"/>
                <w:color w:val="auto"/>
              </w:rPr>
            </w:pPr>
            <w:r>
              <w:rPr>
                <w:rFonts w:ascii="Arial" w:cs="Arial" w:eastAsia="Arial" w:hAnsi="Arial"/>
                <w:sz w:val="18"/>
                <w:szCs w:val="18"/>
                <w:color w:val="auto"/>
              </w:rPr>
              <w:t>March 31,</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4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780" w:type="dxa"/>
            <w:vAlign w:val="bottom"/>
            <w:tcBorders>
              <w:bottom w:val="single" w:sz="8" w:color="CCEEFF"/>
            </w:tcBorders>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color w:val="auto"/>
              </w:rPr>
              <w:t>Adjusted consolidated operating profit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80" w:type="dxa"/>
            <w:vAlign w:val="bottom"/>
            <w:tcBorders>
              <w:top w:val="single" w:sz="8" w:color="auto"/>
              <w:bottom w:val="single" w:sz="8" w:color="auto"/>
            </w:tcBorders>
          </w:tcPr>
          <w:p>
            <w:pPr>
              <w:spacing w:after="0"/>
              <w:rPr>
                <w:sz w:val="22"/>
                <w:szCs w:val="22"/>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89"/>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operating profit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78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CEEFF"/>
          </w:tcPr>
          <w:p>
            <w:pPr>
              <w:spacing w:after="0"/>
              <w:rPr>
                <w:sz w:val="24"/>
                <w:szCs w:val="24"/>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7860" w:type="dxa"/>
            <w:vAlign w:val="bottom"/>
          </w:tcPr>
          <w:p>
            <w:pPr>
              <w:ind w:left="20"/>
              <w:spacing w:after="0"/>
              <w:rPr>
                <w:sz w:val="20"/>
                <w:szCs w:val="20"/>
                <w:color w:val="auto"/>
              </w:rPr>
            </w:pPr>
            <w:r>
              <w:rPr>
                <w:rFonts w:ascii="Arial" w:cs="Arial" w:eastAsia="Arial" w:hAnsi="Arial"/>
                <w:sz w:val="18"/>
                <w:szCs w:val="18"/>
                <w:color w:val="auto"/>
              </w:rPr>
              <w:t>Consolidated operating profit margin</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Consolidated operating profit increased by $17.3 million, or 24.5%, for the three months ended March 31, 2020, as compared to the same period in 2019, including an unfavorable foreign currency translation impact of $2.6 million for the three months ended March 31, 2020.</w:t>
      </w:r>
    </w:p>
    <w:p>
      <w:pPr>
        <w:spacing w:after="0" w:line="193" w:lineRule="exact"/>
        <w:rPr>
          <w:sz w:val="20"/>
          <w:szCs w:val="20"/>
          <w:color w:val="auto"/>
        </w:rPr>
      </w:pPr>
    </w:p>
    <w:p>
      <w:pPr>
        <w:ind w:right="380"/>
        <w:spacing w:after="0" w:line="347"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operating profit increased by $16.2 million, or 21.0%, for the three months ended March 31, 2020,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the same period in 2019, including an unfavorable foreign currency translation impact of $2.4 million, due to the factors described above.</w:t>
      </w:r>
    </w:p>
    <w:p>
      <w:pPr>
        <w:spacing w:after="0" w:line="143"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$2.3 million, or 21.9%,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as compared to the same period in 2019, including an unfavorable foreign currency translation impact of $0.2 million, due to the factors described above.</w:t>
      </w:r>
    </w:p>
    <w:p>
      <w:pPr>
        <w:spacing w:after="0" w:line="20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Corporate costs increased by $1.8 million, or 11.1%, for the three months ended March 31, 2020, as compared to the same period in 2019, due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factors described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Please refer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Other Income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for details.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Interest Expense, Net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interest expense, net, by significant component:</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99"/>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30"/>
        </w:trPr>
        <w:tc>
          <w:tcPr>
            <w:tcW w:w="7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March 31,</w:t>
            </w:r>
          </w:p>
        </w:tc>
        <w:tc>
          <w:tcPr>
            <w:tcW w:w="11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left="590"/>
              <w:spacing w:after="0"/>
              <w:rPr>
                <w:sz w:val="20"/>
                <w:szCs w:val="20"/>
                <w:color w:val="auto"/>
              </w:rPr>
            </w:pPr>
            <w:r>
              <w:rPr>
                <w:rFonts w:ascii="Arial" w:cs="Arial" w:eastAsia="Arial" w:hAnsi="Arial"/>
                <w:sz w:val="18"/>
                <w:szCs w:val="18"/>
                <w:color w:val="auto"/>
                <w:w w:val="87"/>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470"/>
              <w:spacing w:after="0"/>
              <w:rPr>
                <w:sz w:val="20"/>
                <w:szCs w:val="20"/>
                <w:color w:val="auto"/>
              </w:rPr>
            </w:pPr>
            <w:r>
              <w:rPr>
                <w:rFonts w:ascii="Arial" w:cs="Arial" w:eastAsia="Arial" w:hAnsi="Arial"/>
                <w:sz w:val="18"/>
                <w:szCs w:val="18"/>
                <w:color w:val="auto"/>
                <w:w w:val="87"/>
              </w:rPr>
              <w:t>2.5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360" w:type="dxa"/>
            <w:vAlign w:val="bottom"/>
          </w:tcPr>
          <w:p>
            <w:pPr>
              <w:spacing w:after="0"/>
              <w:rPr>
                <w:sz w:val="21"/>
                <w:szCs w:val="21"/>
                <w:color w:val="auto"/>
              </w:rPr>
            </w:pPr>
          </w:p>
        </w:tc>
        <w:tc>
          <w:tcPr>
            <w:tcW w:w="1220" w:type="dxa"/>
            <w:vAlign w:val="bottom"/>
          </w:tcPr>
          <w:p>
            <w:pPr>
              <w:jc w:val="center"/>
              <w:ind w:left="550"/>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center"/>
              <w:ind w:left="450"/>
              <w:spacing w:after="0"/>
              <w:rPr>
                <w:sz w:val="20"/>
                <w:szCs w:val="20"/>
                <w:color w:val="auto"/>
              </w:rPr>
            </w:pPr>
            <w:r>
              <w:rPr>
                <w:rFonts w:ascii="Arial" w:cs="Arial" w:eastAsia="Arial" w:hAnsi="Arial"/>
                <w:sz w:val="18"/>
                <w:szCs w:val="18"/>
                <w:color w:val="auto"/>
                <w:w w:val="97"/>
              </w:rPr>
              <w:t>(0.2)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(0.8)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7"/>
              </w:rPr>
              <w:t>(0.9)</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center"/>
              <w:ind w:left="590"/>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w w:val="87"/>
              </w:rPr>
              <w:t>1.4</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9" w:name="page30"/>
    <w:bookmarkEnd w:id="29"/>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Expense (Income)</w:t>
      </w:r>
    </w:p>
    <w:p>
      <w:pPr>
        <w:spacing w:after="0" w:line="25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Other nonoperating expense (income) changed by $0.9 million for the three months ended March 31, 2020, as compared to the same period in 2019, primarily due to a $1.4 million pension settlement charge, as we determined that normal-course lump-sum payments for our U.S. qualified defined benefit pension plan exceeded the threshold for settlement accounting under U.S. GAAP for the year, partially offset by a decrease in U.S. pension interest cost.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provision for income taxes was $15.0 million and $16.1 million for the three months ended March 31, 2020 and 2019, respectively, and the effective tax rate was 17.4% and 23.1%, respectively. The decrease in the effective tax rate is primarily due to an increase in stock-based compensation deductions for the three months ended March 31, 2020 as compared to the same period in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Equity in net income of affiliated companies represents the contribution to earnings from our 25% ownership interest in Daikyo, which increased to 49% during the fourth quarter of 2019, and our 49% ownership interest in five companies majority-owned by a long-time partner located in Mexico. Please refer to Note 7, </w:t>
      </w:r>
      <w:r>
        <w:rPr>
          <w:rFonts w:ascii="Arial" w:cs="Arial" w:eastAsia="Arial" w:hAnsi="Arial"/>
          <w:sz w:val="18"/>
          <w:szCs w:val="18"/>
          <w:i w:val="1"/>
          <w:iCs w:val="1"/>
          <w:color w:val="auto"/>
        </w:rPr>
        <w:t>Affiliated Companies</w:t>
      </w:r>
      <w:r>
        <w:rPr>
          <w:rFonts w:ascii="Arial" w:cs="Arial" w:eastAsia="Arial" w:hAnsi="Arial"/>
          <w:sz w:val="18"/>
          <w:szCs w:val="18"/>
          <w:color w:val="auto"/>
        </w:rPr>
        <w:t>, for further discussion. Equity in net income of affiliated companies increased by $1.2 million for the three months ended March 31, 2020, as compared to the same period in 2019, due to favorable operating results at Daikyo, partially offset by amortization expense related to our increase in ownership interest in Daikyo of $1.0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three months ended March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13"/>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85"/>
              </w:rPr>
              <w:t>47.6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490"/>
              <w:spacing w:after="0"/>
              <w:rPr>
                <w:sz w:val="20"/>
                <w:szCs w:val="20"/>
                <w:color w:val="auto"/>
              </w:rPr>
            </w:pPr>
            <w:r>
              <w:rPr>
                <w:rFonts w:ascii="Arial" w:cs="Arial" w:eastAsia="Arial" w:hAnsi="Arial"/>
                <w:sz w:val="18"/>
                <w:szCs w:val="18"/>
                <w:color w:val="auto"/>
                <w:w w:val="93"/>
              </w:rPr>
              <w:t>(28.7)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3"/>
              </w:rPr>
              <w:t>(90.5)</w:t>
            </w:r>
          </w:p>
        </w:tc>
      </w:tr>
      <w:tr>
        <w:trPr>
          <w:trHeight w:val="27"/>
        </w:trPr>
        <w:tc>
          <w:tcPr>
            <w:tcW w:w="7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ind w:right="180"/>
        <w:spacing w:after="0" w:line="347" w:lineRule="auto"/>
        <w:rPr>
          <w:sz w:val="20"/>
          <w:szCs w:val="20"/>
          <w:color w:val="auto"/>
        </w:rPr>
      </w:pPr>
      <w:r>
        <w:rPr>
          <w:rFonts w:ascii="Arial" w:cs="Arial" w:eastAsia="Arial" w:hAnsi="Arial"/>
          <w:sz w:val="16"/>
          <w:szCs w:val="16"/>
          <w:b w:val="1"/>
          <w:bCs w:val="1"/>
          <w:color w:val="auto"/>
        </w:rPr>
        <w:t xml:space="preserve">Net Cash Provided by Operating Activities – </w:t>
      </w:r>
      <w:r>
        <w:rPr>
          <w:rFonts w:ascii="Arial" w:cs="Arial" w:eastAsia="Arial" w:hAnsi="Arial"/>
          <w:sz w:val="16"/>
          <w:szCs w:val="16"/>
          <w:color w:val="auto"/>
        </w:rPr>
        <w:t>Net cash provided by operating activities increased by $9.5 million for the three months ended March 31,</w:t>
      </w:r>
      <w:r>
        <w:rPr>
          <w:rFonts w:ascii="Arial" w:cs="Arial" w:eastAsia="Arial" w:hAnsi="Arial"/>
          <w:sz w:val="16"/>
          <w:szCs w:val="16"/>
          <w:b w:val="1"/>
          <w:bCs w:val="1"/>
          <w:color w:val="auto"/>
        </w:rPr>
        <w:t xml:space="preserve"> </w:t>
      </w:r>
      <w:r>
        <w:rPr>
          <w:rFonts w:ascii="Arial" w:cs="Arial" w:eastAsia="Arial" w:hAnsi="Arial"/>
          <w:sz w:val="16"/>
          <w:szCs w:val="16"/>
          <w:color w:val="auto"/>
        </w:rPr>
        <w:t>2020, as compared to the same period in 2019, primarily due to improved operating results, partially offset by changes in working capital.</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Net Cash Used in Investing Activities – </w:t>
      </w:r>
      <w:r>
        <w:rPr>
          <w:rFonts w:ascii="Arial" w:cs="Arial" w:eastAsia="Arial" w:hAnsi="Arial"/>
          <w:sz w:val="18"/>
          <w:szCs w:val="18"/>
          <w:color w:val="auto"/>
        </w:rPr>
        <w:t>Net cash used in investing activities increased by $3.2 million for the three months ended March 31,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 primarily due to an increase in capital expenditures.</w:t>
      </w:r>
    </w:p>
    <w:p>
      <w:pPr>
        <w:spacing w:after="0" w:line="18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Net Cash Used in Financing Activities – </w:t>
      </w:r>
      <w:r>
        <w:rPr>
          <w:rFonts w:ascii="Arial" w:cs="Arial" w:eastAsia="Arial" w:hAnsi="Arial"/>
          <w:sz w:val="18"/>
          <w:szCs w:val="18"/>
          <w:color w:val="auto"/>
        </w:rPr>
        <w:t>Net cash used in financing activities increased by $29.8 million for the three months ended March 31, 2020,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2019, primarily due to increases in purchases under our share repurchases programs, partially offset by an increase in proceeds from stock-based compensation award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99"/>
        </w:trPr>
        <w:tc>
          <w:tcPr>
            <w:tcW w:w="7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319.3</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157.9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156.8</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1,490.2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1,573.2</w:t>
            </w: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717.1</w:t>
            </w:r>
          </w:p>
        </w:tc>
      </w:tr>
      <w:tr>
        <w:trPr>
          <w:trHeight w:val="27"/>
        </w:trPr>
        <w:tc>
          <w:tcPr>
            <w:tcW w:w="7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Cash and cash equivalents – </w:t>
      </w:r>
      <w:r>
        <w:rPr>
          <w:rFonts w:ascii="Arial" w:cs="Arial" w:eastAsia="Arial" w:hAnsi="Arial"/>
          <w:sz w:val="18"/>
          <w:szCs w:val="18"/>
          <w:color w:val="auto"/>
        </w:rPr>
        <w:t>Our cash and cash equivalents balance at March 31, 2020 consisted of cash held in depository accounts with banks around</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 and cash invested in high-quality, short-term investments. The cash and cash equivalents balance at March 31, 2020 included $90.3 million of cash held by subsidiaries within the U.S., and $245.0 million of cash held by subsidiaries outside of the U.S. During the three months ended March 31, 2020, we purchased 761,500 shares of our common stock under our calendar-year 2020 share repurchase program at a cost of $115.5 million, or an average price of $151.65 per share.</w:t>
      </w:r>
    </w:p>
    <w:p>
      <w:pPr>
        <w:spacing w:after="0" w:line="21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March 31, 2020 decreased by $84.0 million, or 11.7%, as compared to December 31, 2019, including a decrease of</w:t>
      </w:r>
      <w:r>
        <w:rPr>
          <w:rFonts w:ascii="Arial" w:cs="Arial" w:eastAsia="Arial" w:hAnsi="Arial"/>
          <w:sz w:val="18"/>
          <w:szCs w:val="18"/>
          <w:b w:val="1"/>
          <w:bCs w:val="1"/>
          <w:color w:val="auto"/>
        </w:rPr>
        <w:t xml:space="preserve"> </w:t>
      </w:r>
      <w:r>
        <w:rPr>
          <w:rFonts w:ascii="Arial" w:cs="Arial" w:eastAsia="Arial" w:hAnsi="Arial"/>
          <w:sz w:val="18"/>
          <w:szCs w:val="18"/>
          <w:color w:val="auto"/>
        </w:rPr>
        <w:t>$32.9 million due to foreign currency translation. Excluding the impact of currency exchange rates, accounts receivable, inventories and total current liabilities increased by $19.8 million, $20.7 million and $8.3 million, respectively, while cash and cash equivalents decreased by $95.1 million. The increase in accounts receivable was due to increased sales activity and longer customer payment terms. The increase in inventories was in response to meeting our planned 2020 production levels. The increase in total current liabilities was primarily due to an increase in income taxes payable, partially offset by a decrease in accrued salaries, wages and benefits.</w:t>
      </w:r>
    </w:p>
    <w:p>
      <w:pPr>
        <w:spacing w:after="0" w:line="21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$0.6 million decrease in total debt at March 31, 2020, as compared to December 31, 2019,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19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sources of liquidity include our Credit Facility. At March 31, 2020, we had no outstanding borrowings under the Credit Facility. At March 31, 2020, the borrowing capacity available under the Credit Facility, including outstanding letters of credit of $2.5 million, was $297.5 million. We do not expect any significant limitations on our ability to access this source of funds.</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March 31, 2020, we were in compliance with all of our debt covenants.</w:t>
      </w:r>
    </w:p>
    <w:p>
      <w:pPr>
        <w:spacing w:after="0" w:line="2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 table summarizing the amounts and estimated timing of future cash payments resulting from commitments and contractual obligations was provided in our 2019 Annual Report. During the three months ended March 31, 2020,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At March 31, 2020, we had no off-balance sheet financing arrangements other than unconditional purchase obligations incurred in the ordinary course of business and outstanding letters of credit related to various insurance programs, as noted in our 2019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2019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 xml:space="preserve">For information on new accounting standards that were adopted, and those issued but not yet adopted, during the three months ended March 31, 2020, and the impact, if any, on our financial position or results of operations, see Note 2, </w:t>
      </w:r>
      <w:r>
        <w:rPr>
          <w:rFonts w:ascii="Arial" w:cs="Arial" w:eastAsia="Arial" w:hAnsi="Arial"/>
          <w:sz w:val="18"/>
          <w:szCs w:val="18"/>
          <w:i w:val="1"/>
          <w:iCs w:val="1"/>
          <w:color w:val="auto"/>
        </w:rPr>
        <w:t>New Accounting Standards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line="31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50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2019 Annual Report. Except as required by law or regulation, we do not intend to update any forward-looking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2019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 Our disclosure controls include some, but not all, components of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March 31, 2020,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During the quarter ended March 31, 2020, there have been no changes to our internal control over financial reporting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are providing the disclosure below and supplementing the risk factors described in Part I, Item 1A of our 2019 Annual Report with the following risk factor. The additional risk factor identified should be read in conjunction with the risk factors described in the 2019 Annual Report and the information under the “Forward Looking Statements” in the 2019 Annual Report.</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and financial condition may be adversely affected by the novel coronavirus (COVID-19) pandemic and other public health epidemics.</w:t>
      </w:r>
    </w:p>
    <w:p>
      <w:pPr>
        <w:spacing w:after="0" w:line="19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results of operations and financial condition may be adversely affected if the progression of the COVID-19 pandemic interferes with our ability, or that of our employees, contractors, suppliers, customers and other business partners, to carry out and deliver on business obligations.</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COVID-19 may have an adverse effect on our operations, supply chains and distribution systems. Known potential impacts are illness in our workforce as well as a reduction in access to raw materials for production and access to transportation of product. There could be other unknown and unforeseeable impacts. These impacts may also increase our expenses, including costs associated with preventive and precautionary measures that we, companies with which we conduct business and governments are taking. Government measures include actions that restrict or prohibit travel, which in turn may impact our operations by limiting our employees’ ability to come to work, or the employees of companies upon which our supply chain depends. The impacts of the pandemic and the aforesaid measures taken by other companies and governments may cause us to experience significant and unpredictable reductions or increases in demand for certain of our products. This is especially possible in the event customers re-prioritize their needs due to the changing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Despite our efforts to manage these COVID-19 related risks, their ultimate impact on the Company will be determined by factors beyond our knowledge or control, including the duration of COVID-19 and further actions taken to control its spread and mitigate its public health effects.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information with respect to purchases of our common stock made during the three months ended March 31, 2020 by us or any of our “affiliated purchasers” as defined in Rule 10b-18(a)(3) under the Exchange Act: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ind w:left="240"/>
              <w:spacing w:after="0"/>
              <w:rPr>
                <w:sz w:val="20"/>
                <w:szCs w:val="20"/>
                <w:color w:val="auto"/>
              </w:rPr>
            </w:pPr>
            <w:r>
              <w:rPr>
                <w:rFonts w:ascii="Arial" w:cs="Arial" w:eastAsia="Arial" w:hAnsi="Arial"/>
                <w:sz w:val="18"/>
                <w:szCs w:val="18"/>
                <w:color w:val="auto"/>
              </w:rPr>
              <w:t>Total number of</w:t>
            </w:r>
          </w:p>
        </w:tc>
        <w:tc>
          <w:tcPr>
            <w:tcW w:w="172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Average price paid per</w:t>
            </w:r>
          </w:p>
        </w:tc>
        <w:tc>
          <w:tcPr>
            <w:tcW w:w="0" w:type="dxa"/>
            <w:vAlign w:val="bottom"/>
          </w:tcPr>
          <w:p>
            <w:pPr>
              <w:spacing w:after="0"/>
              <w:rPr>
                <w:sz w:val="1"/>
                <w:szCs w:val="1"/>
                <w:color w:val="auto"/>
              </w:rPr>
            </w:pPr>
          </w:p>
        </w:tc>
      </w:tr>
      <w:tr>
        <w:trPr>
          <w:trHeight w:val="28"/>
        </w:trPr>
        <w:tc>
          <w:tcPr>
            <w:tcW w:w="2240" w:type="dxa"/>
            <w:vAlign w:val="bottom"/>
            <w:vMerge w:val="restart"/>
          </w:tcPr>
          <w:p>
            <w:pPr>
              <w:ind w:left="20"/>
              <w:spacing w:after="0"/>
              <w:rPr>
                <w:sz w:val="20"/>
                <w:szCs w:val="20"/>
                <w:color w:val="auto"/>
              </w:rPr>
            </w:pPr>
            <w:r>
              <w:rPr>
                <w:rFonts w:ascii="Arial" w:cs="Arial" w:eastAsia="Arial" w:hAnsi="Arial"/>
                <w:sz w:val="18"/>
                <w:szCs w:val="18"/>
                <w:color w:val="auto"/>
              </w:rPr>
              <w:t>Period</w:t>
            </w:r>
          </w:p>
        </w:tc>
        <w:tc>
          <w:tcPr>
            <w:tcW w:w="120" w:type="dxa"/>
            <w:vAlign w:val="bottom"/>
            <w:vMerge w:val="restart"/>
          </w:tcPr>
          <w:p>
            <w:pPr>
              <w:spacing w:after="0"/>
              <w:rPr>
                <w:sz w:val="2"/>
                <w:szCs w:val="2"/>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color w:val="auto"/>
                <w:w w:val="91"/>
              </w:rPr>
              <w:t xml:space="preserve">shares purchased </w:t>
            </w:r>
            <w:r>
              <w:rPr>
                <w:rFonts w:ascii="Arial" w:cs="Arial" w:eastAsia="Arial" w:hAnsi="Arial"/>
                <w:sz w:val="16"/>
                <w:szCs w:val="16"/>
                <w:color w:val="auto"/>
                <w:w w:val="91"/>
              </w:rPr>
              <w:t>(1)</w:t>
            </w:r>
          </w:p>
        </w:tc>
        <w:tc>
          <w:tcPr>
            <w:tcW w:w="120" w:type="dxa"/>
            <w:vAlign w:val="bottom"/>
            <w:vMerge w:val="restart"/>
          </w:tcPr>
          <w:p>
            <w:pPr>
              <w:spacing w:after="0"/>
              <w:rPr>
                <w:sz w:val="2"/>
                <w:szCs w:val="2"/>
                <w:color w:val="auto"/>
              </w:rPr>
            </w:pPr>
          </w:p>
        </w:tc>
        <w:tc>
          <w:tcPr>
            <w:tcW w:w="1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2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 xml:space="preserve">share </w:t>
            </w: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January 1 – 31, 2020</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315,069</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7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February 1 – 29, 2020</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72,552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7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March 1 – 31, 2020</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373,879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146.87</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761,500</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1797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number of shares</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color w:val="auto"/>
        </w:rPr>
        <w:t>purchased as part of publicly announced plans or programs (1)</w:t>
      </w:r>
    </w:p>
    <w:p>
      <w:pPr>
        <w:spacing w:after="0" w:line="4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315,069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72,552</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373,879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1431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57"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761,500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31750</wp:posOffset>
            </wp:positionV>
            <wp:extent cx="1431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31925" cy="8255"/>
                    </a:xfrm>
                    <a:prstGeom prst="rect">
                      <a:avLst/>
                    </a:prstGeom>
                    <a:noFill/>
                  </pic:spPr>
                </pic:pic>
              </a:graphicData>
            </a:graphic>
          </wp:anchor>
        </w:drawing>
        <w:drawing>
          <wp:anchor simplePos="0" relativeHeight="251657728" behindDoc="1" locked="0" layoutInCell="0" allowOverlap="1">
            <wp:simplePos x="0" y="0"/>
            <wp:positionH relativeFrom="column">
              <wp:posOffset>-45085</wp:posOffset>
            </wp:positionH>
            <wp:positionV relativeFrom="paragraph">
              <wp:posOffset>57785</wp:posOffset>
            </wp:positionV>
            <wp:extent cx="1431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center"/>
        <w:ind w:right="80"/>
        <w:spacing w:after="0" w:line="224" w:lineRule="auto"/>
        <w:rPr>
          <w:sz w:val="20"/>
          <w:szCs w:val="20"/>
          <w:color w:val="auto"/>
        </w:rPr>
      </w:pPr>
      <w:r>
        <w:rPr>
          <w:rFonts w:ascii="Arial" w:cs="Arial" w:eastAsia="Arial" w:hAnsi="Arial"/>
          <w:sz w:val="18"/>
          <w:szCs w:val="18"/>
          <w:color w:val="auto"/>
        </w:rPr>
        <w:t xml:space="preserve">Maximum number of shares that may yet be purchased under the plans or programs </w:t>
      </w:r>
      <w:r>
        <w:rPr>
          <w:rFonts w:ascii="Arial" w:cs="Arial" w:eastAsia="Arial" w:hAnsi="Arial"/>
          <w:sz w:val="16"/>
          <w:szCs w:val="16"/>
          <w:color w:val="auto"/>
        </w:rPr>
        <w:t>(1)</w:t>
      </w:r>
    </w:p>
    <w:p>
      <w:pPr>
        <w:spacing w:after="0" w:line="28"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532,931</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460,379</w:t>
      </w:r>
    </w:p>
    <w:p>
      <w:pPr>
        <w:spacing w:after="0" w:line="63"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31750</wp:posOffset>
            </wp:positionV>
            <wp:extent cx="18256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57"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86,500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31750</wp:posOffset>
            </wp:positionV>
            <wp:extent cx="1825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-60325</wp:posOffset>
            </wp:positionH>
            <wp:positionV relativeFrom="paragraph">
              <wp:posOffset>57785</wp:posOffset>
            </wp:positionV>
            <wp:extent cx="18256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3">
            <w:col w:w="5860" w:space="200"/>
            <w:col w:w="2120" w:space="280"/>
            <w:col w:w="2780"/>
          </w:cols>
          <w:pgMar w:left="320" w:top="130" w:right="339" w:bottom="1440" w:gutter="0" w:footer="0" w:header="0"/>
          <w:type w:val="continuous"/>
        </w:sectPr>
      </w:pPr>
    </w:p>
    <w:p>
      <w:pPr>
        <w:spacing w:after="0" w:line="137" w:lineRule="exact"/>
        <w:rPr>
          <w:sz w:val="20"/>
          <w:szCs w:val="20"/>
          <w:color w:val="auto"/>
        </w:rPr>
      </w:pPr>
    </w:p>
    <w:p>
      <w:pPr>
        <w:ind w:left="660" w:right="260" w:hanging="652"/>
        <w:spacing w:after="0" w:line="257" w:lineRule="auto"/>
        <w:tabs>
          <w:tab w:leader="none" w:pos="65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2019, we announced a share repurchase program for calendar-year 2020 authorizing the repurchase of up to 848,000 shares of our common stock from time to time on the open market or in privately-negotiated transactions as permitted under the Securities Exchange Act of 1934 Rule 10b-18. The number of shares repurchased and the timing of such transactions will depend on a variety of factors, including market conditions. During the three months ended March 31, 2020, we purchased 761,500 shares of our common stock under the program at a cost of $115.5 million, or an average price of $151.65 per share.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list of exhibits in the Exhibit Index to this report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5" w:name="page36"/>
    <w:bookmarkEnd w:id="35"/>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April 24,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30" w:right="699" w:bottom="1440" w:gutter="0" w:footer="0" w:header="0"/>
        </w:sectPr>
      </w:pPr>
    </w:p>
    <w:bookmarkStart w:id="36" w:name="page37"/>
    <w:bookmarkEnd w:id="36"/>
    <w:p>
      <w:pPr>
        <w:spacing w:after="0"/>
        <w:rPr>
          <w:rFonts w:ascii="Arial" w:cs="Arial" w:eastAsia="Arial" w:hAnsi="Arial"/>
          <w:sz w:val="16"/>
          <w:szCs w:val="16"/>
          <w:i w:val="1"/>
          <w:iCs w:val="1"/>
          <w:u w:val="single" w:color="auto"/>
          <w:color w:val="0000FF"/>
        </w:rPr>
      </w:pPr>
      <w:hyperlink w:anchor="page2">
        <w:r>
          <w:rPr>
            <w:rFonts w:ascii="Arial" w:cs="Arial" w:eastAsia="Arial" w:hAnsi="Arial"/>
            <w:sz w:val="16"/>
            <w:szCs w:val="16"/>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0" w:type="dxa"/>
            <w:vAlign w:val="bottom"/>
            <w:gridSpan w:val="5"/>
          </w:tcPr>
          <w:p>
            <w:pPr>
              <w:ind w:left="13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080" w:type="dxa"/>
            <w:vAlign w:val="bottom"/>
            <w:gridSpan w:val="11"/>
          </w:tcPr>
          <w:p>
            <w:pPr>
              <w:spacing w:after="0" w:line="196"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0"/>
                <w:szCs w:val="20"/>
                <w:color w:val="auto"/>
              </w:rPr>
            </w:pPr>
          </w:p>
        </w:tc>
        <w:tc>
          <w:tcPr>
            <w:tcW w:w="10080" w:type="dxa"/>
            <w:vAlign w:val="bottom"/>
            <w:gridSpan w:val="11"/>
          </w:tcPr>
          <w:p>
            <w:pPr>
              <w:spacing w:after="0"/>
              <w:rPr>
                <w:rFonts w:ascii="Arial" w:cs="Arial" w:eastAsia="Arial" w:hAnsi="Arial"/>
                <w:sz w:val="18"/>
                <w:szCs w:val="18"/>
                <w:color w:val="0000FF"/>
                <w:w w:val="91"/>
              </w:rPr>
            </w:pPr>
            <w:hyperlink r:id="rId59">
              <w:r>
                <w:rPr>
                  <w:rFonts w:ascii="Arial" w:cs="Arial" w:eastAsia="Arial" w:hAnsi="Arial"/>
                  <w:sz w:val="18"/>
                  <w:szCs w:val="18"/>
                  <w:color w:val="0000FF"/>
                  <w:w w:val="91"/>
                </w:rPr>
                <w:t>Our Amended and Restated Articles of Incorporation are incorporated by reference from our Form 10-Q report for the quarter ended March</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5"/>
              </w:rPr>
            </w:pPr>
            <w:hyperlink r:id="rId59">
              <w:r>
                <w:rPr>
                  <w:rFonts w:ascii="Arial" w:cs="Arial" w:eastAsia="Arial" w:hAnsi="Arial"/>
                  <w:sz w:val="18"/>
                  <w:szCs w:val="18"/>
                  <w:color w:val="0000FF"/>
                  <w:w w:val="85"/>
                </w:rPr>
                <w:t>31, 2015.</w:t>
              </w:r>
            </w:hyperlink>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7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10080" w:type="dxa"/>
            <w:vAlign w:val="bottom"/>
            <w:gridSpan w:val="11"/>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Our Bylaws, as amended through May 5, 2015, are incorporated by reference from our Form 10-Q report for the quarter ended March 31,</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60">
              <w:r>
                <w:rPr>
                  <w:rFonts w:ascii="Arial" w:cs="Arial" w:eastAsia="Arial" w:hAnsi="Arial"/>
                  <w:sz w:val="18"/>
                  <w:szCs w:val="18"/>
                  <w:color w:val="0000FF"/>
                  <w:w w:val="84"/>
                </w:rPr>
                <w:t>2015.</w:t>
              </w:r>
            </w:hyperlink>
          </w:p>
        </w:tc>
        <w:tc>
          <w:tcPr>
            <w:tcW w:w="2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7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2"/>
                <w:szCs w:val="22"/>
                <w:color w:val="auto"/>
              </w:rPr>
            </w:pPr>
          </w:p>
        </w:tc>
        <w:tc>
          <w:tcPr>
            <w:tcW w:w="10080" w:type="dxa"/>
            <w:vAlign w:val="bottom"/>
            <w:gridSpan w:val="11"/>
          </w:tcPr>
          <w:p>
            <w:pPr>
              <w:spacing w:after="0"/>
              <w:rPr>
                <w:rFonts w:ascii="Arial" w:cs="Arial" w:eastAsia="Arial" w:hAnsi="Arial"/>
                <w:sz w:val="18"/>
                <w:szCs w:val="18"/>
                <w:u w:val="single" w:color="auto"/>
                <w:color w:val="0000FF"/>
                <w:w w:val="98"/>
              </w:rPr>
            </w:pPr>
            <w:hyperlink r:id="rId61">
              <w:r>
                <w:rPr>
                  <w:rFonts w:ascii="Arial" w:cs="Arial" w:eastAsia="Arial" w:hAnsi="Arial"/>
                  <w:sz w:val="18"/>
                  <w:szCs w:val="18"/>
                  <w:u w:val="single" w:color="auto"/>
                  <w:color w:val="0000FF"/>
                  <w:w w:val="98"/>
                </w:rPr>
                <w:t>Form of stock certificate for common stock is incorporated by reference from our annual report on Form 10-K dated May 6, 1999.</w:t>
              </w:r>
            </w:hyperlink>
          </w:p>
        </w:tc>
        <w:tc>
          <w:tcPr>
            <w:tcW w:w="0" w:type="dxa"/>
            <w:vAlign w:val="bottom"/>
          </w:tcPr>
          <w:p>
            <w:pPr>
              <w:spacing w:after="0"/>
              <w:rPr>
                <w:sz w:val="1"/>
                <w:szCs w:val="1"/>
                <w:color w:val="auto"/>
              </w:rPr>
            </w:pPr>
          </w:p>
        </w:tc>
      </w:tr>
      <w:tr>
        <w:trPr>
          <w:trHeight w:val="216"/>
        </w:trPr>
        <w:tc>
          <w:tcPr>
            <w:tcW w:w="64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440" w:type="dxa"/>
            <w:vAlign w:val="bottom"/>
          </w:tcPr>
          <w:p>
            <w:pPr>
              <w:spacing w:after="0"/>
              <w:rPr>
                <w:sz w:val="18"/>
                <w:szCs w:val="18"/>
                <w:color w:val="auto"/>
              </w:rPr>
            </w:pPr>
          </w:p>
        </w:tc>
        <w:tc>
          <w:tcPr>
            <w:tcW w:w="10080" w:type="dxa"/>
            <w:vAlign w:val="bottom"/>
            <w:gridSpan w:val="11"/>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Article 5, 6, 8(c) and 9 of our Amended and Restated Articles of Incorporation are incorporated by reference from our Form 10-Q report for</w:t>
              </w:r>
            </w:hyperlink>
          </w:p>
        </w:tc>
        <w:tc>
          <w:tcPr>
            <w:tcW w:w="0" w:type="dxa"/>
            <w:vAlign w:val="bottom"/>
          </w:tcPr>
          <w:p>
            <w:pPr>
              <w:spacing w:after="0"/>
              <w:rPr>
                <w:sz w:val="1"/>
                <w:szCs w:val="1"/>
                <w:color w:val="auto"/>
              </w:rPr>
            </w:pPr>
          </w:p>
        </w:tc>
      </w:tr>
      <w:tr>
        <w:trPr>
          <w:trHeight w:val="155"/>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8"/>
              </w:rPr>
            </w:pPr>
            <w:hyperlink r:id="rId59">
              <w:r>
                <w:rPr>
                  <w:rFonts w:ascii="Arial" w:cs="Arial" w:eastAsia="Arial" w:hAnsi="Arial"/>
                  <w:sz w:val="18"/>
                  <w:szCs w:val="18"/>
                  <w:color w:val="0000FF"/>
                  <w:w w:val="88"/>
                </w:rPr>
                <w:t>the quarter ended March 31, 2015.</w:t>
              </w:r>
            </w:hyperlink>
          </w:p>
        </w:tc>
        <w:tc>
          <w:tcPr>
            <w:tcW w:w="758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992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Article I and V of our Bylaws, as amended through May 5, 2015, are incorporated by reference from our Form 10-Q report for the quarter</w:t>
              </w:r>
            </w:hyperlink>
          </w:p>
        </w:tc>
        <w:tc>
          <w:tcPr>
            <w:tcW w:w="1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vMerge w:val="restart"/>
          </w:tcPr>
          <w:p>
            <w:pPr>
              <w:spacing w:after="0"/>
              <w:rPr>
                <w:sz w:val="20"/>
                <w:szCs w:val="20"/>
                <w:color w:val="auto"/>
              </w:rPr>
            </w:pPr>
            <w:r>
              <w:rPr>
                <w:rFonts w:ascii="Arial" w:cs="Arial" w:eastAsia="Arial" w:hAnsi="Arial"/>
                <w:sz w:val="35"/>
                <w:szCs w:val="35"/>
                <w:color w:val="auto"/>
                <w:vertAlign w:val="subscript"/>
              </w:rPr>
              <w:t>4.4</w:t>
            </w:r>
            <w:r>
              <w:rPr>
                <w:rFonts w:ascii="Arial" w:cs="Arial" w:eastAsia="Arial" w:hAnsi="Arial"/>
                <w:sz w:val="12"/>
                <w:szCs w:val="12"/>
                <w:color w:val="auto"/>
              </w:rPr>
              <w:t xml:space="preserve"> (1)</w:t>
            </w:r>
          </w:p>
        </w:tc>
        <w:tc>
          <w:tcPr>
            <w:tcW w:w="440" w:type="dxa"/>
            <w:vAlign w:val="bottom"/>
          </w:tcPr>
          <w:p>
            <w:pPr>
              <w:spacing w:after="0"/>
              <w:rPr>
                <w:sz w:val="13"/>
                <w:szCs w:val="13"/>
                <w:color w:val="auto"/>
              </w:rPr>
            </w:pPr>
          </w:p>
        </w:tc>
        <w:tc>
          <w:tcPr>
            <w:tcW w:w="1660" w:type="dxa"/>
            <w:vAlign w:val="bottom"/>
            <w:tcBorders>
              <w:bottom w:val="single" w:sz="8" w:color="0000FF"/>
            </w:tcBorders>
            <w:gridSpan w:val="5"/>
          </w:tcPr>
          <w:p>
            <w:pPr>
              <w:spacing w:after="0" w:line="156" w:lineRule="exact"/>
              <w:rPr>
                <w:rFonts w:ascii="Arial" w:cs="Arial" w:eastAsia="Arial" w:hAnsi="Arial"/>
                <w:sz w:val="18"/>
                <w:szCs w:val="18"/>
                <w:color w:val="0000FF"/>
                <w:w w:val="88"/>
              </w:rPr>
            </w:pPr>
            <w:hyperlink r:id="rId60">
              <w:r>
                <w:rPr>
                  <w:rFonts w:ascii="Arial" w:cs="Arial" w:eastAsia="Arial" w:hAnsi="Arial"/>
                  <w:sz w:val="18"/>
                  <w:szCs w:val="18"/>
                  <w:color w:val="0000FF"/>
                  <w:w w:val="88"/>
                </w:rPr>
                <w:t>ended March 31, 2015.</w:t>
              </w:r>
            </w:hyperlink>
          </w:p>
        </w:tc>
        <w:tc>
          <w:tcPr>
            <w:tcW w:w="82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89"/>
        </w:trPr>
        <w:tc>
          <w:tcPr>
            <w:tcW w:w="6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0080" w:type="dxa"/>
            <w:vAlign w:val="bottom"/>
            <w:gridSpan w:val="11"/>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245"/>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1"/>
                <w:szCs w:val="21"/>
                <w:color w:val="auto"/>
              </w:rPr>
            </w:pPr>
          </w:p>
        </w:tc>
        <w:tc>
          <w:tcPr>
            <w:tcW w:w="10080" w:type="dxa"/>
            <w:vAlign w:val="bottom"/>
            <w:gridSpan w:val="11"/>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Certification by the Chief Executive Officer Pursuant to Section 302 of the Sarbanes-Oxley Act of 2002.</w:t>
              </w:r>
            </w:hyperlink>
          </w:p>
        </w:tc>
        <w:tc>
          <w:tcPr>
            <w:tcW w:w="0" w:type="dxa"/>
            <w:vAlign w:val="bottom"/>
          </w:tcPr>
          <w:p>
            <w:pPr>
              <w:spacing w:after="0"/>
              <w:rPr>
                <w:sz w:val="1"/>
                <w:szCs w:val="1"/>
                <w:color w:val="auto"/>
              </w:rPr>
            </w:pP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3"/>
                <w:szCs w:val="23"/>
                <w:color w:val="auto"/>
              </w:rPr>
            </w:pPr>
          </w:p>
        </w:tc>
        <w:tc>
          <w:tcPr>
            <w:tcW w:w="10080" w:type="dxa"/>
            <w:vAlign w:val="bottom"/>
            <w:gridSpan w:val="11"/>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Certification by the Chief Financial Officer Pursuant to Section 302 of the Sarbanes-Oxley Act of 2002.</w:t>
              </w:r>
            </w:hyperlink>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8"/>
                <w:szCs w:val="18"/>
                <w:color w:val="auto"/>
              </w:rPr>
            </w:pPr>
          </w:p>
        </w:tc>
        <w:tc>
          <w:tcPr>
            <w:tcW w:w="100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w:anchor="page40">
              <w:r>
                <w:rPr>
                  <w:rFonts w:ascii="Arial" w:cs="Arial" w:eastAsia="Arial" w:hAnsi="Arial"/>
                  <w:sz w:val="18"/>
                  <w:szCs w:val="18"/>
                  <w:color w:val="0000FF"/>
                  <w:w w:val="90"/>
                </w:rPr>
                <w:t>Certification by the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Act of 2002.</w:t>
              </w:r>
            </w:hyperlink>
          </w:p>
        </w:tc>
        <w:tc>
          <w:tcPr>
            <w:tcW w:w="91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8"/>
                <w:szCs w:val="18"/>
                <w:color w:val="auto"/>
              </w:rPr>
            </w:pPr>
          </w:p>
        </w:tc>
        <w:tc>
          <w:tcPr>
            <w:tcW w:w="1004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w:anchor="page41">
              <w:r>
                <w:rPr>
                  <w:rFonts w:ascii="Arial" w:cs="Arial" w:eastAsia="Arial" w:hAnsi="Arial"/>
                  <w:sz w:val="18"/>
                  <w:szCs w:val="18"/>
                  <w:color w:val="0000FF"/>
                  <w:w w:val="90"/>
                </w:rPr>
                <w:t>Certification by the Chief Financial Officer Pursuant to 18 U.S.C. Section 1350, as Adopted Pursuant to Section 906 of the Sarbanes-Oxley</w:t>
              </w:r>
            </w:hyperlink>
          </w:p>
        </w:tc>
        <w:tc>
          <w:tcPr>
            <w:tcW w:w="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bottom w:val="single" w:sz="8" w:color="0000FF"/>
            </w:tcBorders>
            <w:gridSpan w:val="4"/>
          </w:tcPr>
          <w:p>
            <w:pPr>
              <w:spacing w:after="0" w:line="156" w:lineRule="exact"/>
              <w:rPr>
                <w:rFonts w:ascii="Arial" w:cs="Arial" w:eastAsia="Arial" w:hAnsi="Arial"/>
                <w:sz w:val="18"/>
                <w:szCs w:val="18"/>
                <w:color w:val="0000FF"/>
                <w:w w:val="91"/>
              </w:rPr>
            </w:pPr>
            <w:hyperlink w:anchor="page41">
              <w:r>
                <w:rPr>
                  <w:rFonts w:ascii="Arial" w:cs="Arial" w:eastAsia="Arial" w:hAnsi="Arial"/>
                  <w:sz w:val="18"/>
                  <w:szCs w:val="18"/>
                  <w:color w:val="0000FF"/>
                  <w:w w:val="91"/>
                </w:rPr>
                <w:t>Act of 2002.</w:t>
              </w:r>
            </w:hyperlink>
          </w:p>
        </w:tc>
        <w:tc>
          <w:tcPr>
            <w:tcW w:w="9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11"/>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00" w:hanging="1074"/>
        <w:spacing w:after="0"/>
        <w:tabs>
          <w:tab w:leader="none" w:pos="11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firstLine="8"/>
        <w:spacing w:after="0" w:line="584" w:lineRule="auto"/>
        <w:tabs>
          <w:tab w:leader="none" w:pos="181"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-1033145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80"/>
          </w:cols>
          <w:pgMar w:left="320" w:top="130" w:right="3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2020</w:t>
      </w:r>
    </w:p>
    <w:p>
      <w:pPr>
        <w:sectPr>
          <w:pgSz w:w="11900" w:h="16838" w:orient="portrait"/>
          <w:cols w:equalWidth="0" w:num="1">
            <w:col w:w="11240"/>
          </w:cols>
          <w:pgMar w:left="320" w:top="141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2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29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2020</w:t>
      </w:r>
    </w:p>
    <w:p>
      <w:pPr>
        <w:sectPr>
          <w:pgSz w:w="11900" w:h="16838" w:orient="portrait"/>
          <w:cols w:equalWidth="0" w:num="1">
            <w:col w:w="11240"/>
          </w:cols>
          <w:pgMar w:left="320" w:top="141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In connection with the Quarterly Report on Form 10-Q of West Pharmaceutical Services, Inc. (the “Company”) for the period ended March 31, 2020, as filed with the Securities and Exchange Commission on the date hereof (the “Report”), I, Eric M. Green, President and Chief Executive Officer of the Company, certify, pursuant to 18 U.S.C. Section 1350, as adopted pursuant to Section 906 of the Sarbanes-Oxley Act of 2002, that:</w:t>
      </w:r>
    </w:p>
    <w:p>
      <w:pPr>
        <w:spacing w:after="0" w:line="192"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2020</w:t>
      </w:r>
    </w:p>
    <w:p>
      <w:pPr>
        <w:sectPr>
          <w:pgSz w:w="11900" w:h="16838" w:orient="portrait"/>
          <w:cols w:equalWidth="0" w:num="1">
            <w:col w:w="11240"/>
          </w:cols>
          <w:pgMar w:left="320" w:top="141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connection with the Quarterly Report on Form 10-Q of West Pharmaceutical Services, Inc. (the “Company”) for the period ended March 31, 2020, as filed with the Securities and Exchange Commission on the date hereof (the “Report”), I, Bernard J. Birkett,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lvl w:ilvl="1">
      <w:lvlJc w:val="left"/>
      <w:lvlText w:val="%2"/>
      <w:numFmt w:val="decimal"/>
      <w:start w:val="104"/>
    </w:lvl>
  </w:abstractNum>
  <w:abstractNum w:abstractNumId="7">
    <w:nsid w:val="4DB127F8"/>
    <w:multiLevelType w:val="hybridMultilevel"/>
    <w:lvl w:ilvl="0">
      <w:lvlJc w:val="left"/>
      <w:lvlText w:val="(%1)"/>
      <w:numFmt w:val="decimal"/>
      <w:start w:val="1"/>
    </w:lvl>
    <w:lvl w:ilvl="1">
      <w:lvlJc w:val="left"/>
      <w:lvlText w:val="%2"/>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62" Type="http://schemas.openxmlformats.org/officeDocument/2006/relationships/image" Target="media/image51.png"/><Relationship Id="rId19" Type="http://schemas.openxmlformats.org/officeDocument/2006/relationships/hyperlink" Target="http://www.sec.gov/ix?doc=/Archives/edgar/data/105770/000010577020000015/wst-20191231.htm" TargetMode="External"/><Relationship Id="rId59" Type="http://schemas.openxmlformats.org/officeDocument/2006/relationships/hyperlink" Target="http://www.sec.gov/Archives/edgar/data/105770/000010577015000015/ex31amendedarticles.htm" TargetMode="External"/><Relationship Id="rId60" Type="http://schemas.openxmlformats.org/officeDocument/2006/relationships/hyperlink" Target="http://www.sec.gov/Archives/edgar/data/105770/000010577015000015/ex32bylaws.htm" TargetMode="External"/><Relationship Id="rId61" Type="http://schemas.openxmlformats.org/officeDocument/2006/relationships/hyperlink" Target="http://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2020-04-24T15:07:53Z</dcterms:created>
  <dcterms:modified xsi:type="dcterms:W3CDTF">2020-04-24T15:07:53Z</dcterms:modified>
</cp:coreProperties>
</file>